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DAD" w:rsidRDefault="00356DAD" w:rsidP="00356DAD">
      <w:pPr>
        <w:jc w:val="center"/>
      </w:pPr>
      <w:bookmarkStart w:id="0" w:name="_Toc320889121"/>
      <w:bookmarkStart w:id="1" w:name="_Toc320888326"/>
      <w:bookmarkStart w:id="2" w:name="_GoBack"/>
      <w:bookmarkEnd w:id="2"/>
      <w:r>
        <w:rPr>
          <w:noProof/>
          <w:lang w:val="en-GB" w:eastAsia="en-GB"/>
        </w:rPr>
        <w:drawing>
          <wp:inline distT="0" distB="0" distL="0" distR="0" wp14:anchorId="1F0FA4CA" wp14:editId="36319FBE">
            <wp:extent cx="3832860" cy="594360"/>
            <wp:effectExtent l="0" t="0" r="0" b="0"/>
            <wp:docPr id="4" name="Picture 4" descr="fsan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sanz-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2860" cy="594360"/>
                    </a:xfrm>
                    <a:prstGeom prst="rect">
                      <a:avLst/>
                    </a:prstGeom>
                    <a:noFill/>
                    <a:ln>
                      <a:noFill/>
                    </a:ln>
                  </pic:spPr>
                </pic:pic>
              </a:graphicData>
            </a:graphic>
          </wp:inline>
        </w:drawing>
      </w:r>
      <w:bookmarkEnd w:id="0"/>
      <w:bookmarkEnd w:id="1"/>
    </w:p>
    <w:p w:rsidR="00356DAD" w:rsidRDefault="00356DAD" w:rsidP="007B54A2"/>
    <w:p w:rsidR="00356DAD" w:rsidRDefault="003231A9" w:rsidP="007B54A2">
      <w:r>
        <w:tab/>
      </w:r>
      <w:r>
        <w:tab/>
      </w:r>
    </w:p>
    <w:p w:rsidR="00356DAD" w:rsidRDefault="00356DAD" w:rsidP="007B54A2">
      <w:pPr>
        <w:rPr>
          <w:sz w:val="36"/>
          <w:szCs w:val="36"/>
        </w:rPr>
      </w:pPr>
    </w:p>
    <w:p w:rsidR="00356DAD" w:rsidRDefault="00356DAD" w:rsidP="007B54A2">
      <w:pPr>
        <w:rPr>
          <w:sz w:val="36"/>
          <w:szCs w:val="36"/>
        </w:rPr>
      </w:pPr>
      <w:bookmarkStart w:id="3" w:name="_Toc320889122"/>
      <w:bookmarkStart w:id="4" w:name="_Toc320888327"/>
    </w:p>
    <w:p w:rsidR="00356DAD" w:rsidRDefault="00786466" w:rsidP="00786466">
      <w:pPr>
        <w:tabs>
          <w:tab w:val="left" w:pos="1507"/>
        </w:tabs>
        <w:rPr>
          <w:sz w:val="36"/>
          <w:szCs w:val="36"/>
        </w:rPr>
      </w:pPr>
      <w:r>
        <w:rPr>
          <w:sz w:val="36"/>
          <w:szCs w:val="36"/>
        </w:rPr>
        <w:tab/>
      </w:r>
    </w:p>
    <w:p w:rsidR="00356DAD" w:rsidRDefault="00356DAD" w:rsidP="007B54A2">
      <w:pPr>
        <w:rPr>
          <w:sz w:val="36"/>
          <w:szCs w:val="36"/>
        </w:rPr>
      </w:pPr>
    </w:p>
    <w:p w:rsidR="00356DAD" w:rsidRDefault="00356DAD" w:rsidP="007B54A2">
      <w:pPr>
        <w:rPr>
          <w:sz w:val="36"/>
          <w:szCs w:val="36"/>
        </w:rPr>
      </w:pPr>
    </w:p>
    <w:p w:rsidR="007B54A2" w:rsidRDefault="007B54A2" w:rsidP="007B54A2">
      <w:pPr>
        <w:rPr>
          <w:sz w:val="36"/>
          <w:szCs w:val="36"/>
        </w:rPr>
      </w:pPr>
    </w:p>
    <w:p w:rsidR="007B54A2" w:rsidRDefault="007B54A2" w:rsidP="007B54A2">
      <w:pPr>
        <w:rPr>
          <w:sz w:val="36"/>
          <w:szCs w:val="36"/>
        </w:rPr>
      </w:pPr>
    </w:p>
    <w:p w:rsidR="007B54A2" w:rsidRDefault="007B54A2" w:rsidP="007B54A2">
      <w:pPr>
        <w:rPr>
          <w:sz w:val="36"/>
          <w:szCs w:val="36"/>
        </w:rPr>
      </w:pPr>
    </w:p>
    <w:p w:rsidR="00356DAD" w:rsidRDefault="00356DAD" w:rsidP="007B54A2">
      <w:pPr>
        <w:rPr>
          <w:sz w:val="36"/>
          <w:szCs w:val="36"/>
        </w:rPr>
      </w:pPr>
    </w:p>
    <w:p w:rsidR="00356DAD" w:rsidRDefault="00356DAD" w:rsidP="00356DAD">
      <w:pPr>
        <w:jc w:val="center"/>
        <w:rPr>
          <w:b/>
          <w:sz w:val="36"/>
          <w:szCs w:val="36"/>
        </w:rPr>
      </w:pPr>
    </w:p>
    <w:bookmarkEnd w:id="3"/>
    <w:bookmarkEnd w:id="4"/>
    <w:p w:rsidR="00FF1AF8" w:rsidRDefault="00356DAD" w:rsidP="00356DAD">
      <w:pPr>
        <w:jc w:val="center"/>
        <w:rPr>
          <w:rFonts w:cs="Arial"/>
          <w:b/>
          <w:sz w:val="36"/>
          <w:szCs w:val="36"/>
        </w:rPr>
      </w:pPr>
      <w:r w:rsidRPr="00C3449D">
        <w:rPr>
          <w:rFonts w:cs="Arial"/>
          <w:b/>
          <w:sz w:val="36"/>
          <w:szCs w:val="36"/>
        </w:rPr>
        <w:t xml:space="preserve">SURVEY OF CYANOGENIC GLYCOSIDES IN </w:t>
      </w:r>
    </w:p>
    <w:p w:rsidR="00356DAD" w:rsidRPr="00C3449D" w:rsidRDefault="00356DAD" w:rsidP="00356DAD">
      <w:pPr>
        <w:jc w:val="center"/>
        <w:rPr>
          <w:rFonts w:cs="Arial"/>
          <w:b/>
          <w:sz w:val="36"/>
          <w:szCs w:val="36"/>
        </w:rPr>
      </w:pPr>
      <w:r w:rsidRPr="00C3449D">
        <w:rPr>
          <w:rFonts w:cs="Arial"/>
          <w:b/>
          <w:sz w:val="36"/>
          <w:szCs w:val="36"/>
        </w:rPr>
        <w:t>PLANT</w:t>
      </w:r>
      <w:r w:rsidR="00DC4611" w:rsidRPr="00C3449D">
        <w:rPr>
          <w:rFonts w:cs="Arial"/>
          <w:b/>
          <w:sz w:val="36"/>
          <w:szCs w:val="36"/>
        </w:rPr>
        <w:t>-</w:t>
      </w:r>
      <w:r w:rsidRPr="00C3449D">
        <w:rPr>
          <w:rFonts w:cs="Arial"/>
          <w:b/>
          <w:sz w:val="36"/>
          <w:szCs w:val="36"/>
        </w:rPr>
        <w:t xml:space="preserve">BASED FOODS </w:t>
      </w:r>
    </w:p>
    <w:p w:rsidR="00356DAD" w:rsidRDefault="00356DAD" w:rsidP="00356DAD">
      <w:pPr>
        <w:jc w:val="center"/>
        <w:rPr>
          <w:rFonts w:cs="Arial"/>
          <w:b/>
          <w:sz w:val="36"/>
          <w:szCs w:val="36"/>
        </w:rPr>
      </w:pPr>
      <w:r w:rsidRPr="00C3449D">
        <w:rPr>
          <w:rFonts w:cs="Arial"/>
          <w:b/>
          <w:sz w:val="36"/>
          <w:szCs w:val="36"/>
        </w:rPr>
        <w:t>IN AUSTRALIA AND NEW ZEALAND</w:t>
      </w:r>
    </w:p>
    <w:p w:rsidR="00CC4511" w:rsidRPr="00C3449D" w:rsidRDefault="00CC4511" w:rsidP="00356DAD">
      <w:pPr>
        <w:jc w:val="center"/>
        <w:rPr>
          <w:rFonts w:cs="Arial"/>
          <w:b/>
          <w:sz w:val="36"/>
          <w:szCs w:val="36"/>
        </w:rPr>
      </w:pPr>
      <w:r>
        <w:rPr>
          <w:rFonts w:cs="Arial"/>
          <w:b/>
          <w:sz w:val="36"/>
          <w:szCs w:val="36"/>
        </w:rPr>
        <w:t>2010-13</w:t>
      </w:r>
    </w:p>
    <w:p w:rsidR="00430FEA" w:rsidRDefault="00430FEA" w:rsidP="00356DAD">
      <w:pPr>
        <w:pStyle w:val="Heading1"/>
        <w:jc w:val="center"/>
        <w:rPr>
          <w:rFonts w:eastAsiaTheme="majorEastAsia" w:cstheme="majorBidi"/>
          <w:b w:val="0"/>
          <w:bCs w:val="0"/>
          <w:sz w:val="36"/>
          <w:szCs w:val="28"/>
        </w:rPr>
      </w:pPr>
    </w:p>
    <w:p w:rsidR="00430FEA" w:rsidRDefault="00430FEA" w:rsidP="00356DAD">
      <w:pPr>
        <w:pStyle w:val="Heading1"/>
        <w:jc w:val="center"/>
        <w:rPr>
          <w:rFonts w:eastAsiaTheme="majorEastAsia" w:cstheme="majorBidi"/>
          <w:b w:val="0"/>
          <w:bCs w:val="0"/>
          <w:sz w:val="36"/>
          <w:szCs w:val="28"/>
        </w:rPr>
      </w:pPr>
    </w:p>
    <w:p w:rsidR="00430FEA" w:rsidRDefault="00430FEA" w:rsidP="00356DAD">
      <w:pPr>
        <w:pStyle w:val="Heading1"/>
        <w:jc w:val="center"/>
        <w:rPr>
          <w:rFonts w:eastAsiaTheme="majorEastAsia" w:cstheme="majorBidi"/>
          <w:b w:val="0"/>
          <w:bCs w:val="0"/>
          <w:sz w:val="36"/>
          <w:szCs w:val="28"/>
        </w:rPr>
      </w:pPr>
    </w:p>
    <w:p w:rsidR="00430FEA" w:rsidRDefault="00430FEA" w:rsidP="00356DAD">
      <w:pPr>
        <w:pStyle w:val="Heading1"/>
        <w:jc w:val="center"/>
        <w:rPr>
          <w:rFonts w:eastAsiaTheme="majorEastAsia" w:cstheme="majorBidi"/>
          <w:b w:val="0"/>
          <w:bCs w:val="0"/>
          <w:sz w:val="36"/>
          <w:szCs w:val="28"/>
        </w:rPr>
      </w:pPr>
    </w:p>
    <w:p w:rsidR="00430FEA" w:rsidRDefault="00430FEA" w:rsidP="00356DAD">
      <w:pPr>
        <w:pStyle w:val="Heading1"/>
        <w:jc w:val="center"/>
        <w:rPr>
          <w:rFonts w:eastAsiaTheme="majorEastAsia" w:cstheme="majorBidi"/>
          <w:b w:val="0"/>
          <w:bCs w:val="0"/>
          <w:sz w:val="36"/>
          <w:szCs w:val="28"/>
        </w:rPr>
      </w:pPr>
    </w:p>
    <w:p w:rsidR="00430FEA" w:rsidRDefault="00430FEA" w:rsidP="00356DAD">
      <w:pPr>
        <w:pStyle w:val="Heading1"/>
        <w:jc w:val="center"/>
        <w:rPr>
          <w:rFonts w:eastAsiaTheme="majorEastAsia" w:cstheme="majorBidi"/>
          <w:b w:val="0"/>
          <w:bCs w:val="0"/>
          <w:sz w:val="36"/>
          <w:szCs w:val="28"/>
        </w:rPr>
      </w:pPr>
    </w:p>
    <w:p w:rsidR="00430FEA" w:rsidRDefault="00430FEA" w:rsidP="00356DAD">
      <w:pPr>
        <w:pStyle w:val="Heading1"/>
        <w:jc w:val="center"/>
        <w:rPr>
          <w:rFonts w:eastAsiaTheme="majorEastAsia" w:cstheme="majorBidi"/>
          <w:b w:val="0"/>
          <w:bCs w:val="0"/>
          <w:sz w:val="36"/>
          <w:szCs w:val="28"/>
        </w:rPr>
      </w:pPr>
    </w:p>
    <w:p w:rsidR="00430FEA" w:rsidRDefault="00430FEA" w:rsidP="00356DAD">
      <w:pPr>
        <w:pStyle w:val="Heading1"/>
        <w:jc w:val="center"/>
        <w:rPr>
          <w:rFonts w:eastAsiaTheme="majorEastAsia" w:cstheme="majorBidi"/>
          <w:b w:val="0"/>
          <w:bCs w:val="0"/>
          <w:sz w:val="36"/>
          <w:szCs w:val="28"/>
        </w:rPr>
      </w:pPr>
    </w:p>
    <w:p w:rsidR="00430FEA" w:rsidRDefault="00430FEA" w:rsidP="00356DAD">
      <w:pPr>
        <w:pStyle w:val="Heading1"/>
        <w:jc w:val="center"/>
        <w:rPr>
          <w:rFonts w:eastAsiaTheme="majorEastAsia" w:cstheme="majorBidi"/>
          <w:b w:val="0"/>
          <w:bCs w:val="0"/>
          <w:sz w:val="36"/>
          <w:szCs w:val="28"/>
        </w:rPr>
      </w:pPr>
    </w:p>
    <w:p w:rsidR="00430FEA" w:rsidRDefault="00430FEA" w:rsidP="00356DAD">
      <w:pPr>
        <w:pStyle w:val="Heading1"/>
        <w:jc w:val="center"/>
        <w:rPr>
          <w:rFonts w:eastAsiaTheme="majorEastAsia" w:cstheme="majorBidi"/>
          <w:b w:val="0"/>
          <w:bCs w:val="0"/>
          <w:sz w:val="36"/>
          <w:szCs w:val="28"/>
        </w:rPr>
      </w:pPr>
    </w:p>
    <w:p w:rsidR="00430FEA" w:rsidRDefault="00430FEA" w:rsidP="00356DAD">
      <w:pPr>
        <w:pStyle w:val="Heading1"/>
        <w:jc w:val="center"/>
        <w:rPr>
          <w:rFonts w:eastAsiaTheme="majorEastAsia" w:cstheme="majorBidi"/>
          <w:b w:val="0"/>
          <w:bCs w:val="0"/>
          <w:sz w:val="36"/>
          <w:szCs w:val="28"/>
        </w:rPr>
      </w:pPr>
    </w:p>
    <w:p w:rsidR="00430FEA" w:rsidRDefault="00430FEA" w:rsidP="00356DAD">
      <w:pPr>
        <w:pStyle w:val="Heading1"/>
        <w:jc w:val="center"/>
        <w:rPr>
          <w:rFonts w:eastAsiaTheme="majorEastAsia" w:cstheme="majorBidi"/>
          <w:b w:val="0"/>
          <w:bCs w:val="0"/>
          <w:sz w:val="36"/>
          <w:szCs w:val="28"/>
        </w:rPr>
      </w:pPr>
    </w:p>
    <w:p w:rsidR="00430FEA" w:rsidRDefault="00430FEA" w:rsidP="00356DAD">
      <w:pPr>
        <w:pStyle w:val="Heading1"/>
        <w:jc w:val="center"/>
        <w:rPr>
          <w:rFonts w:eastAsiaTheme="majorEastAsia" w:cstheme="majorBidi"/>
          <w:b w:val="0"/>
          <w:bCs w:val="0"/>
          <w:sz w:val="36"/>
          <w:szCs w:val="28"/>
        </w:rPr>
      </w:pPr>
    </w:p>
    <w:p w:rsidR="00430FEA" w:rsidRDefault="00430FEA" w:rsidP="00356DAD">
      <w:pPr>
        <w:pStyle w:val="Heading1"/>
        <w:jc w:val="center"/>
        <w:rPr>
          <w:rFonts w:eastAsiaTheme="majorEastAsia" w:cstheme="majorBidi"/>
          <w:b w:val="0"/>
          <w:bCs w:val="0"/>
          <w:sz w:val="36"/>
          <w:szCs w:val="28"/>
        </w:rPr>
      </w:pPr>
    </w:p>
    <w:p w:rsidR="00430FEA" w:rsidRDefault="00430FEA" w:rsidP="00356DAD">
      <w:pPr>
        <w:pStyle w:val="Heading1"/>
        <w:jc w:val="center"/>
        <w:rPr>
          <w:rFonts w:eastAsiaTheme="majorEastAsia" w:cstheme="majorBidi"/>
          <w:b w:val="0"/>
          <w:bCs w:val="0"/>
          <w:sz w:val="36"/>
          <w:szCs w:val="28"/>
        </w:rPr>
      </w:pPr>
    </w:p>
    <w:p w:rsidR="00356DAD" w:rsidRPr="00430FEA" w:rsidRDefault="00430FEA" w:rsidP="00356DAD">
      <w:pPr>
        <w:pStyle w:val="Heading1"/>
        <w:jc w:val="center"/>
        <w:rPr>
          <w:b w:val="0"/>
          <w:szCs w:val="22"/>
        </w:rPr>
      </w:pPr>
      <w:r w:rsidRPr="00430FEA">
        <w:rPr>
          <w:rFonts w:eastAsiaTheme="majorEastAsia" w:cstheme="majorBidi"/>
          <w:b w:val="0"/>
          <w:bCs w:val="0"/>
          <w:szCs w:val="22"/>
        </w:rPr>
        <w:t>Published April 2014</w:t>
      </w:r>
      <w:r w:rsidR="00356DAD" w:rsidRPr="00430FEA">
        <w:rPr>
          <w:rFonts w:eastAsiaTheme="majorEastAsia" w:cstheme="majorBidi"/>
          <w:b w:val="0"/>
          <w:bCs w:val="0"/>
          <w:szCs w:val="22"/>
        </w:rPr>
        <w:br w:type="page"/>
      </w:r>
    </w:p>
    <w:p w:rsidR="00356DAD" w:rsidRDefault="00356DAD" w:rsidP="00356DAD">
      <w:pPr>
        <w:rPr>
          <w:rFonts w:eastAsiaTheme="majorEastAsia" w:cs="Arial"/>
          <w:b/>
          <w:bCs/>
        </w:rPr>
        <w:sectPr w:rsidR="00356DAD">
          <w:headerReference w:type="default" r:id="rId11"/>
          <w:pgSz w:w="11906" w:h="16838"/>
          <w:pgMar w:top="1440" w:right="1440" w:bottom="1440" w:left="1440" w:header="709" w:footer="709" w:gutter="0"/>
          <w:pgNumType w:fmt="lowerRoman"/>
          <w:cols w:space="720"/>
        </w:sectPr>
      </w:pPr>
    </w:p>
    <w:p w:rsidR="00EE4365" w:rsidRPr="00B05B51" w:rsidRDefault="00EE4365" w:rsidP="00EE4365">
      <w:pPr>
        <w:rPr>
          <w:rFonts w:cs="Arial"/>
          <w:b/>
          <w:szCs w:val="22"/>
        </w:rPr>
      </w:pPr>
      <w:r w:rsidRPr="00B05B51">
        <w:rPr>
          <w:rFonts w:cs="Arial"/>
          <w:b/>
          <w:szCs w:val="22"/>
        </w:rPr>
        <w:lastRenderedPageBreak/>
        <w:t>SUMMARY</w:t>
      </w:r>
    </w:p>
    <w:p w:rsidR="00EE4365" w:rsidRPr="00B05B51" w:rsidRDefault="00EE4365" w:rsidP="00EE4365">
      <w:pPr>
        <w:rPr>
          <w:rFonts w:cs="Arial"/>
          <w:szCs w:val="22"/>
        </w:rPr>
      </w:pPr>
    </w:p>
    <w:p w:rsidR="00307E66" w:rsidRDefault="00AA3208">
      <w:pPr>
        <w:rPr>
          <w:rFonts w:cs="Arial"/>
          <w:szCs w:val="22"/>
        </w:rPr>
      </w:pPr>
      <w:r w:rsidRPr="00563634">
        <w:rPr>
          <w:rFonts w:cs="Arial"/>
          <w:szCs w:val="22"/>
        </w:rPr>
        <w:t>Plants contain many substances that can pose potential risks to consumers, and one of these types of substances is cyanogenic glycosides.</w:t>
      </w:r>
      <w:r>
        <w:rPr>
          <w:rFonts w:cs="Arial"/>
          <w:szCs w:val="22"/>
        </w:rPr>
        <w:t xml:space="preserve"> </w:t>
      </w:r>
      <w:r w:rsidRPr="0031561C">
        <w:rPr>
          <w:rFonts w:cs="Arial"/>
          <w:szCs w:val="22"/>
        </w:rPr>
        <w:t xml:space="preserve">There are approximately 25 </w:t>
      </w:r>
      <w:r>
        <w:rPr>
          <w:rFonts w:cs="Arial"/>
          <w:szCs w:val="22"/>
        </w:rPr>
        <w:t xml:space="preserve">known </w:t>
      </w:r>
      <w:r w:rsidRPr="0031561C">
        <w:rPr>
          <w:rFonts w:cs="Arial"/>
          <w:szCs w:val="22"/>
        </w:rPr>
        <w:t>cyanogenic glycosides</w:t>
      </w:r>
      <w:r>
        <w:rPr>
          <w:rFonts w:cs="Arial"/>
          <w:szCs w:val="22"/>
        </w:rPr>
        <w:t xml:space="preserve"> and these are generally found in the edible parts of plants, including </w:t>
      </w:r>
      <w:r w:rsidRPr="0031561C">
        <w:rPr>
          <w:rFonts w:cs="Arial"/>
          <w:szCs w:val="22"/>
        </w:rPr>
        <w:t xml:space="preserve">almonds, stone fruit, pome fruit, </w:t>
      </w:r>
      <w:r>
        <w:rPr>
          <w:rFonts w:cs="Arial"/>
          <w:szCs w:val="22"/>
        </w:rPr>
        <w:t xml:space="preserve">cassava, bamboo shoots, linseed/flaxseed and lima beans. </w:t>
      </w:r>
    </w:p>
    <w:p w:rsidR="004A7671" w:rsidRDefault="004A7671">
      <w:pPr>
        <w:rPr>
          <w:rFonts w:cs="Arial"/>
          <w:szCs w:val="22"/>
        </w:rPr>
      </w:pPr>
    </w:p>
    <w:p w:rsidR="00DD7148" w:rsidRDefault="00EE4365">
      <w:pPr>
        <w:rPr>
          <w:rFonts w:cs="Arial"/>
          <w:szCs w:val="22"/>
        </w:rPr>
      </w:pPr>
      <w:r w:rsidRPr="00E71FD3">
        <w:rPr>
          <w:rFonts w:cs="Arial"/>
          <w:szCs w:val="22"/>
        </w:rPr>
        <w:t xml:space="preserve">In </w:t>
      </w:r>
      <w:r w:rsidR="00DA6ADE" w:rsidRPr="00E71FD3">
        <w:rPr>
          <w:rFonts w:cs="Arial"/>
          <w:szCs w:val="22"/>
        </w:rPr>
        <w:t>2010</w:t>
      </w:r>
      <w:r w:rsidRPr="00E71FD3">
        <w:rPr>
          <w:rFonts w:cs="Arial"/>
          <w:szCs w:val="22"/>
        </w:rPr>
        <w:t xml:space="preserve">, a </w:t>
      </w:r>
      <w:r w:rsidR="00A5015C">
        <w:rPr>
          <w:rFonts w:cs="Arial"/>
          <w:szCs w:val="22"/>
        </w:rPr>
        <w:t>bi-</w:t>
      </w:r>
      <w:r w:rsidRPr="00E71FD3">
        <w:rPr>
          <w:rFonts w:cs="Arial"/>
          <w:szCs w:val="22"/>
        </w:rPr>
        <w:t xml:space="preserve">national coordinated </w:t>
      </w:r>
      <w:r w:rsidR="00136AF4">
        <w:rPr>
          <w:rFonts w:cs="Arial"/>
          <w:szCs w:val="22"/>
        </w:rPr>
        <w:t xml:space="preserve">food </w:t>
      </w:r>
      <w:r w:rsidRPr="00E71FD3">
        <w:rPr>
          <w:rFonts w:cs="Arial"/>
          <w:szCs w:val="22"/>
        </w:rPr>
        <w:t xml:space="preserve">survey of </w:t>
      </w:r>
      <w:r w:rsidR="00DA6ADE" w:rsidRPr="00E71FD3">
        <w:rPr>
          <w:rFonts w:cs="Arial"/>
          <w:szCs w:val="22"/>
        </w:rPr>
        <w:t>cyanogenic glycosides in plant</w:t>
      </w:r>
      <w:r w:rsidR="00DC4611">
        <w:rPr>
          <w:rFonts w:cs="Arial"/>
          <w:szCs w:val="22"/>
        </w:rPr>
        <w:t>-</w:t>
      </w:r>
      <w:r w:rsidR="00DA6ADE" w:rsidRPr="00E71FD3">
        <w:rPr>
          <w:rFonts w:cs="Arial"/>
          <w:szCs w:val="22"/>
        </w:rPr>
        <w:t xml:space="preserve">based foods </w:t>
      </w:r>
      <w:r w:rsidR="00470393">
        <w:rPr>
          <w:rFonts w:cs="Arial"/>
          <w:szCs w:val="22"/>
        </w:rPr>
        <w:t>commenced</w:t>
      </w:r>
      <w:r w:rsidR="00173A77">
        <w:rPr>
          <w:rFonts w:cs="Arial"/>
          <w:szCs w:val="22"/>
        </w:rPr>
        <w:t xml:space="preserve"> under </w:t>
      </w:r>
      <w:r w:rsidR="00E3581E">
        <w:rPr>
          <w:rFonts w:cs="Arial"/>
          <w:szCs w:val="22"/>
        </w:rPr>
        <w:t xml:space="preserve">the </w:t>
      </w:r>
      <w:r w:rsidR="00E3581E" w:rsidRPr="00E3581E">
        <w:rPr>
          <w:rFonts w:cs="Arial"/>
          <w:szCs w:val="22"/>
        </w:rPr>
        <w:t xml:space="preserve">Food Regulation Standing Committee’s </w:t>
      </w:r>
      <w:r w:rsidR="00823493">
        <w:rPr>
          <w:rFonts w:cs="Arial"/>
          <w:szCs w:val="22"/>
        </w:rPr>
        <w:t xml:space="preserve">(FRSC) </w:t>
      </w:r>
      <w:r w:rsidR="00E3581E" w:rsidRPr="00E3581E">
        <w:rPr>
          <w:rFonts w:cs="Arial"/>
          <w:szCs w:val="22"/>
        </w:rPr>
        <w:t xml:space="preserve">Implementation Sub-Committee </w:t>
      </w:r>
      <w:r w:rsidR="00823493">
        <w:rPr>
          <w:rFonts w:cs="Arial"/>
          <w:szCs w:val="22"/>
        </w:rPr>
        <w:t xml:space="preserve">for Food Regulation’s </w:t>
      </w:r>
      <w:r w:rsidR="00E3581E" w:rsidRPr="00E3581E">
        <w:rPr>
          <w:rFonts w:cs="Arial"/>
          <w:szCs w:val="22"/>
        </w:rPr>
        <w:t>(IS</w:t>
      </w:r>
      <w:r w:rsidR="00823493">
        <w:rPr>
          <w:rFonts w:cs="Arial"/>
          <w:szCs w:val="22"/>
        </w:rPr>
        <w:t>FR</w:t>
      </w:r>
      <w:r w:rsidR="00E3581E" w:rsidRPr="00E3581E">
        <w:rPr>
          <w:rFonts w:cs="Arial"/>
          <w:szCs w:val="22"/>
        </w:rPr>
        <w:t xml:space="preserve">) </w:t>
      </w:r>
      <w:r w:rsidR="00136AF4">
        <w:rPr>
          <w:rFonts w:cs="Arial"/>
          <w:szCs w:val="22"/>
        </w:rPr>
        <w:t>C</w:t>
      </w:r>
      <w:r w:rsidR="00173A77">
        <w:rPr>
          <w:rFonts w:cs="Arial"/>
          <w:szCs w:val="22"/>
        </w:rPr>
        <w:t xml:space="preserve">oordinated </w:t>
      </w:r>
      <w:r w:rsidR="00136AF4">
        <w:rPr>
          <w:rFonts w:cs="Arial"/>
          <w:szCs w:val="22"/>
        </w:rPr>
        <w:t>F</w:t>
      </w:r>
      <w:r w:rsidR="00173A77">
        <w:rPr>
          <w:rFonts w:cs="Arial"/>
          <w:szCs w:val="22"/>
        </w:rPr>
        <w:t xml:space="preserve">ood </w:t>
      </w:r>
      <w:r w:rsidR="00136AF4">
        <w:rPr>
          <w:rFonts w:cs="Arial"/>
          <w:szCs w:val="22"/>
        </w:rPr>
        <w:t>S</w:t>
      </w:r>
      <w:r w:rsidR="00173A77">
        <w:rPr>
          <w:rFonts w:cs="Arial"/>
          <w:szCs w:val="22"/>
        </w:rPr>
        <w:t xml:space="preserve">urvey </w:t>
      </w:r>
      <w:r w:rsidR="00136AF4">
        <w:rPr>
          <w:rFonts w:cs="Arial"/>
          <w:szCs w:val="22"/>
        </w:rPr>
        <w:t>P</w:t>
      </w:r>
      <w:r w:rsidR="00173A77">
        <w:rPr>
          <w:rFonts w:cs="Arial"/>
          <w:szCs w:val="22"/>
        </w:rPr>
        <w:t>lan</w:t>
      </w:r>
      <w:r w:rsidR="00972D6B">
        <w:rPr>
          <w:rFonts w:cs="Arial"/>
          <w:szCs w:val="22"/>
        </w:rPr>
        <w:t xml:space="preserve">. </w:t>
      </w:r>
      <w:r w:rsidRPr="004B69A8">
        <w:rPr>
          <w:rFonts w:cs="Arial"/>
          <w:szCs w:val="22"/>
        </w:rPr>
        <w:t xml:space="preserve">Food Standards Australia New Zealand (FSANZ) </w:t>
      </w:r>
      <w:r w:rsidR="00972D6B" w:rsidRPr="004B69A8">
        <w:rPr>
          <w:rFonts w:cs="Arial"/>
          <w:szCs w:val="22"/>
        </w:rPr>
        <w:t xml:space="preserve">and </w:t>
      </w:r>
      <w:r w:rsidR="004B69A8" w:rsidRPr="004B69A8">
        <w:rPr>
          <w:rFonts w:cs="Arial"/>
          <w:szCs w:val="22"/>
        </w:rPr>
        <w:t>the New Zealand Ministry for Primary Industries</w:t>
      </w:r>
      <w:r w:rsidR="004B4572">
        <w:rPr>
          <w:rFonts w:cs="Arial"/>
          <w:szCs w:val="22"/>
        </w:rPr>
        <w:t xml:space="preserve"> </w:t>
      </w:r>
      <w:r w:rsidR="00972D6B" w:rsidRPr="004B69A8">
        <w:rPr>
          <w:rFonts w:cs="Arial"/>
          <w:szCs w:val="22"/>
        </w:rPr>
        <w:t>(</w:t>
      </w:r>
      <w:r w:rsidR="008A3EBC">
        <w:rPr>
          <w:rFonts w:cs="Arial"/>
          <w:szCs w:val="22"/>
        </w:rPr>
        <w:t xml:space="preserve">NZ </w:t>
      </w:r>
      <w:r w:rsidR="00972D6B" w:rsidRPr="004B69A8">
        <w:rPr>
          <w:rFonts w:cs="Arial"/>
          <w:szCs w:val="22"/>
        </w:rPr>
        <w:t>MPI</w:t>
      </w:r>
      <w:r w:rsidR="004B69A8" w:rsidRPr="004B69A8">
        <w:rPr>
          <w:rFonts w:cs="Arial"/>
          <w:szCs w:val="22"/>
        </w:rPr>
        <w:t>)</w:t>
      </w:r>
      <w:r w:rsidR="00972D6B" w:rsidRPr="004B69A8">
        <w:rPr>
          <w:rFonts w:cs="Arial"/>
          <w:szCs w:val="22"/>
        </w:rPr>
        <w:t xml:space="preserve"> were the lead agencies</w:t>
      </w:r>
      <w:r w:rsidR="004B69A8" w:rsidRPr="004B69A8">
        <w:rPr>
          <w:rFonts w:cs="Arial"/>
          <w:szCs w:val="22"/>
        </w:rPr>
        <w:t xml:space="preserve">, </w:t>
      </w:r>
      <w:r w:rsidR="004B69A8">
        <w:rPr>
          <w:rFonts w:cs="Arial"/>
          <w:szCs w:val="22"/>
        </w:rPr>
        <w:t xml:space="preserve">coordinating </w:t>
      </w:r>
      <w:r w:rsidR="00056F5C">
        <w:rPr>
          <w:rFonts w:cs="Arial"/>
          <w:szCs w:val="22"/>
        </w:rPr>
        <w:t xml:space="preserve">a total of three survey activities </w:t>
      </w:r>
      <w:r w:rsidR="004A78D3">
        <w:rPr>
          <w:rFonts w:cs="Arial"/>
          <w:szCs w:val="22"/>
        </w:rPr>
        <w:t xml:space="preserve">during 2010-2013 </w:t>
      </w:r>
      <w:r w:rsidRPr="004B69A8">
        <w:rPr>
          <w:rFonts w:cs="Arial"/>
          <w:szCs w:val="22"/>
        </w:rPr>
        <w:t xml:space="preserve">in consultation with Australian </w:t>
      </w:r>
      <w:r w:rsidR="004B69A8">
        <w:rPr>
          <w:rFonts w:cs="Arial"/>
          <w:szCs w:val="22"/>
        </w:rPr>
        <w:t>s</w:t>
      </w:r>
      <w:r w:rsidRPr="004B69A8">
        <w:rPr>
          <w:rFonts w:cs="Arial"/>
          <w:szCs w:val="22"/>
        </w:rPr>
        <w:t xml:space="preserve">tates and </w:t>
      </w:r>
      <w:r w:rsidR="004B69A8">
        <w:rPr>
          <w:rFonts w:cs="Arial"/>
          <w:szCs w:val="22"/>
        </w:rPr>
        <w:t>territories</w:t>
      </w:r>
      <w:r w:rsidRPr="004B69A8">
        <w:rPr>
          <w:rFonts w:cs="Arial"/>
          <w:szCs w:val="22"/>
        </w:rPr>
        <w:t xml:space="preserve">. </w:t>
      </w:r>
    </w:p>
    <w:p w:rsidR="000217A3" w:rsidRDefault="000217A3">
      <w:pPr>
        <w:rPr>
          <w:rFonts w:cs="Arial"/>
          <w:szCs w:val="22"/>
        </w:rPr>
      </w:pPr>
    </w:p>
    <w:p w:rsidR="00D24AE9" w:rsidRDefault="00DD7148">
      <w:pPr>
        <w:rPr>
          <w:rFonts w:cs="Arial"/>
          <w:szCs w:val="22"/>
        </w:rPr>
      </w:pPr>
      <w:r>
        <w:rPr>
          <w:rFonts w:cs="Arial"/>
          <w:szCs w:val="22"/>
        </w:rPr>
        <w:t xml:space="preserve">The survey identified that cyanogenic glycosides </w:t>
      </w:r>
      <w:r w:rsidR="000217A3">
        <w:rPr>
          <w:rFonts w:cs="Arial"/>
          <w:szCs w:val="22"/>
        </w:rPr>
        <w:t xml:space="preserve">(measured as hydrocyanic acid or HCN) </w:t>
      </w:r>
      <w:r w:rsidR="00470393">
        <w:rPr>
          <w:rFonts w:cs="Arial"/>
          <w:szCs w:val="22"/>
        </w:rPr>
        <w:t xml:space="preserve">are </w:t>
      </w:r>
      <w:r>
        <w:rPr>
          <w:rFonts w:cs="Arial"/>
          <w:szCs w:val="22"/>
        </w:rPr>
        <w:t>present in a wide range of Australian and New Zealand plant-based foods</w:t>
      </w:r>
      <w:r w:rsidR="00D24AE9" w:rsidRPr="00D24AE9">
        <w:rPr>
          <w:rFonts w:cs="Arial"/>
          <w:szCs w:val="22"/>
        </w:rPr>
        <w:t xml:space="preserve"> </w:t>
      </w:r>
      <w:r w:rsidR="00D24AE9">
        <w:rPr>
          <w:rFonts w:cs="Arial"/>
          <w:szCs w:val="22"/>
        </w:rPr>
        <w:t xml:space="preserve">at levels consistent with or lower than those reported in the scientific literature. </w:t>
      </w:r>
      <w:r w:rsidR="00D24AE9" w:rsidRPr="00D24AE9">
        <w:rPr>
          <w:rFonts w:cs="Arial"/>
          <w:szCs w:val="22"/>
        </w:rPr>
        <w:t>Raw apricot kernels with skin contained HCN concentrations that were substantially higher than any other food analysed.</w:t>
      </w:r>
    </w:p>
    <w:p w:rsidR="00D24AE9" w:rsidRDefault="00D24AE9">
      <w:pPr>
        <w:rPr>
          <w:rFonts w:cs="Arial"/>
          <w:szCs w:val="22"/>
        </w:rPr>
      </w:pPr>
    </w:p>
    <w:p w:rsidR="00DD7148" w:rsidRPr="00AF0B88" w:rsidRDefault="00D24AE9" w:rsidP="00EE4365">
      <w:pPr>
        <w:rPr>
          <w:rFonts w:cs="Arial"/>
          <w:szCs w:val="22"/>
          <w:highlight w:val="lightGray"/>
        </w:rPr>
      </w:pPr>
      <w:r>
        <w:rPr>
          <w:rFonts w:cs="Arial"/>
          <w:szCs w:val="22"/>
        </w:rPr>
        <w:t xml:space="preserve">The survey also identified that the HCN levels detected in the analysed foods were </w:t>
      </w:r>
      <w:r w:rsidR="00DD7148">
        <w:rPr>
          <w:rFonts w:cs="Arial"/>
          <w:szCs w:val="22"/>
        </w:rPr>
        <w:t>within the regulatory limits for HCN (</w:t>
      </w:r>
      <w:r w:rsidR="000217A3">
        <w:rPr>
          <w:rFonts w:cs="Arial"/>
          <w:szCs w:val="22"/>
        </w:rPr>
        <w:t>w</w:t>
      </w:r>
      <w:r w:rsidR="00DD7148">
        <w:rPr>
          <w:rFonts w:cs="Arial"/>
          <w:szCs w:val="22"/>
        </w:rPr>
        <w:t>here such regulatory limits exist) in all b</w:t>
      </w:r>
      <w:r w:rsidR="00470393">
        <w:rPr>
          <w:rFonts w:cs="Arial"/>
          <w:szCs w:val="22"/>
        </w:rPr>
        <w:t>ut</w:t>
      </w:r>
      <w:r>
        <w:rPr>
          <w:rFonts w:cs="Arial"/>
          <w:szCs w:val="22"/>
        </w:rPr>
        <w:t xml:space="preserve"> two cases. </w:t>
      </w:r>
      <w:r w:rsidR="00DD7148">
        <w:rPr>
          <w:lang w:val="en-GB" w:eastAsia="en-US" w:bidi="en-US"/>
        </w:rPr>
        <w:t xml:space="preserve">In the case of cassava roots, one sample did not comply with the regulatory requirements in Standard 1.4.4 </w:t>
      </w:r>
      <w:r w:rsidR="0081020F">
        <w:rPr>
          <w:lang w:val="en-GB" w:eastAsia="en-US" w:bidi="en-US"/>
        </w:rPr>
        <w:t xml:space="preserve">of the Australia New Zealand Food Standards Code (the Code) </w:t>
      </w:r>
      <w:r w:rsidR="00DD7148">
        <w:rPr>
          <w:lang w:val="en-GB" w:eastAsia="en-US" w:bidi="en-US"/>
        </w:rPr>
        <w:t xml:space="preserve">covering prohibited and restricted plants, namely, it did not meet the criteria for ‘sweet cassava’ which may be sold in Australia and New Zealand, as it contained greater than the 50 mg HCN/kg limit that defines ‘sweet cassava’. </w:t>
      </w:r>
      <w:r>
        <w:rPr>
          <w:lang w:val="en-GB" w:eastAsia="en-US" w:bidi="en-US"/>
        </w:rPr>
        <w:t>One</w:t>
      </w:r>
      <w:r w:rsidR="00DD7148">
        <w:rPr>
          <w:lang w:val="en-GB" w:eastAsia="en-US" w:bidi="en-US"/>
        </w:rPr>
        <w:t xml:space="preserve"> sample of apricot nectar did not comply with the current Maximum Level (ML) of 5 mg HCN/kg permitted in stone fruit juices</w:t>
      </w:r>
      <w:r w:rsidR="0081020F">
        <w:rPr>
          <w:lang w:val="en-GB" w:eastAsia="en-US" w:bidi="en-US"/>
        </w:rPr>
        <w:t>, as required in Standard 1.4.1</w:t>
      </w:r>
      <w:r w:rsidR="00DD7148">
        <w:rPr>
          <w:lang w:val="en-GB" w:eastAsia="en-US" w:bidi="en-US"/>
        </w:rPr>
        <w:t xml:space="preserve">. </w:t>
      </w:r>
    </w:p>
    <w:p w:rsidR="00251B24" w:rsidRDefault="00251B24" w:rsidP="00EA25A3">
      <w:pPr>
        <w:rPr>
          <w:rFonts w:cs="Arial"/>
          <w:szCs w:val="22"/>
        </w:rPr>
      </w:pPr>
    </w:p>
    <w:p w:rsidR="003A308A" w:rsidRDefault="00895301" w:rsidP="00EA25A3">
      <w:pPr>
        <w:rPr>
          <w:rFonts w:cs="Arial"/>
          <w:szCs w:val="22"/>
        </w:rPr>
      </w:pPr>
      <w:r w:rsidRPr="00744085">
        <w:rPr>
          <w:rFonts w:cs="Arial"/>
          <w:szCs w:val="22"/>
        </w:rPr>
        <w:t xml:space="preserve">Dietary exposure to elevated levels of </w:t>
      </w:r>
      <w:r w:rsidR="00254923" w:rsidRPr="00744085">
        <w:rPr>
          <w:rFonts w:cs="Arial"/>
          <w:szCs w:val="22"/>
        </w:rPr>
        <w:t xml:space="preserve">some </w:t>
      </w:r>
      <w:r w:rsidRPr="00744085">
        <w:rPr>
          <w:rFonts w:cs="Arial"/>
          <w:szCs w:val="22"/>
        </w:rPr>
        <w:t>c</w:t>
      </w:r>
      <w:r w:rsidR="0081020F" w:rsidRPr="00744085">
        <w:rPr>
          <w:rFonts w:cs="Arial"/>
          <w:szCs w:val="22"/>
        </w:rPr>
        <w:t>yanogenic glycoside</w:t>
      </w:r>
      <w:r w:rsidRPr="00744085">
        <w:rPr>
          <w:rFonts w:cs="Arial"/>
          <w:szCs w:val="22"/>
        </w:rPr>
        <w:t>s</w:t>
      </w:r>
      <w:r w:rsidR="0081020F" w:rsidRPr="00744085">
        <w:rPr>
          <w:rFonts w:cs="Arial"/>
          <w:szCs w:val="22"/>
        </w:rPr>
        <w:t xml:space="preserve"> </w:t>
      </w:r>
      <w:r w:rsidR="008C4A58" w:rsidRPr="00744085">
        <w:rPr>
          <w:rFonts w:cs="Arial"/>
          <w:szCs w:val="22"/>
        </w:rPr>
        <w:t xml:space="preserve">in food </w:t>
      </w:r>
      <w:r w:rsidRPr="00744085">
        <w:rPr>
          <w:rFonts w:cs="Arial"/>
          <w:szCs w:val="22"/>
        </w:rPr>
        <w:t xml:space="preserve">has the potential to </w:t>
      </w:r>
      <w:r w:rsidR="00242E28" w:rsidRPr="00744085">
        <w:rPr>
          <w:rFonts w:cs="Arial"/>
          <w:szCs w:val="22"/>
        </w:rPr>
        <w:t>cause</w:t>
      </w:r>
      <w:r w:rsidRPr="00744085">
        <w:rPr>
          <w:rFonts w:cs="Arial"/>
          <w:szCs w:val="22"/>
        </w:rPr>
        <w:t xml:space="preserve"> </w:t>
      </w:r>
      <w:r w:rsidR="0081020F" w:rsidRPr="00744085">
        <w:rPr>
          <w:rFonts w:cs="Arial"/>
          <w:szCs w:val="22"/>
        </w:rPr>
        <w:t xml:space="preserve">acute cyanide poisoning </w:t>
      </w:r>
      <w:r w:rsidR="00744085">
        <w:rPr>
          <w:rFonts w:cs="Arial"/>
          <w:szCs w:val="22"/>
        </w:rPr>
        <w:t xml:space="preserve">or </w:t>
      </w:r>
      <w:r w:rsidR="00242E28" w:rsidRPr="00744085">
        <w:rPr>
          <w:rFonts w:cs="Arial"/>
          <w:szCs w:val="22"/>
        </w:rPr>
        <w:t xml:space="preserve">a </w:t>
      </w:r>
      <w:r w:rsidRPr="00744085">
        <w:rPr>
          <w:rFonts w:cs="Arial"/>
          <w:szCs w:val="22"/>
        </w:rPr>
        <w:t xml:space="preserve">debilitating </w:t>
      </w:r>
      <w:r w:rsidR="00242E28" w:rsidRPr="00744085">
        <w:rPr>
          <w:rFonts w:cs="Arial"/>
          <w:szCs w:val="22"/>
        </w:rPr>
        <w:t xml:space="preserve">irreversible </w:t>
      </w:r>
      <w:r w:rsidRPr="00744085">
        <w:rPr>
          <w:rFonts w:cs="Arial"/>
          <w:szCs w:val="22"/>
        </w:rPr>
        <w:t>neurological condition</w:t>
      </w:r>
      <w:r w:rsidR="00242E28" w:rsidRPr="00744085">
        <w:rPr>
          <w:rFonts w:cs="Arial"/>
          <w:szCs w:val="22"/>
        </w:rPr>
        <w:t xml:space="preserve"> in the long term</w:t>
      </w:r>
      <w:r w:rsidR="0081020F" w:rsidRPr="00744085">
        <w:rPr>
          <w:rFonts w:cs="Arial"/>
          <w:szCs w:val="22"/>
        </w:rPr>
        <w:t>.</w:t>
      </w:r>
      <w:r w:rsidR="0081020F">
        <w:rPr>
          <w:rFonts w:cs="Arial"/>
          <w:szCs w:val="22"/>
        </w:rPr>
        <w:t xml:space="preserve"> </w:t>
      </w:r>
      <w:r w:rsidR="003A308A" w:rsidRPr="003A308A">
        <w:rPr>
          <w:rFonts w:cs="Arial"/>
          <w:szCs w:val="22"/>
        </w:rPr>
        <w:t xml:space="preserve">A risk assessment was undertaken </w:t>
      </w:r>
      <w:r w:rsidR="00DA69F2">
        <w:rPr>
          <w:rFonts w:cs="Arial"/>
          <w:szCs w:val="22"/>
        </w:rPr>
        <w:t>t</w:t>
      </w:r>
      <w:r w:rsidR="003A308A" w:rsidRPr="003A308A">
        <w:rPr>
          <w:rFonts w:cs="Arial"/>
          <w:szCs w:val="22"/>
        </w:rPr>
        <w:t xml:space="preserve">o determine </w:t>
      </w:r>
      <w:r w:rsidR="003A308A">
        <w:rPr>
          <w:rFonts w:cs="Arial"/>
          <w:szCs w:val="22"/>
        </w:rPr>
        <w:t xml:space="preserve">whether there are </w:t>
      </w:r>
      <w:r w:rsidR="003A308A" w:rsidRPr="003A308A">
        <w:rPr>
          <w:rFonts w:cs="Arial"/>
          <w:szCs w:val="22"/>
        </w:rPr>
        <w:t xml:space="preserve">any public health and safety issues </w:t>
      </w:r>
      <w:r w:rsidR="003A308A">
        <w:rPr>
          <w:rFonts w:cs="Arial"/>
          <w:szCs w:val="22"/>
        </w:rPr>
        <w:t xml:space="preserve">associated with consuming foods </w:t>
      </w:r>
      <w:r w:rsidR="00DA69F2">
        <w:rPr>
          <w:rFonts w:cs="Arial"/>
          <w:szCs w:val="22"/>
        </w:rPr>
        <w:t>containing cyanogenic glycosides</w:t>
      </w:r>
      <w:r w:rsidR="003A308A">
        <w:rPr>
          <w:rFonts w:cs="Arial"/>
          <w:szCs w:val="22"/>
        </w:rPr>
        <w:t xml:space="preserve"> </w:t>
      </w:r>
      <w:r w:rsidR="003A308A" w:rsidRPr="003A308A">
        <w:rPr>
          <w:rFonts w:cs="Arial"/>
          <w:szCs w:val="22"/>
        </w:rPr>
        <w:t>and to assist in determining if any risk management options need to be considered.</w:t>
      </w:r>
      <w:r w:rsidR="003A308A">
        <w:rPr>
          <w:rFonts w:cs="Arial"/>
          <w:szCs w:val="22"/>
        </w:rPr>
        <w:t xml:space="preserve"> </w:t>
      </w:r>
    </w:p>
    <w:p w:rsidR="00B2222F" w:rsidRDefault="00B2222F" w:rsidP="00EA25A3">
      <w:pPr>
        <w:rPr>
          <w:rFonts w:cs="Arial"/>
          <w:szCs w:val="22"/>
        </w:rPr>
      </w:pPr>
    </w:p>
    <w:p w:rsidR="00C25C1D" w:rsidRPr="00D33562" w:rsidRDefault="00134B5F" w:rsidP="00C25C1D">
      <w:pPr>
        <w:widowControl w:val="0"/>
        <w:rPr>
          <w:lang w:val="en-GB" w:eastAsia="en-US" w:bidi="en-US"/>
        </w:rPr>
      </w:pPr>
      <w:r>
        <w:rPr>
          <w:lang w:val="en-GB" w:eastAsia="en-US" w:bidi="en-US"/>
        </w:rPr>
        <w:t>H</w:t>
      </w:r>
      <w:r w:rsidR="00C25C1D" w:rsidRPr="00D33562">
        <w:rPr>
          <w:lang w:val="en-GB" w:eastAsia="en-US" w:bidi="en-US"/>
        </w:rPr>
        <w:t>azard assessment</w:t>
      </w:r>
      <w:r>
        <w:rPr>
          <w:lang w:val="en-GB" w:eastAsia="en-US" w:bidi="en-US"/>
        </w:rPr>
        <w:t>s</w:t>
      </w:r>
      <w:r w:rsidR="00C25C1D" w:rsidRPr="00D33562">
        <w:rPr>
          <w:lang w:val="en-GB" w:eastAsia="en-US" w:bidi="en-US"/>
        </w:rPr>
        <w:t xml:space="preserve"> </w:t>
      </w:r>
      <w:r w:rsidR="003B1FA2">
        <w:rPr>
          <w:lang w:val="en-GB" w:eastAsia="en-US" w:bidi="en-US"/>
        </w:rPr>
        <w:t xml:space="preserve">established </w:t>
      </w:r>
      <w:r w:rsidR="00C25C1D" w:rsidRPr="00D33562">
        <w:rPr>
          <w:lang w:val="en-GB" w:eastAsia="en-US" w:bidi="en-US"/>
        </w:rPr>
        <w:t>two health</w:t>
      </w:r>
      <w:r w:rsidR="000D2A74">
        <w:rPr>
          <w:lang w:val="en-GB" w:eastAsia="en-US" w:bidi="en-US"/>
        </w:rPr>
        <w:t>-</w:t>
      </w:r>
      <w:r w:rsidR="00C25C1D" w:rsidRPr="00D33562">
        <w:rPr>
          <w:lang w:val="en-GB" w:eastAsia="en-US" w:bidi="en-US"/>
        </w:rPr>
        <w:t xml:space="preserve">based guidance values </w:t>
      </w:r>
      <w:r w:rsidR="000D2A74">
        <w:rPr>
          <w:lang w:val="en-GB" w:eastAsia="en-US" w:bidi="en-US"/>
        </w:rPr>
        <w:t>(HBGVs)</w:t>
      </w:r>
      <w:r w:rsidR="00C25C1D" w:rsidRPr="00D33562">
        <w:rPr>
          <w:lang w:val="en-GB" w:eastAsia="en-US" w:bidi="en-US"/>
        </w:rPr>
        <w:t>. For chronic or long term effects, the provisional maximum tolerable daily intake (PMTDI)</w:t>
      </w:r>
      <w:r w:rsidR="00C07CE7">
        <w:rPr>
          <w:rStyle w:val="FootnoteReference"/>
          <w:lang w:val="en-GB" w:eastAsia="en-US" w:bidi="en-US"/>
        </w:rPr>
        <w:footnoteReference w:id="2"/>
      </w:r>
      <w:r w:rsidR="00C25C1D" w:rsidRPr="00D33562">
        <w:rPr>
          <w:lang w:val="en-GB" w:eastAsia="en-US" w:bidi="en-US"/>
        </w:rPr>
        <w:t xml:space="preserve"> of 20 µg cyanide/kg body weight, established by</w:t>
      </w:r>
      <w:r w:rsidR="00626F43">
        <w:rPr>
          <w:lang w:val="en-GB" w:eastAsia="en-US" w:bidi="en-US"/>
        </w:rPr>
        <w:t xml:space="preserve"> the </w:t>
      </w:r>
      <w:r w:rsidR="00626F43" w:rsidRPr="00626F43">
        <w:rPr>
          <w:lang w:val="en-GB" w:eastAsia="en-US" w:bidi="en-US"/>
        </w:rPr>
        <w:t>Joint FAO/WHO Expert Committee on Food Additives</w:t>
      </w:r>
      <w:r w:rsidR="00C25C1D" w:rsidRPr="00D33562">
        <w:rPr>
          <w:lang w:val="en-GB" w:eastAsia="en-US" w:bidi="en-US"/>
        </w:rPr>
        <w:t xml:space="preserve"> </w:t>
      </w:r>
      <w:r w:rsidR="00626F43">
        <w:rPr>
          <w:lang w:val="en-GB" w:eastAsia="en-US" w:bidi="en-US"/>
        </w:rPr>
        <w:t>(</w:t>
      </w:r>
      <w:r w:rsidR="00C25C1D" w:rsidRPr="00D33562">
        <w:rPr>
          <w:lang w:val="en-GB" w:eastAsia="en-US" w:bidi="en-US"/>
        </w:rPr>
        <w:t>JECFA</w:t>
      </w:r>
      <w:r w:rsidR="00626F43">
        <w:rPr>
          <w:lang w:val="en-GB" w:eastAsia="en-US" w:bidi="en-US"/>
        </w:rPr>
        <w:t>)</w:t>
      </w:r>
      <w:r w:rsidR="00C25C1D" w:rsidRPr="00D33562">
        <w:rPr>
          <w:lang w:val="en-GB" w:eastAsia="en-US" w:bidi="en-US"/>
        </w:rPr>
        <w:t xml:space="preserve"> was used.</w:t>
      </w:r>
      <w:r w:rsidR="00C25C1D">
        <w:rPr>
          <w:lang w:val="en-GB" w:eastAsia="en-US" w:bidi="en-US"/>
        </w:rPr>
        <w:t xml:space="preserve"> </w:t>
      </w:r>
      <w:r w:rsidR="00C25C1D" w:rsidRPr="00D33562">
        <w:rPr>
          <w:lang w:val="en-GB" w:eastAsia="en-US" w:bidi="en-US"/>
        </w:rPr>
        <w:t>For acute effects,</w:t>
      </w:r>
      <w:r w:rsidR="00C25C1D">
        <w:rPr>
          <w:lang w:val="en-GB" w:eastAsia="en-US" w:bidi="en-US"/>
        </w:rPr>
        <w:t xml:space="preserve"> the</w:t>
      </w:r>
      <w:r w:rsidR="00C25C1D" w:rsidRPr="00D33562">
        <w:rPr>
          <w:lang w:val="en-GB" w:eastAsia="en-US" w:bidi="en-US"/>
        </w:rPr>
        <w:t xml:space="preserve"> </w:t>
      </w:r>
      <w:r w:rsidR="004C36BB">
        <w:rPr>
          <w:lang w:val="en-GB" w:eastAsia="en-US" w:bidi="en-US"/>
        </w:rPr>
        <w:t>acute reference dose (</w:t>
      </w:r>
      <w:r w:rsidR="00C25C1D" w:rsidRPr="00D33562">
        <w:rPr>
          <w:lang w:val="en-GB" w:eastAsia="en-US" w:bidi="en-US"/>
        </w:rPr>
        <w:t>ARfD</w:t>
      </w:r>
      <w:r w:rsidR="004C36BB">
        <w:rPr>
          <w:lang w:val="en-GB" w:eastAsia="en-US" w:bidi="en-US"/>
        </w:rPr>
        <w:t>)</w:t>
      </w:r>
      <w:r w:rsidR="004C36BB">
        <w:rPr>
          <w:rStyle w:val="FootnoteReference"/>
          <w:lang w:val="en-GB" w:eastAsia="en-US" w:bidi="en-US"/>
        </w:rPr>
        <w:footnoteReference w:id="3"/>
      </w:r>
      <w:r w:rsidR="00C25C1D" w:rsidRPr="00D33562">
        <w:rPr>
          <w:lang w:val="en-GB" w:eastAsia="en-US" w:bidi="en-US"/>
        </w:rPr>
        <w:t xml:space="preserve"> of 80 µg HCN/kg body weight previously established by FSANZ was used</w:t>
      </w:r>
      <w:r w:rsidR="0014633A">
        <w:rPr>
          <w:lang w:val="en-GB" w:eastAsia="en-US" w:bidi="en-US"/>
        </w:rPr>
        <w:t xml:space="preserve"> (FSANZ, 2008b)</w:t>
      </w:r>
      <w:r w:rsidR="0013035E">
        <w:rPr>
          <w:lang w:val="en-GB" w:eastAsia="en-US" w:bidi="en-US"/>
        </w:rPr>
        <w:t>.</w:t>
      </w:r>
      <w:r w:rsidR="00C25C1D" w:rsidRPr="00D33562">
        <w:rPr>
          <w:lang w:val="en-GB" w:eastAsia="en-US" w:bidi="en-US"/>
        </w:rPr>
        <w:t xml:space="preserve"> </w:t>
      </w:r>
    </w:p>
    <w:p w:rsidR="008D0E4A" w:rsidRDefault="008D0E4A" w:rsidP="00EA25A3">
      <w:pPr>
        <w:rPr>
          <w:rFonts w:cs="Arial"/>
          <w:szCs w:val="22"/>
        </w:rPr>
      </w:pPr>
    </w:p>
    <w:p w:rsidR="004B4572" w:rsidRDefault="00EA25A3" w:rsidP="000217A3">
      <w:pPr>
        <w:rPr>
          <w:lang w:val="en-GB" w:eastAsia="en-US" w:bidi="en-US"/>
        </w:rPr>
      </w:pPr>
      <w:r w:rsidRPr="00D87489">
        <w:rPr>
          <w:rFonts w:cs="Arial"/>
          <w:szCs w:val="22"/>
        </w:rPr>
        <w:t xml:space="preserve">The dietary exposure assessment included chronic </w:t>
      </w:r>
      <w:r w:rsidR="00C25C1D">
        <w:rPr>
          <w:rFonts w:cs="Arial"/>
          <w:szCs w:val="22"/>
        </w:rPr>
        <w:t xml:space="preserve">and acute </w:t>
      </w:r>
      <w:r w:rsidRPr="00D87489">
        <w:rPr>
          <w:rFonts w:cs="Arial"/>
          <w:szCs w:val="22"/>
        </w:rPr>
        <w:t>estimate</w:t>
      </w:r>
      <w:r w:rsidR="00C25C1D">
        <w:rPr>
          <w:rFonts w:cs="Arial"/>
          <w:szCs w:val="22"/>
        </w:rPr>
        <w:t>s</w:t>
      </w:r>
      <w:r w:rsidRPr="00D87489">
        <w:rPr>
          <w:rFonts w:cs="Arial"/>
          <w:szCs w:val="22"/>
        </w:rPr>
        <w:t xml:space="preserve">. </w:t>
      </w:r>
      <w:r w:rsidR="004B4572" w:rsidRPr="00D33562">
        <w:rPr>
          <w:lang w:val="en-GB" w:eastAsia="en-US" w:bidi="en-US"/>
        </w:rPr>
        <w:t xml:space="preserve">For the </w:t>
      </w:r>
      <w:r w:rsidR="004B4572">
        <w:rPr>
          <w:lang w:val="en-GB" w:eastAsia="en-US" w:bidi="en-US"/>
        </w:rPr>
        <w:t xml:space="preserve">estimated </w:t>
      </w:r>
      <w:r w:rsidR="004B4572" w:rsidRPr="00D33562">
        <w:rPr>
          <w:lang w:val="en-GB" w:eastAsia="en-US" w:bidi="en-US"/>
        </w:rPr>
        <w:t xml:space="preserve">chronic dietary exposure </w:t>
      </w:r>
      <w:r w:rsidR="00FB0D5D">
        <w:rPr>
          <w:lang w:val="en-GB" w:eastAsia="en-US" w:bidi="en-US"/>
        </w:rPr>
        <w:t>to</w:t>
      </w:r>
      <w:r w:rsidR="004B4572">
        <w:rPr>
          <w:lang w:val="en-GB" w:eastAsia="en-US" w:bidi="en-US"/>
        </w:rPr>
        <w:t xml:space="preserve"> HCN</w:t>
      </w:r>
      <w:r w:rsidR="004B4572" w:rsidRPr="00D33562">
        <w:rPr>
          <w:lang w:val="en-GB" w:eastAsia="en-US" w:bidi="en-US"/>
        </w:rPr>
        <w:t xml:space="preserve">, there were no exceedances of the PMTDI for any </w:t>
      </w:r>
      <w:r w:rsidR="008871F2" w:rsidRPr="00744085">
        <w:rPr>
          <w:lang w:val="en-GB" w:eastAsia="en-US" w:bidi="en-US"/>
        </w:rPr>
        <w:t>popu</w:t>
      </w:r>
      <w:r w:rsidR="004B4572" w:rsidRPr="00744085">
        <w:rPr>
          <w:lang w:val="en-GB" w:eastAsia="en-US" w:bidi="en-US"/>
        </w:rPr>
        <w:t>lation</w:t>
      </w:r>
      <w:r w:rsidR="004B4572" w:rsidRPr="00D33562">
        <w:rPr>
          <w:lang w:val="en-GB" w:eastAsia="en-US" w:bidi="en-US"/>
        </w:rPr>
        <w:t xml:space="preserve"> group assessed. </w:t>
      </w:r>
      <w:r w:rsidR="004B4572" w:rsidRPr="004C36BB">
        <w:rPr>
          <w:lang w:val="en-GB" w:eastAsia="en-US" w:bidi="en-US"/>
        </w:rPr>
        <w:t xml:space="preserve">On this basis, it is unlikely that there will be any public health </w:t>
      </w:r>
      <w:r w:rsidR="004B4572" w:rsidRPr="004C36BB">
        <w:rPr>
          <w:lang w:val="en-GB" w:eastAsia="en-US" w:bidi="en-US"/>
        </w:rPr>
        <w:lastRenderedPageBreak/>
        <w:t>and safety issues in relation to chronic dietary exposure to HCN for the Australian and New Zealand populations</w:t>
      </w:r>
      <w:r w:rsidR="004B4572" w:rsidRPr="00D33562">
        <w:rPr>
          <w:lang w:val="en-GB" w:eastAsia="en-US" w:bidi="en-US"/>
        </w:rPr>
        <w:t>.</w:t>
      </w:r>
    </w:p>
    <w:p w:rsidR="004B4572" w:rsidRDefault="004B4572" w:rsidP="004B4572">
      <w:pPr>
        <w:widowControl w:val="0"/>
        <w:rPr>
          <w:lang w:val="en-GB" w:eastAsia="en-US" w:bidi="en-US"/>
        </w:rPr>
      </w:pPr>
    </w:p>
    <w:p w:rsidR="004B4572" w:rsidRDefault="00223A85" w:rsidP="004B4572">
      <w:pPr>
        <w:rPr>
          <w:lang w:val="en-GB" w:eastAsia="en-US" w:bidi="en-US"/>
        </w:rPr>
      </w:pPr>
      <w:r w:rsidRPr="00744085">
        <w:rPr>
          <w:rFonts w:cs="Arial"/>
          <w:szCs w:val="22"/>
        </w:rPr>
        <w:t xml:space="preserve">The </w:t>
      </w:r>
      <w:r w:rsidR="00616F6B" w:rsidRPr="00744085">
        <w:rPr>
          <w:rFonts w:cs="Arial"/>
          <w:szCs w:val="22"/>
        </w:rPr>
        <w:t xml:space="preserve">acute dietary exposure assessment </w:t>
      </w:r>
      <w:r w:rsidRPr="00744085">
        <w:rPr>
          <w:rFonts w:cs="Arial"/>
          <w:szCs w:val="22"/>
        </w:rPr>
        <w:t xml:space="preserve">is </w:t>
      </w:r>
      <w:r w:rsidR="00616F6B" w:rsidRPr="00744085">
        <w:rPr>
          <w:rFonts w:cs="Arial"/>
          <w:szCs w:val="22"/>
        </w:rPr>
        <w:t xml:space="preserve">conservative </w:t>
      </w:r>
      <w:r w:rsidR="001D5AFE" w:rsidRPr="00744085">
        <w:rPr>
          <w:rFonts w:cs="Arial"/>
          <w:szCs w:val="22"/>
        </w:rPr>
        <w:t xml:space="preserve">as it is an estimate of ‘worst case’ exposure, </w:t>
      </w:r>
      <w:r w:rsidR="00616F6B" w:rsidRPr="00744085">
        <w:rPr>
          <w:rFonts w:cs="Arial"/>
          <w:szCs w:val="22"/>
        </w:rPr>
        <w:t>to be protective of the</w:t>
      </w:r>
      <w:r w:rsidRPr="00744085">
        <w:rPr>
          <w:rFonts w:cs="Arial"/>
          <w:szCs w:val="22"/>
        </w:rPr>
        <w:t xml:space="preserve"> health and safety of consumers.</w:t>
      </w:r>
      <w:r>
        <w:rPr>
          <w:rFonts w:cs="Arial"/>
          <w:szCs w:val="22"/>
        </w:rPr>
        <w:t xml:space="preserve"> </w:t>
      </w:r>
      <w:r w:rsidR="004B4572">
        <w:rPr>
          <w:rFonts w:cs="Arial"/>
          <w:szCs w:val="22"/>
        </w:rPr>
        <w:t xml:space="preserve">The results of the acute </w:t>
      </w:r>
      <w:r w:rsidR="004B4572" w:rsidRPr="00D33562">
        <w:rPr>
          <w:lang w:val="en-GB" w:eastAsia="en-US" w:bidi="en-US"/>
        </w:rPr>
        <w:t xml:space="preserve">dietary exposure assessment indicated that all population groups had estimated </w:t>
      </w:r>
      <w:r w:rsidR="004B4572">
        <w:rPr>
          <w:lang w:val="en-GB" w:eastAsia="en-US" w:bidi="en-US"/>
        </w:rPr>
        <w:t xml:space="preserve">acute dietary </w:t>
      </w:r>
      <w:r w:rsidR="004B4572" w:rsidRPr="00D33562">
        <w:rPr>
          <w:lang w:val="en-GB" w:eastAsia="en-US" w:bidi="en-US"/>
        </w:rPr>
        <w:t xml:space="preserve">exposures under the ARfD for the majority of foods. </w:t>
      </w:r>
    </w:p>
    <w:p w:rsidR="004B4572" w:rsidRDefault="004B4572" w:rsidP="004B4572">
      <w:pPr>
        <w:rPr>
          <w:lang w:val="en-GB" w:eastAsia="en-US" w:bidi="en-US"/>
        </w:rPr>
      </w:pPr>
    </w:p>
    <w:p w:rsidR="004B4572" w:rsidRDefault="004B4572" w:rsidP="004B4572">
      <w:pPr>
        <w:spacing w:after="200"/>
        <w:rPr>
          <w:rFonts w:cs="Arial"/>
          <w:szCs w:val="22"/>
        </w:rPr>
      </w:pPr>
      <w:r>
        <w:rPr>
          <w:rFonts w:cs="Arial"/>
          <w:szCs w:val="22"/>
        </w:rPr>
        <w:t>The risk assessment</w:t>
      </w:r>
      <w:r w:rsidRPr="007C5C09">
        <w:rPr>
          <w:rFonts w:cs="Arial"/>
          <w:szCs w:val="22"/>
        </w:rPr>
        <w:t xml:space="preserve"> identified that consumption of</w:t>
      </w:r>
      <w:r>
        <w:rPr>
          <w:rFonts w:cs="Arial"/>
          <w:szCs w:val="22"/>
        </w:rPr>
        <w:t xml:space="preserve"> raw</w:t>
      </w:r>
      <w:r w:rsidRPr="007C5C09">
        <w:rPr>
          <w:rFonts w:cs="Arial"/>
          <w:szCs w:val="22"/>
        </w:rPr>
        <w:t xml:space="preserve"> </w:t>
      </w:r>
      <w:r>
        <w:rPr>
          <w:rFonts w:cs="Arial"/>
          <w:szCs w:val="22"/>
        </w:rPr>
        <w:t>apricot kernels both with and without skin</w:t>
      </w:r>
      <w:r w:rsidR="00056F5C">
        <w:rPr>
          <w:rStyle w:val="FootnoteReference"/>
          <w:rFonts w:cs="Arial"/>
          <w:szCs w:val="22"/>
        </w:rPr>
        <w:footnoteReference w:id="4"/>
      </w:r>
      <w:r>
        <w:rPr>
          <w:rFonts w:cs="Arial"/>
          <w:szCs w:val="22"/>
        </w:rPr>
        <w:t xml:space="preserve"> can</w:t>
      </w:r>
      <w:r w:rsidRPr="007C5C09">
        <w:rPr>
          <w:rFonts w:cs="Arial"/>
          <w:szCs w:val="22"/>
        </w:rPr>
        <w:t xml:space="preserve"> pose an acute public health and safety risk for </w:t>
      </w:r>
      <w:r>
        <w:rPr>
          <w:rFonts w:cs="Arial"/>
          <w:szCs w:val="22"/>
        </w:rPr>
        <w:t xml:space="preserve">all </w:t>
      </w:r>
      <w:r w:rsidRPr="007C5C09">
        <w:rPr>
          <w:rFonts w:cs="Arial"/>
          <w:szCs w:val="22"/>
        </w:rPr>
        <w:t>Australian</w:t>
      </w:r>
      <w:r>
        <w:rPr>
          <w:rFonts w:cs="Arial"/>
          <w:szCs w:val="22"/>
        </w:rPr>
        <w:t xml:space="preserve"> and </w:t>
      </w:r>
      <w:r w:rsidRPr="007C5C09">
        <w:rPr>
          <w:rFonts w:cs="Arial"/>
          <w:szCs w:val="22"/>
        </w:rPr>
        <w:t>New Zealand</w:t>
      </w:r>
      <w:r>
        <w:rPr>
          <w:rFonts w:cs="Arial"/>
          <w:szCs w:val="22"/>
        </w:rPr>
        <w:t xml:space="preserve"> population groups even at consumption levels for adults of 4 kernels/day (with skin), previously </w:t>
      </w:r>
      <w:r w:rsidRPr="00906015">
        <w:rPr>
          <w:rFonts w:cs="Arial"/>
          <w:szCs w:val="22"/>
        </w:rPr>
        <w:t xml:space="preserve">considered </w:t>
      </w:r>
      <w:r>
        <w:rPr>
          <w:rFonts w:cs="Arial"/>
          <w:szCs w:val="22"/>
        </w:rPr>
        <w:t>by FSANZ to be safe. For children, there are health risks even at consumption levels of one apricot kernel/day (with skin)</w:t>
      </w:r>
      <w:r w:rsidR="000B043B">
        <w:rPr>
          <w:rFonts w:cs="Arial"/>
          <w:szCs w:val="22"/>
        </w:rPr>
        <w:t>.</w:t>
      </w:r>
      <w:r>
        <w:rPr>
          <w:rFonts w:cs="Arial"/>
          <w:szCs w:val="22"/>
        </w:rPr>
        <w:t xml:space="preserve"> </w:t>
      </w:r>
    </w:p>
    <w:p w:rsidR="004B4572" w:rsidRPr="0093480F" w:rsidRDefault="004B4572" w:rsidP="004B4572">
      <w:pPr>
        <w:rPr>
          <w:rFonts w:cs="Arial"/>
          <w:strike/>
          <w:szCs w:val="22"/>
        </w:rPr>
      </w:pPr>
      <w:r>
        <w:rPr>
          <w:rFonts w:cs="Arial"/>
          <w:szCs w:val="22"/>
        </w:rPr>
        <w:t xml:space="preserve">For cassava roots, </w:t>
      </w:r>
      <w:r w:rsidR="00BA4F54">
        <w:rPr>
          <w:rFonts w:cs="Arial"/>
          <w:szCs w:val="22"/>
        </w:rPr>
        <w:t>there is potential for high consumers to exceed the ARfD.</w:t>
      </w:r>
      <w:r>
        <w:rPr>
          <w:rFonts w:cs="Arial"/>
          <w:szCs w:val="22"/>
        </w:rPr>
        <w:t xml:space="preserve"> </w:t>
      </w:r>
      <w:r w:rsidR="00AD44AC" w:rsidRPr="00CF1C19">
        <w:rPr>
          <w:rFonts w:cs="Arial"/>
          <w:szCs w:val="22"/>
        </w:rPr>
        <w:t>However</w:t>
      </w:r>
      <w:r w:rsidR="00AD44AC" w:rsidRPr="006946B0">
        <w:rPr>
          <w:rFonts w:cs="Arial"/>
          <w:szCs w:val="22"/>
        </w:rPr>
        <w:t xml:space="preserve">, </w:t>
      </w:r>
      <w:r w:rsidR="003B4F04" w:rsidRPr="006946B0">
        <w:rPr>
          <w:rFonts w:cs="Arial"/>
          <w:szCs w:val="22"/>
        </w:rPr>
        <w:t>given the</w:t>
      </w:r>
      <w:r w:rsidR="00440D59" w:rsidRPr="006946B0">
        <w:rPr>
          <w:rFonts w:cs="Arial"/>
          <w:szCs w:val="22"/>
        </w:rPr>
        <w:t xml:space="preserve"> </w:t>
      </w:r>
      <w:r w:rsidR="003B4F04" w:rsidRPr="006946B0">
        <w:rPr>
          <w:rFonts w:cs="Arial"/>
          <w:szCs w:val="22"/>
        </w:rPr>
        <w:t xml:space="preserve">conservative </w:t>
      </w:r>
      <w:r w:rsidR="004E40B4" w:rsidRPr="006946B0">
        <w:rPr>
          <w:rFonts w:cs="Arial"/>
          <w:szCs w:val="22"/>
        </w:rPr>
        <w:t>assumptions made in</w:t>
      </w:r>
      <w:r w:rsidR="003B4F04" w:rsidRPr="006946B0">
        <w:rPr>
          <w:rFonts w:cs="Arial"/>
          <w:szCs w:val="22"/>
        </w:rPr>
        <w:t xml:space="preserve"> </w:t>
      </w:r>
      <w:r w:rsidR="00616F6B" w:rsidRPr="006946B0">
        <w:rPr>
          <w:rFonts w:cs="Arial"/>
          <w:szCs w:val="22"/>
        </w:rPr>
        <w:t>the acute dietary exposure assessment</w:t>
      </w:r>
      <w:r w:rsidR="003B4F04" w:rsidRPr="006946B0">
        <w:rPr>
          <w:rFonts w:cs="Arial"/>
          <w:szCs w:val="22"/>
        </w:rPr>
        <w:t>,</w:t>
      </w:r>
      <w:r w:rsidR="001D5AFE" w:rsidRPr="006946B0">
        <w:rPr>
          <w:rFonts w:cs="Arial"/>
          <w:szCs w:val="22"/>
        </w:rPr>
        <w:t xml:space="preserve"> </w:t>
      </w:r>
      <w:r w:rsidR="00B92B15" w:rsidRPr="006946B0">
        <w:rPr>
          <w:rFonts w:cs="Arial"/>
          <w:szCs w:val="22"/>
        </w:rPr>
        <w:t xml:space="preserve">and the absence of any </w:t>
      </w:r>
      <w:r w:rsidR="00B47B12" w:rsidRPr="006946B0">
        <w:rPr>
          <w:rFonts w:cs="Arial"/>
          <w:szCs w:val="22"/>
        </w:rPr>
        <w:t xml:space="preserve">reports </w:t>
      </w:r>
      <w:r w:rsidR="00FA40F1" w:rsidRPr="006946B0">
        <w:rPr>
          <w:rFonts w:cs="Arial"/>
          <w:szCs w:val="22"/>
        </w:rPr>
        <w:t xml:space="preserve">on poisonings in Australia or New Zealand following consumption of properly processed cassava, </w:t>
      </w:r>
      <w:r w:rsidR="003B4F04" w:rsidRPr="006946B0">
        <w:rPr>
          <w:rFonts w:cs="Arial"/>
          <w:szCs w:val="22"/>
        </w:rPr>
        <w:t xml:space="preserve">the estimated </w:t>
      </w:r>
      <w:r w:rsidR="004E40B4" w:rsidRPr="006946B0">
        <w:rPr>
          <w:rFonts w:cs="Arial"/>
          <w:szCs w:val="22"/>
        </w:rPr>
        <w:t xml:space="preserve">potential </w:t>
      </w:r>
      <w:r w:rsidR="003B4F04" w:rsidRPr="006946B0">
        <w:rPr>
          <w:rFonts w:cs="Arial"/>
          <w:szCs w:val="22"/>
        </w:rPr>
        <w:t xml:space="preserve">exposures to HCN are not considered to represent an appreciable health and safety risk. </w:t>
      </w:r>
    </w:p>
    <w:p w:rsidR="004B4572" w:rsidRDefault="004B4572" w:rsidP="004B4572">
      <w:pPr>
        <w:rPr>
          <w:rFonts w:cs="Arial"/>
          <w:szCs w:val="22"/>
        </w:rPr>
      </w:pPr>
    </w:p>
    <w:p w:rsidR="004B4572" w:rsidRPr="009012FC" w:rsidRDefault="004B4572" w:rsidP="004B4572">
      <w:pPr>
        <w:spacing w:after="200"/>
        <w:rPr>
          <w:rFonts w:cs="Arial"/>
          <w:szCs w:val="22"/>
        </w:rPr>
      </w:pPr>
      <w:r>
        <w:rPr>
          <w:rFonts w:cs="Arial"/>
          <w:szCs w:val="22"/>
        </w:rPr>
        <w:t xml:space="preserve">For bread containing linseed, although the estimated acute dietary exposures resulted in potential exceedances of the ARfD for all population groups assessed, current exposures are not considered to represent a health and safety risk due to the </w:t>
      </w:r>
      <w:r w:rsidR="00242E28" w:rsidRPr="006946B0">
        <w:rPr>
          <w:rFonts w:cs="Arial"/>
          <w:szCs w:val="22"/>
        </w:rPr>
        <w:t xml:space="preserve">absence of any clinical reports of poisonings </w:t>
      </w:r>
      <w:r w:rsidR="00734262" w:rsidRPr="006946B0">
        <w:rPr>
          <w:rFonts w:cs="Arial"/>
          <w:szCs w:val="22"/>
        </w:rPr>
        <w:t>or</w:t>
      </w:r>
      <w:r w:rsidR="00242E28" w:rsidRPr="006946B0">
        <w:rPr>
          <w:rFonts w:cs="Arial"/>
          <w:szCs w:val="22"/>
        </w:rPr>
        <w:t xml:space="preserve"> detectable </w:t>
      </w:r>
      <w:r w:rsidR="009C5FF7" w:rsidRPr="006946B0">
        <w:rPr>
          <w:rFonts w:cs="Arial"/>
          <w:szCs w:val="22"/>
        </w:rPr>
        <w:t xml:space="preserve">levels </w:t>
      </w:r>
      <w:r w:rsidRPr="006946B0">
        <w:rPr>
          <w:rFonts w:cs="Arial"/>
          <w:szCs w:val="22"/>
        </w:rPr>
        <w:t xml:space="preserve">of cyanide </w:t>
      </w:r>
      <w:r w:rsidR="009C5FF7" w:rsidRPr="006946B0">
        <w:rPr>
          <w:rFonts w:cs="Arial"/>
          <w:szCs w:val="22"/>
        </w:rPr>
        <w:t xml:space="preserve">in the blood </w:t>
      </w:r>
      <w:r w:rsidR="008C4A58" w:rsidRPr="006946B0">
        <w:rPr>
          <w:rFonts w:cs="Arial"/>
          <w:szCs w:val="22"/>
        </w:rPr>
        <w:t>of human</w:t>
      </w:r>
      <w:r w:rsidR="00734262" w:rsidRPr="006946B0">
        <w:rPr>
          <w:rFonts w:cs="Arial"/>
          <w:szCs w:val="22"/>
        </w:rPr>
        <w:t xml:space="preserve"> volunteers</w:t>
      </w:r>
      <w:r w:rsidR="008C4A58" w:rsidRPr="006946B0">
        <w:rPr>
          <w:rFonts w:cs="Arial"/>
          <w:szCs w:val="22"/>
        </w:rPr>
        <w:t xml:space="preserve"> </w:t>
      </w:r>
      <w:r w:rsidRPr="006946B0">
        <w:rPr>
          <w:rFonts w:cs="Arial"/>
          <w:szCs w:val="22"/>
        </w:rPr>
        <w:t>following consumption of ground linseed</w:t>
      </w:r>
      <w:r w:rsidR="009012FC">
        <w:rPr>
          <w:rFonts w:cs="Arial"/>
          <w:szCs w:val="22"/>
        </w:rPr>
        <w:t>.</w:t>
      </w:r>
    </w:p>
    <w:p w:rsidR="0081020F" w:rsidRDefault="00755915" w:rsidP="004E2D51">
      <w:pPr>
        <w:spacing w:after="200"/>
        <w:rPr>
          <w:rFonts w:eastAsiaTheme="minorHAnsi" w:cs="Arial"/>
          <w:szCs w:val="22"/>
          <w:lang w:val="en-GB" w:eastAsia="en-GB"/>
        </w:rPr>
      </w:pPr>
      <w:r>
        <w:rPr>
          <w:rFonts w:eastAsiaTheme="minorHAnsi" w:cs="Arial"/>
          <w:szCs w:val="22"/>
          <w:lang w:val="en-GB" w:eastAsia="en-GB"/>
        </w:rPr>
        <w:t xml:space="preserve">FSANZ has </w:t>
      </w:r>
      <w:r w:rsidR="00470393">
        <w:rPr>
          <w:rFonts w:eastAsiaTheme="minorHAnsi" w:cs="Arial"/>
          <w:szCs w:val="22"/>
          <w:lang w:val="en-GB" w:eastAsia="en-GB"/>
        </w:rPr>
        <w:t xml:space="preserve">prepared </w:t>
      </w:r>
      <w:r>
        <w:rPr>
          <w:rFonts w:eastAsiaTheme="minorHAnsi" w:cs="Arial"/>
          <w:szCs w:val="22"/>
          <w:lang w:val="en-GB" w:eastAsia="en-GB"/>
        </w:rPr>
        <w:t>Proposal P1016 – Hydrocyanic acid in apricot kernels and other foods, to consider options for the management of potential risks identified as a result of this ISFR survey and risk assessment.</w:t>
      </w:r>
    </w:p>
    <w:p w:rsidR="0081020F" w:rsidRDefault="0081020F">
      <w:pPr>
        <w:spacing w:after="200" w:line="276" w:lineRule="auto"/>
        <w:rPr>
          <w:rFonts w:eastAsiaTheme="minorHAnsi" w:cs="Arial"/>
          <w:szCs w:val="22"/>
          <w:lang w:val="en-GB" w:eastAsia="en-GB"/>
        </w:rPr>
      </w:pPr>
      <w:r>
        <w:rPr>
          <w:rFonts w:eastAsiaTheme="minorHAnsi" w:cs="Arial"/>
          <w:szCs w:val="22"/>
          <w:lang w:val="en-GB" w:eastAsia="en-GB"/>
        </w:rPr>
        <w:br w:type="page"/>
      </w:r>
    </w:p>
    <w:tbl>
      <w:tblPr>
        <w:tblStyle w:val="TableGrid"/>
        <w:tblW w:w="0" w:type="auto"/>
        <w:shd w:val="clear" w:color="auto" w:fill="D3DFEE"/>
        <w:tblLook w:val="04A0" w:firstRow="1" w:lastRow="0" w:firstColumn="1" w:lastColumn="0" w:noHBand="0" w:noVBand="1"/>
      </w:tblPr>
      <w:tblGrid>
        <w:gridCol w:w="9242"/>
      </w:tblGrid>
      <w:tr w:rsidR="00A36F12" w:rsidTr="0081020F">
        <w:trPr>
          <w:trHeight w:val="77"/>
        </w:trPr>
        <w:tc>
          <w:tcPr>
            <w:tcW w:w="9242" w:type="dxa"/>
            <w:shd w:val="clear" w:color="auto" w:fill="D3DFEE"/>
            <w:vAlign w:val="center"/>
          </w:tcPr>
          <w:p w:rsidR="00A36F12" w:rsidRPr="00A36F12" w:rsidRDefault="00A36F12" w:rsidP="00056F5C">
            <w:pPr>
              <w:rPr>
                <w:rFonts w:asciiTheme="minorHAnsi" w:hAnsiTheme="minorHAnsi" w:cs="Arial"/>
                <w:b/>
                <w:szCs w:val="22"/>
              </w:rPr>
            </w:pPr>
            <w:r w:rsidRPr="00A36F12">
              <w:rPr>
                <w:rFonts w:asciiTheme="minorHAnsi" w:hAnsiTheme="minorHAnsi" w:cs="Arial"/>
                <w:b/>
                <w:szCs w:val="22"/>
              </w:rPr>
              <w:lastRenderedPageBreak/>
              <w:t>Key findings</w:t>
            </w:r>
          </w:p>
          <w:p w:rsidR="00A36F12" w:rsidRPr="00A36F12" w:rsidRDefault="00A36F12" w:rsidP="00056F5C">
            <w:pPr>
              <w:rPr>
                <w:rFonts w:asciiTheme="minorHAnsi" w:hAnsiTheme="minorHAnsi" w:cs="Arial"/>
                <w:b/>
                <w:szCs w:val="22"/>
              </w:rPr>
            </w:pPr>
          </w:p>
          <w:p w:rsidR="00A36F12" w:rsidRPr="00A36F12" w:rsidRDefault="00A36F12" w:rsidP="00056F5C">
            <w:pPr>
              <w:pStyle w:val="ListParagraph"/>
              <w:widowControl w:val="0"/>
              <w:numPr>
                <w:ilvl w:val="0"/>
                <w:numId w:val="37"/>
              </w:numPr>
              <w:ind w:left="426" w:hanging="284"/>
              <w:rPr>
                <w:rFonts w:asciiTheme="minorHAnsi" w:hAnsiTheme="minorHAnsi" w:cs="Arial"/>
                <w:sz w:val="24"/>
                <w:szCs w:val="24"/>
                <w:lang w:eastAsia="en-US" w:bidi="en-US"/>
              </w:rPr>
            </w:pPr>
            <w:r w:rsidRPr="00A36F12">
              <w:rPr>
                <w:rFonts w:asciiTheme="minorHAnsi" w:hAnsiTheme="minorHAnsi" w:cs="Arial"/>
                <w:sz w:val="24"/>
                <w:szCs w:val="24"/>
                <w:lang w:eastAsia="en-US" w:bidi="en-US"/>
              </w:rPr>
              <w:t>Survey findings confirmed that cyanogenic glycosides are present in a wide range of Australian and New Zealand plant-based foods. HCN levels are consistent with, or lower than, those reported in the scientific literature</w:t>
            </w:r>
            <w:r w:rsidR="0081020F">
              <w:rPr>
                <w:rFonts w:asciiTheme="minorHAnsi" w:hAnsiTheme="minorHAnsi" w:cs="Arial"/>
                <w:sz w:val="24"/>
                <w:szCs w:val="24"/>
                <w:lang w:eastAsia="en-US" w:bidi="en-US"/>
              </w:rPr>
              <w:t xml:space="preserve">. Analysed levels </w:t>
            </w:r>
            <w:r w:rsidR="00364645">
              <w:rPr>
                <w:rFonts w:asciiTheme="minorHAnsi" w:hAnsiTheme="minorHAnsi" w:cs="Arial"/>
                <w:sz w:val="24"/>
                <w:szCs w:val="24"/>
                <w:lang w:eastAsia="en-US" w:bidi="en-US"/>
              </w:rPr>
              <w:t>met</w:t>
            </w:r>
            <w:r w:rsidR="0081020F">
              <w:rPr>
                <w:rFonts w:asciiTheme="minorHAnsi" w:hAnsiTheme="minorHAnsi" w:cs="Arial"/>
                <w:sz w:val="24"/>
                <w:szCs w:val="24"/>
                <w:lang w:eastAsia="en-US" w:bidi="en-US"/>
              </w:rPr>
              <w:t xml:space="preserve"> </w:t>
            </w:r>
            <w:r w:rsidRPr="00A36F12">
              <w:rPr>
                <w:rFonts w:asciiTheme="minorHAnsi" w:hAnsiTheme="minorHAnsi" w:cs="Arial"/>
                <w:sz w:val="24"/>
                <w:szCs w:val="24"/>
                <w:lang w:eastAsia="en-US" w:bidi="en-US"/>
              </w:rPr>
              <w:t xml:space="preserve">current regulatory requirements for HCN (where such regulatory limits exist), </w:t>
            </w:r>
            <w:r w:rsidR="0081020F">
              <w:rPr>
                <w:rFonts w:asciiTheme="minorHAnsi" w:hAnsiTheme="minorHAnsi" w:cs="Arial"/>
                <w:sz w:val="24"/>
                <w:szCs w:val="24"/>
                <w:lang w:eastAsia="en-US" w:bidi="en-US"/>
              </w:rPr>
              <w:t>in all but two cases, namely, one sample of cassava root and one sample of apricot nectar did not comply with the regulatory requirements of the Code.</w:t>
            </w:r>
          </w:p>
          <w:p w:rsidR="00A36F12" w:rsidRPr="00A36F12" w:rsidRDefault="00A36F12" w:rsidP="00056F5C">
            <w:pPr>
              <w:pStyle w:val="ListParagraph"/>
              <w:numPr>
                <w:ilvl w:val="0"/>
                <w:numId w:val="37"/>
              </w:numPr>
              <w:ind w:left="426" w:hanging="284"/>
              <w:rPr>
                <w:rFonts w:asciiTheme="minorHAnsi" w:hAnsiTheme="minorHAnsi" w:cs="Arial"/>
                <w:sz w:val="24"/>
                <w:szCs w:val="24"/>
              </w:rPr>
            </w:pPr>
            <w:r w:rsidRPr="00A36F12">
              <w:rPr>
                <w:rFonts w:asciiTheme="minorHAnsi" w:hAnsiTheme="minorHAnsi" w:cs="Arial"/>
                <w:sz w:val="24"/>
                <w:szCs w:val="24"/>
              </w:rPr>
              <w:t>A risk assessment based on these survey results indicated that there were no public health and safety issues in relation to the estimates of chronic dietary exposure to HCN for the Australian and New Zealand populations.</w:t>
            </w:r>
          </w:p>
          <w:p w:rsidR="00D47992" w:rsidRPr="00D47992" w:rsidRDefault="00A36F12" w:rsidP="00D47992">
            <w:pPr>
              <w:pStyle w:val="ListParagraph"/>
              <w:numPr>
                <w:ilvl w:val="0"/>
                <w:numId w:val="37"/>
              </w:numPr>
              <w:ind w:left="426" w:hanging="284"/>
              <w:rPr>
                <w:rFonts w:ascii="Arial" w:hAnsi="Arial"/>
                <w:szCs w:val="24"/>
              </w:rPr>
            </w:pPr>
            <w:r w:rsidRPr="00A36F12">
              <w:rPr>
                <w:rFonts w:asciiTheme="minorHAnsi" w:hAnsiTheme="minorHAnsi" w:cs="Arial"/>
                <w:sz w:val="24"/>
                <w:szCs w:val="24"/>
              </w:rPr>
              <w:t>There were a small number of foods (raw apricot kernels, cassava roots and bread containing linseed) where it was estimated that acute dietary exposure had the potential to exceed the ARfD.</w:t>
            </w:r>
            <w:r w:rsidR="003C2AF6">
              <w:rPr>
                <w:rFonts w:asciiTheme="minorHAnsi" w:hAnsiTheme="minorHAnsi" w:cs="Arial"/>
                <w:sz w:val="24"/>
                <w:szCs w:val="24"/>
              </w:rPr>
              <w:t xml:space="preserve"> Of these foods, it is the consumption of raw apricot kernels </w:t>
            </w:r>
            <w:r w:rsidR="00B95004">
              <w:rPr>
                <w:rFonts w:asciiTheme="minorHAnsi" w:hAnsiTheme="minorHAnsi" w:cs="Arial"/>
                <w:sz w:val="24"/>
                <w:szCs w:val="24"/>
              </w:rPr>
              <w:t xml:space="preserve">both with and without skin that poses the greatest </w:t>
            </w:r>
            <w:r w:rsidR="003C2AF6">
              <w:rPr>
                <w:rFonts w:asciiTheme="minorHAnsi" w:hAnsiTheme="minorHAnsi" w:cs="Arial"/>
                <w:sz w:val="24"/>
                <w:szCs w:val="24"/>
              </w:rPr>
              <w:t>acute public health and safety risk for Australians and New Zealanders.</w:t>
            </w:r>
          </w:p>
          <w:p w:rsidR="00A36F12" w:rsidRDefault="00A36F12" w:rsidP="00056F5C">
            <w:pPr>
              <w:rPr>
                <w:rFonts w:cs="Arial"/>
                <w:szCs w:val="22"/>
              </w:rPr>
            </w:pPr>
          </w:p>
        </w:tc>
      </w:tr>
    </w:tbl>
    <w:p w:rsidR="0081020F" w:rsidRDefault="0081020F" w:rsidP="009A661C">
      <w:pPr>
        <w:pStyle w:val="Heading1"/>
      </w:pPr>
    </w:p>
    <w:p w:rsidR="0081020F" w:rsidRDefault="0081020F">
      <w:pPr>
        <w:spacing w:after="200" w:line="276" w:lineRule="auto"/>
        <w:rPr>
          <w:b/>
          <w:bCs/>
        </w:rPr>
      </w:pPr>
      <w:r>
        <w:br w:type="page"/>
      </w:r>
    </w:p>
    <w:p w:rsidR="00356DAD" w:rsidRPr="00B46F5F" w:rsidRDefault="00FA307F" w:rsidP="009A661C">
      <w:pPr>
        <w:pStyle w:val="Heading1"/>
      </w:pPr>
      <w:bookmarkStart w:id="5" w:name="_Toc384293477"/>
      <w:r w:rsidRPr="00B46F5F">
        <w:lastRenderedPageBreak/>
        <w:t>TABLE OF CONTENTS</w:t>
      </w:r>
      <w:bookmarkEnd w:id="5"/>
    </w:p>
    <w:p w:rsidR="00A92ED0" w:rsidRPr="00B46F5F" w:rsidRDefault="00A37734" w:rsidP="00A92ED0">
      <w:pPr>
        <w:pStyle w:val="TOC1"/>
        <w:rPr>
          <w:rFonts w:asciiTheme="minorHAnsi" w:eastAsiaTheme="minorEastAsia" w:hAnsiTheme="minorHAnsi" w:cstheme="minorBidi"/>
          <w:b w:val="0"/>
          <w:bCs w:val="0"/>
          <w:caps w:val="0"/>
          <w:noProof/>
          <w:szCs w:val="22"/>
          <w:lang w:val="en-GB" w:eastAsia="en-GB"/>
        </w:rPr>
      </w:pPr>
      <w:r w:rsidRPr="00B46F5F">
        <w:rPr>
          <w:rFonts w:ascii="Arial" w:hAnsi="Arial" w:cs="Arial"/>
          <w:b w:val="0"/>
          <w:caps w:val="0"/>
          <w:szCs w:val="22"/>
        </w:rPr>
        <w:fldChar w:fldCharType="begin"/>
      </w:r>
      <w:r w:rsidRPr="00B46F5F">
        <w:rPr>
          <w:rFonts w:ascii="Arial" w:hAnsi="Arial" w:cs="Arial"/>
          <w:szCs w:val="22"/>
        </w:rPr>
        <w:instrText xml:space="preserve"> TOC \o "1-1" \h \z \t "Heading 2 LT,2" </w:instrText>
      </w:r>
      <w:r w:rsidRPr="00B46F5F">
        <w:rPr>
          <w:rFonts w:ascii="Arial" w:hAnsi="Arial" w:cs="Arial"/>
          <w:b w:val="0"/>
          <w:caps w:val="0"/>
          <w:szCs w:val="22"/>
        </w:rPr>
        <w:fldChar w:fldCharType="separate"/>
      </w:r>
    </w:p>
    <w:sdt>
      <w:sdtPr>
        <w:rPr>
          <w:rFonts w:ascii="Times New Roman" w:hAnsi="Times New Roman"/>
          <w:b w:val="0"/>
          <w:bCs w:val="0"/>
          <w:caps w:val="0"/>
        </w:rPr>
        <w:id w:val="1286459805"/>
        <w:docPartObj>
          <w:docPartGallery w:val="Table of Contents"/>
          <w:docPartUnique/>
        </w:docPartObj>
      </w:sdtPr>
      <w:sdtEndPr>
        <w:rPr>
          <w:rFonts w:ascii="Arial" w:hAnsi="Arial"/>
          <w:noProof/>
        </w:rPr>
      </w:sdtEndPr>
      <w:sdtContent>
        <w:p w:rsidR="00794D8F" w:rsidRDefault="009A661C">
          <w:pPr>
            <w:pStyle w:val="TOC1"/>
            <w:rPr>
              <w:rFonts w:asciiTheme="minorHAnsi" w:eastAsiaTheme="minorEastAsia" w:hAnsiTheme="minorHAnsi" w:cstheme="minorBidi"/>
              <w:b w:val="0"/>
              <w:bCs w:val="0"/>
              <w:caps w:val="0"/>
              <w:noProof/>
              <w:szCs w:val="22"/>
              <w:lang w:val="en-GB" w:eastAsia="en-GB"/>
            </w:rPr>
          </w:pPr>
          <w:r w:rsidRPr="00B46F5F">
            <w:fldChar w:fldCharType="begin"/>
          </w:r>
          <w:r w:rsidRPr="00B46F5F">
            <w:instrText xml:space="preserve"> TOC \o "1-3" \h \z \u </w:instrText>
          </w:r>
          <w:r w:rsidRPr="00B46F5F">
            <w:fldChar w:fldCharType="separate"/>
          </w:r>
          <w:hyperlink w:anchor="_Toc384293477" w:history="1">
            <w:r w:rsidR="00794D8F" w:rsidRPr="00964E33">
              <w:rPr>
                <w:rStyle w:val="Hyperlink"/>
                <w:noProof/>
              </w:rPr>
              <w:t>TABLE OF CONTENTS</w:t>
            </w:r>
            <w:r w:rsidR="00794D8F">
              <w:rPr>
                <w:noProof/>
                <w:webHidden/>
              </w:rPr>
              <w:tab/>
            </w:r>
            <w:r w:rsidR="00794D8F">
              <w:rPr>
                <w:noProof/>
                <w:webHidden/>
              </w:rPr>
              <w:fldChar w:fldCharType="begin"/>
            </w:r>
            <w:r w:rsidR="00794D8F">
              <w:rPr>
                <w:noProof/>
                <w:webHidden/>
              </w:rPr>
              <w:instrText xml:space="preserve"> PAGEREF _Toc384293477 \h </w:instrText>
            </w:r>
            <w:r w:rsidR="00794D8F">
              <w:rPr>
                <w:noProof/>
                <w:webHidden/>
              </w:rPr>
            </w:r>
            <w:r w:rsidR="00794D8F">
              <w:rPr>
                <w:noProof/>
                <w:webHidden/>
              </w:rPr>
              <w:fldChar w:fldCharType="separate"/>
            </w:r>
            <w:r w:rsidR="00794D8F">
              <w:rPr>
                <w:noProof/>
                <w:webHidden/>
              </w:rPr>
              <w:t>5</w:t>
            </w:r>
            <w:r w:rsidR="00794D8F">
              <w:rPr>
                <w:noProof/>
                <w:webHidden/>
              </w:rPr>
              <w:fldChar w:fldCharType="end"/>
            </w:r>
          </w:hyperlink>
        </w:p>
        <w:p w:rsidR="00794D8F" w:rsidRDefault="000A0E74">
          <w:pPr>
            <w:pStyle w:val="TOC1"/>
            <w:rPr>
              <w:rFonts w:asciiTheme="minorHAnsi" w:eastAsiaTheme="minorEastAsia" w:hAnsiTheme="minorHAnsi" w:cstheme="minorBidi"/>
              <w:b w:val="0"/>
              <w:bCs w:val="0"/>
              <w:caps w:val="0"/>
              <w:noProof/>
              <w:szCs w:val="22"/>
              <w:lang w:val="en-GB" w:eastAsia="en-GB"/>
            </w:rPr>
          </w:pPr>
          <w:hyperlink w:anchor="_Toc384293478" w:history="1">
            <w:r w:rsidR="00794D8F" w:rsidRPr="00964E33">
              <w:rPr>
                <w:rStyle w:val="Hyperlink"/>
                <w:noProof/>
              </w:rPr>
              <w:t>Abbreviations</w:t>
            </w:r>
            <w:r w:rsidR="00794D8F">
              <w:rPr>
                <w:noProof/>
                <w:webHidden/>
              </w:rPr>
              <w:tab/>
            </w:r>
            <w:r w:rsidR="00794D8F">
              <w:rPr>
                <w:noProof/>
                <w:webHidden/>
              </w:rPr>
              <w:fldChar w:fldCharType="begin"/>
            </w:r>
            <w:r w:rsidR="00794D8F">
              <w:rPr>
                <w:noProof/>
                <w:webHidden/>
              </w:rPr>
              <w:instrText xml:space="preserve"> PAGEREF _Toc384293478 \h </w:instrText>
            </w:r>
            <w:r w:rsidR="00794D8F">
              <w:rPr>
                <w:noProof/>
                <w:webHidden/>
              </w:rPr>
            </w:r>
            <w:r w:rsidR="00794D8F">
              <w:rPr>
                <w:noProof/>
                <w:webHidden/>
              </w:rPr>
              <w:fldChar w:fldCharType="separate"/>
            </w:r>
            <w:r w:rsidR="00794D8F">
              <w:rPr>
                <w:noProof/>
                <w:webHidden/>
              </w:rPr>
              <w:t>8</w:t>
            </w:r>
            <w:r w:rsidR="00794D8F">
              <w:rPr>
                <w:noProof/>
                <w:webHidden/>
              </w:rPr>
              <w:fldChar w:fldCharType="end"/>
            </w:r>
          </w:hyperlink>
        </w:p>
        <w:p w:rsidR="00794D8F" w:rsidRDefault="000A0E74">
          <w:pPr>
            <w:pStyle w:val="TOC1"/>
            <w:tabs>
              <w:tab w:val="left" w:pos="480"/>
            </w:tabs>
            <w:rPr>
              <w:rFonts w:asciiTheme="minorHAnsi" w:eastAsiaTheme="minorEastAsia" w:hAnsiTheme="minorHAnsi" w:cstheme="minorBidi"/>
              <w:b w:val="0"/>
              <w:bCs w:val="0"/>
              <w:caps w:val="0"/>
              <w:noProof/>
              <w:szCs w:val="22"/>
              <w:lang w:val="en-GB" w:eastAsia="en-GB"/>
            </w:rPr>
          </w:pPr>
          <w:hyperlink w:anchor="_Toc384293479" w:history="1">
            <w:r w:rsidR="00794D8F" w:rsidRPr="00964E33">
              <w:rPr>
                <w:rStyle w:val="Hyperlink"/>
                <w:noProof/>
              </w:rPr>
              <w:t>1.</w:t>
            </w:r>
            <w:r w:rsidR="00794D8F">
              <w:rPr>
                <w:rFonts w:asciiTheme="minorHAnsi" w:eastAsiaTheme="minorEastAsia" w:hAnsiTheme="minorHAnsi" w:cstheme="minorBidi"/>
                <w:b w:val="0"/>
                <w:bCs w:val="0"/>
                <w:caps w:val="0"/>
                <w:noProof/>
                <w:szCs w:val="22"/>
                <w:lang w:val="en-GB" w:eastAsia="en-GB"/>
              </w:rPr>
              <w:tab/>
            </w:r>
            <w:r w:rsidR="00794D8F" w:rsidRPr="00964E33">
              <w:rPr>
                <w:rStyle w:val="Hyperlink"/>
                <w:noProof/>
              </w:rPr>
              <w:t>OBJECTIVES</w:t>
            </w:r>
            <w:r w:rsidR="00794D8F">
              <w:rPr>
                <w:noProof/>
                <w:webHidden/>
              </w:rPr>
              <w:tab/>
            </w:r>
            <w:r w:rsidR="00794D8F">
              <w:rPr>
                <w:noProof/>
                <w:webHidden/>
              </w:rPr>
              <w:fldChar w:fldCharType="begin"/>
            </w:r>
            <w:r w:rsidR="00794D8F">
              <w:rPr>
                <w:noProof/>
                <w:webHidden/>
              </w:rPr>
              <w:instrText xml:space="preserve"> PAGEREF _Toc384293479 \h </w:instrText>
            </w:r>
            <w:r w:rsidR="00794D8F">
              <w:rPr>
                <w:noProof/>
                <w:webHidden/>
              </w:rPr>
            </w:r>
            <w:r w:rsidR="00794D8F">
              <w:rPr>
                <w:noProof/>
                <w:webHidden/>
              </w:rPr>
              <w:fldChar w:fldCharType="separate"/>
            </w:r>
            <w:r w:rsidR="00794D8F">
              <w:rPr>
                <w:noProof/>
                <w:webHidden/>
              </w:rPr>
              <w:t>10</w:t>
            </w:r>
            <w:r w:rsidR="00794D8F">
              <w:rPr>
                <w:noProof/>
                <w:webHidden/>
              </w:rPr>
              <w:fldChar w:fldCharType="end"/>
            </w:r>
          </w:hyperlink>
        </w:p>
        <w:p w:rsidR="00794D8F" w:rsidRDefault="000A0E74">
          <w:pPr>
            <w:pStyle w:val="TOC1"/>
            <w:tabs>
              <w:tab w:val="left" w:pos="480"/>
            </w:tabs>
            <w:rPr>
              <w:rFonts w:asciiTheme="minorHAnsi" w:eastAsiaTheme="minorEastAsia" w:hAnsiTheme="minorHAnsi" w:cstheme="minorBidi"/>
              <w:b w:val="0"/>
              <w:bCs w:val="0"/>
              <w:caps w:val="0"/>
              <w:noProof/>
              <w:szCs w:val="22"/>
              <w:lang w:val="en-GB" w:eastAsia="en-GB"/>
            </w:rPr>
          </w:pPr>
          <w:hyperlink w:anchor="_Toc384293480" w:history="1">
            <w:r w:rsidR="00794D8F" w:rsidRPr="00964E33">
              <w:rPr>
                <w:rStyle w:val="Hyperlink"/>
                <w:noProof/>
              </w:rPr>
              <w:t>2.</w:t>
            </w:r>
            <w:r w:rsidR="00794D8F">
              <w:rPr>
                <w:rFonts w:asciiTheme="minorHAnsi" w:eastAsiaTheme="minorEastAsia" w:hAnsiTheme="minorHAnsi" w:cstheme="minorBidi"/>
                <w:b w:val="0"/>
                <w:bCs w:val="0"/>
                <w:caps w:val="0"/>
                <w:noProof/>
                <w:szCs w:val="22"/>
                <w:lang w:val="en-GB" w:eastAsia="en-GB"/>
              </w:rPr>
              <w:tab/>
            </w:r>
            <w:r w:rsidR="00794D8F" w:rsidRPr="00964E33">
              <w:rPr>
                <w:rStyle w:val="Hyperlink"/>
                <w:noProof/>
              </w:rPr>
              <w:t>BACKGROUND</w:t>
            </w:r>
            <w:r w:rsidR="00794D8F">
              <w:rPr>
                <w:noProof/>
                <w:webHidden/>
              </w:rPr>
              <w:tab/>
            </w:r>
            <w:r w:rsidR="00794D8F">
              <w:rPr>
                <w:noProof/>
                <w:webHidden/>
              </w:rPr>
              <w:fldChar w:fldCharType="begin"/>
            </w:r>
            <w:r w:rsidR="00794D8F">
              <w:rPr>
                <w:noProof/>
                <w:webHidden/>
              </w:rPr>
              <w:instrText xml:space="preserve"> PAGEREF _Toc384293480 \h </w:instrText>
            </w:r>
            <w:r w:rsidR="00794D8F">
              <w:rPr>
                <w:noProof/>
                <w:webHidden/>
              </w:rPr>
            </w:r>
            <w:r w:rsidR="00794D8F">
              <w:rPr>
                <w:noProof/>
                <w:webHidden/>
              </w:rPr>
              <w:fldChar w:fldCharType="separate"/>
            </w:r>
            <w:r w:rsidR="00794D8F">
              <w:rPr>
                <w:noProof/>
                <w:webHidden/>
              </w:rPr>
              <w:t>11</w:t>
            </w:r>
            <w:r w:rsidR="00794D8F">
              <w:rPr>
                <w:noProof/>
                <w:webHidden/>
              </w:rPr>
              <w:fldChar w:fldCharType="end"/>
            </w:r>
          </w:hyperlink>
        </w:p>
        <w:p w:rsidR="00794D8F" w:rsidRDefault="000A0E74">
          <w:pPr>
            <w:pStyle w:val="TOC2"/>
            <w:tabs>
              <w:tab w:val="left" w:pos="480"/>
              <w:tab w:val="right" w:leader="dot" w:pos="9016"/>
            </w:tabs>
            <w:rPr>
              <w:rFonts w:eastAsiaTheme="minorEastAsia" w:cstheme="minorBidi"/>
              <w:bCs w:val="0"/>
              <w:noProof/>
              <w:sz w:val="22"/>
              <w:szCs w:val="22"/>
              <w:lang w:val="en-GB" w:eastAsia="en-GB"/>
            </w:rPr>
          </w:pPr>
          <w:hyperlink w:anchor="_Toc384293481" w:history="1">
            <w:r w:rsidR="00794D8F" w:rsidRPr="00964E33">
              <w:rPr>
                <w:rStyle w:val="Hyperlink"/>
                <w:noProof/>
              </w:rPr>
              <w:t>2.1</w:t>
            </w:r>
            <w:r w:rsidR="00794D8F">
              <w:rPr>
                <w:rFonts w:eastAsiaTheme="minorEastAsia" w:cstheme="minorBidi"/>
                <w:bCs w:val="0"/>
                <w:noProof/>
                <w:sz w:val="22"/>
                <w:szCs w:val="22"/>
                <w:lang w:val="en-GB" w:eastAsia="en-GB"/>
              </w:rPr>
              <w:tab/>
            </w:r>
            <w:r w:rsidR="00794D8F" w:rsidRPr="00964E33">
              <w:rPr>
                <w:rStyle w:val="Hyperlink"/>
                <w:noProof/>
              </w:rPr>
              <w:t>Structure, breakdown and mechanism of toxicity</w:t>
            </w:r>
            <w:r w:rsidR="00794D8F">
              <w:rPr>
                <w:noProof/>
                <w:webHidden/>
              </w:rPr>
              <w:tab/>
            </w:r>
            <w:r w:rsidR="00794D8F">
              <w:rPr>
                <w:noProof/>
                <w:webHidden/>
              </w:rPr>
              <w:fldChar w:fldCharType="begin"/>
            </w:r>
            <w:r w:rsidR="00794D8F">
              <w:rPr>
                <w:noProof/>
                <w:webHidden/>
              </w:rPr>
              <w:instrText xml:space="preserve"> PAGEREF _Toc384293481 \h </w:instrText>
            </w:r>
            <w:r w:rsidR="00794D8F">
              <w:rPr>
                <w:noProof/>
                <w:webHidden/>
              </w:rPr>
            </w:r>
            <w:r w:rsidR="00794D8F">
              <w:rPr>
                <w:noProof/>
                <w:webHidden/>
              </w:rPr>
              <w:fldChar w:fldCharType="separate"/>
            </w:r>
            <w:r w:rsidR="00794D8F">
              <w:rPr>
                <w:noProof/>
                <w:webHidden/>
              </w:rPr>
              <w:t>11</w:t>
            </w:r>
            <w:r w:rsidR="00794D8F">
              <w:rPr>
                <w:noProof/>
                <w:webHidden/>
              </w:rPr>
              <w:fldChar w:fldCharType="end"/>
            </w:r>
          </w:hyperlink>
        </w:p>
        <w:p w:rsidR="00794D8F" w:rsidRDefault="000A0E74">
          <w:pPr>
            <w:pStyle w:val="TOC2"/>
            <w:tabs>
              <w:tab w:val="left" w:pos="480"/>
              <w:tab w:val="right" w:leader="dot" w:pos="9016"/>
            </w:tabs>
            <w:rPr>
              <w:rFonts w:eastAsiaTheme="minorEastAsia" w:cstheme="minorBidi"/>
              <w:bCs w:val="0"/>
              <w:noProof/>
              <w:sz w:val="22"/>
              <w:szCs w:val="22"/>
              <w:lang w:val="en-GB" w:eastAsia="en-GB"/>
            </w:rPr>
          </w:pPr>
          <w:hyperlink w:anchor="_Toc384293482" w:history="1">
            <w:r w:rsidR="00794D8F" w:rsidRPr="00964E33">
              <w:rPr>
                <w:rStyle w:val="Hyperlink"/>
                <w:noProof/>
              </w:rPr>
              <w:t>2.2</w:t>
            </w:r>
            <w:r w:rsidR="00794D8F">
              <w:rPr>
                <w:rFonts w:eastAsiaTheme="minorEastAsia" w:cstheme="minorBidi"/>
                <w:bCs w:val="0"/>
                <w:noProof/>
                <w:sz w:val="22"/>
                <w:szCs w:val="22"/>
                <w:lang w:val="en-GB" w:eastAsia="en-GB"/>
              </w:rPr>
              <w:tab/>
            </w:r>
            <w:r w:rsidR="00794D8F" w:rsidRPr="00964E33">
              <w:rPr>
                <w:rStyle w:val="Hyperlink"/>
                <w:noProof/>
              </w:rPr>
              <w:t>Regulation of cyanogenic glycosides in Australia and New Zealand</w:t>
            </w:r>
            <w:r w:rsidR="00794D8F">
              <w:rPr>
                <w:noProof/>
                <w:webHidden/>
              </w:rPr>
              <w:tab/>
            </w:r>
            <w:r w:rsidR="00794D8F">
              <w:rPr>
                <w:noProof/>
                <w:webHidden/>
              </w:rPr>
              <w:fldChar w:fldCharType="begin"/>
            </w:r>
            <w:r w:rsidR="00794D8F">
              <w:rPr>
                <w:noProof/>
                <w:webHidden/>
              </w:rPr>
              <w:instrText xml:space="preserve"> PAGEREF _Toc384293482 \h </w:instrText>
            </w:r>
            <w:r w:rsidR="00794D8F">
              <w:rPr>
                <w:noProof/>
                <w:webHidden/>
              </w:rPr>
            </w:r>
            <w:r w:rsidR="00794D8F">
              <w:rPr>
                <w:noProof/>
                <w:webHidden/>
              </w:rPr>
              <w:fldChar w:fldCharType="separate"/>
            </w:r>
            <w:r w:rsidR="00794D8F">
              <w:rPr>
                <w:noProof/>
                <w:webHidden/>
              </w:rPr>
              <w:t>12</w:t>
            </w:r>
            <w:r w:rsidR="00794D8F">
              <w:rPr>
                <w:noProof/>
                <w:webHidden/>
              </w:rPr>
              <w:fldChar w:fldCharType="end"/>
            </w:r>
          </w:hyperlink>
        </w:p>
        <w:p w:rsidR="00794D8F" w:rsidRDefault="000A0E74">
          <w:pPr>
            <w:pStyle w:val="TOC2"/>
            <w:tabs>
              <w:tab w:val="left" w:pos="480"/>
              <w:tab w:val="right" w:leader="dot" w:pos="9016"/>
            </w:tabs>
            <w:rPr>
              <w:rFonts w:eastAsiaTheme="minorEastAsia" w:cstheme="minorBidi"/>
              <w:bCs w:val="0"/>
              <w:noProof/>
              <w:sz w:val="22"/>
              <w:szCs w:val="22"/>
              <w:lang w:val="en-GB" w:eastAsia="en-GB"/>
            </w:rPr>
          </w:pPr>
          <w:hyperlink w:anchor="_Toc384293483" w:history="1">
            <w:r w:rsidR="00794D8F" w:rsidRPr="00964E33">
              <w:rPr>
                <w:rStyle w:val="Hyperlink"/>
                <w:noProof/>
              </w:rPr>
              <w:t>2.3</w:t>
            </w:r>
            <w:r w:rsidR="00794D8F">
              <w:rPr>
                <w:rFonts w:eastAsiaTheme="minorEastAsia" w:cstheme="minorBidi"/>
                <w:bCs w:val="0"/>
                <w:noProof/>
                <w:sz w:val="22"/>
                <w:szCs w:val="22"/>
                <w:lang w:val="en-GB" w:eastAsia="en-GB"/>
              </w:rPr>
              <w:tab/>
            </w:r>
            <w:r w:rsidR="00794D8F" w:rsidRPr="00964E33">
              <w:rPr>
                <w:rStyle w:val="Hyperlink"/>
                <w:noProof/>
              </w:rPr>
              <w:t>International regulations</w:t>
            </w:r>
            <w:r w:rsidR="00794D8F">
              <w:rPr>
                <w:noProof/>
                <w:webHidden/>
              </w:rPr>
              <w:tab/>
            </w:r>
            <w:r w:rsidR="00794D8F">
              <w:rPr>
                <w:noProof/>
                <w:webHidden/>
              </w:rPr>
              <w:fldChar w:fldCharType="begin"/>
            </w:r>
            <w:r w:rsidR="00794D8F">
              <w:rPr>
                <w:noProof/>
                <w:webHidden/>
              </w:rPr>
              <w:instrText xml:space="preserve"> PAGEREF _Toc384293483 \h </w:instrText>
            </w:r>
            <w:r w:rsidR="00794D8F">
              <w:rPr>
                <w:noProof/>
                <w:webHidden/>
              </w:rPr>
            </w:r>
            <w:r w:rsidR="00794D8F">
              <w:rPr>
                <w:noProof/>
                <w:webHidden/>
              </w:rPr>
              <w:fldChar w:fldCharType="separate"/>
            </w:r>
            <w:r w:rsidR="00794D8F">
              <w:rPr>
                <w:noProof/>
                <w:webHidden/>
              </w:rPr>
              <w:t>13</w:t>
            </w:r>
            <w:r w:rsidR="00794D8F">
              <w:rPr>
                <w:noProof/>
                <w:webHidden/>
              </w:rPr>
              <w:fldChar w:fldCharType="end"/>
            </w:r>
          </w:hyperlink>
        </w:p>
        <w:p w:rsidR="00794D8F" w:rsidRDefault="000A0E74">
          <w:pPr>
            <w:pStyle w:val="TOC2"/>
            <w:tabs>
              <w:tab w:val="left" w:pos="480"/>
              <w:tab w:val="right" w:leader="dot" w:pos="9016"/>
            </w:tabs>
            <w:rPr>
              <w:rFonts w:eastAsiaTheme="minorEastAsia" w:cstheme="minorBidi"/>
              <w:bCs w:val="0"/>
              <w:noProof/>
              <w:sz w:val="22"/>
              <w:szCs w:val="22"/>
              <w:lang w:val="en-GB" w:eastAsia="en-GB"/>
            </w:rPr>
          </w:pPr>
          <w:hyperlink w:anchor="_Toc384293484" w:history="1">
            <w:r w:rsidR="00794D8F" w:rsidRPr="00964E33">
              <w:rPr>
                <w:rStyle w:val="Hyperlink"/>
                <w:noProof/>
              </w:rPr>
              <w:t>2.4</w:t>
            </w:r>
            <w:r w:rsidR="00794D8F">
              <w:rPr>
                <w:rFonts w:eastAsiaTheme="minorEastAsia" w:cstheme="minorBidi"/>
                <w:bCs w:val="0"/>
                <w:noProof/>
                <w:sz w:val="22"/>
                <w:szCs w:val="22"/>
                <w:lang w:val="en-GB" w:eastAsia="en-GB"/>
              </w:rPr>
              <w:tab/>
            </w:r>
            <w:r w:rsidR="00794D8F" w:rsidRPr="00964E33">
              <w:rPr>
                <w:rStyle w:val="Hyperlink"/>
                <w:noProof/>
              </w:rPr>
              <w:t>ISFR coordinated food survey of cyanogenic glycosides in plant-based foods</w:t>
            </w:r>
            <w:r w:rsidR="00794D8F">
              <w:rPr>
                <w:noProof/>
                <w:webHidden/>
              </w:rPr>
              <w:tab/>
            </w:r>
            <w:r w:rsidR="00794D8F">
              <w:rPr>
                <w:noProof/>
                <w:webHidden/>
              </w:rPr>
              <w:fldChar w:fldCharType="begin"/>
            </w:r>
            <w:r w:rsidR="00794D8F">
              <w:rPr>
                <w:noProof/>
                <w:webHidden/>
              </w:rPr>
              <w:instrText xml:space="preserve"> PAGEREF _Toc384293484 \h </w:instrText>
            </w:r>
            <w:r w:rsidR="00794D8F">
              <w:rPr>
                <w:noProof/>
                <w:webHidden/>
              </w:rPr>
            </w:r>
            <w:r w:rsidR="00794D8F">
              <w:rPr>
                <w:noProof/>
                <w:webHidden/>
              </w:rPr>
              <w:fldChar w:fldCharType="separate"/>
            </w:r>
            <w:r w:rsidR="00794D8F">
              <w:rPr>
                <w:noProof/>
                <w:webHidden/>
              </w:rPr>
              <w:t>14</w:t>
            </w:r>
            <w:r w:rsidR="00794D8F">
              <w:rPr>
                <w:noProof/>
                <w:webHidden/>
              </w:rPr>
              <w:fldChar w:fldCharType="end"/>
            </w:r>
          </w:hyperlink>
        </w:p>
        <w:p w:rsidR="00794D8F" w:rsidRDefault="000A0E74">
          <w:pPr>
            <w:pStyle w:val="TOC3"/>
            <w:tabs>
              <w:tab w:val="right" w:leader="dot" w:pos="9016"/>
            </w:tabs>
            <w:rPr>
              <w:rFonts w:eastAsiaTheme="minorEastAsia" w:cstheme="minorBidi"/>
              <w:noProof/>
              <w:sz w:val="22"/>
              <w:szCs w:val="22"/>
              <w:lang w:val="en-GB" w:eastAsia="en-GB"/>
            </w:rPr>
          </w:pPr>
          <w:hyperlink w:anchor="_Toc384293485" w:history="1">
            <w:r w:rsidR="00794D8F" w:rsidRPr="00964E33">
              <w:rPr>
                <w:rStyle w:val="Hyperlink"/>
                <w:noProof/>
              </w:rPr>
              <w:t>2.4.1 Survey 1</w:t>
            </w:r>
            <w:r w:rsidR="00794D8F">
              <w:rPr>
                <w:noProof/>
                <w:webHidden/>
              </w:rPr>
              <w:tab/>
            </w:r>
            <w:r w:rsidR="00794D8F">
              <w:rPr>
                <w:noProof/>
                <w:webHidden/>
              </w:rPr>
              <w:fldChar w:fldCharType="begin"/>
            </w:r>
            <w:r w:rsidR="00794D8F">
              <w:rPr>
                <w:noProof/>
                <w:webHidden/>
              </w:rPr>
              <w:instrText xml:space="preserve"> PAGEREF _Toc384293485 \h </w:instrText>
            </w:r>
            <w:r w:rsidR="00794D8F">
              <w:rPr>
                <w:noProof/>
                <w:webHidden/>
              </w:rPr>
            </w:r>
            <w:r w:rsidR="00794D8F">
              <w:rPr>
                <w:noProof/>
                <w:webHidden/>
              </w:rPr>
              <w:fldChar w:fldCharType="separate"/>
            </w:r>
            <w:r w:rsidR="00794D8F">
              <w:rPr>
                <w:noProof/>
                <w:webHidden/>
              </w:rPr>
              <w:t>14</w:t>
            </w:r>
            <w:r w:rsidR="00794D8F">
              <w:rPr>
                <w:noProof/>
                <w:webHidden/>
              </w:rPr>
              <w:fldChar w:fldCharType="end"/>
            </w:r>
          </w:hyperlink>
        </w:p>
        <w:p w:rsidR="00794D8F" w:rsidRDefault="000A0E74">
          <w:pPr>
            <w:pStyle w:val="TOC3"/>
            <w:tabs>
              <w:tab w:val="right" w:leader="dot" w:pos="9016"/>
            </w:tabs>
            <w:rPr>
              <w:rFonts w:eastAsiaTheme="minorEastAsia" w:cstheme="minorBidi"/>
              <w:noProof/>
              <w:sz w:val="22"/>
              <w:szCs w:val="22"/>
              <w:lang w:val="en-GB" w:eastAsia="en-GB"/>
            </w:rPr>
          </w:pPr>
          <w:hyperlink w:anchor="_Toc384293486" w:history="1">
            <w:r w:rsidR="00794D8F" w:rsidRPr="00964E33">
              <w:rPr>
                <w:rStyle w:val="Hyperlink"/>
                <w:noProof/>
              </w:rPr>
              <w:t>2.4.2 Survey 2</w:t>
            </w:r>
            <w:r w:rsidR="00794D8F">
              <w:rPr>
                <w:noProof/>
                <w:webHidden/>
              </w:rPr>
              <w:tab/>
            </w:r>
            <w:r w:rsidR="00794D8F">
              <w:rPr>
                <w:noProof/>
                <w:webHidden/>
              </w:rPr>
              <w:fldChar w:fldCharType="begin"/>
            </w:r>
            <w:r w:rsidR="00794D8F">
              <w:rPr>
                <w:noProof/>
                <w:webHidden/>
              </w:rPr>
              <w:instrText xml:space="preserve"> PAGEREF _Toc384293486 \h </w:instrText>
            </w:r>
            <w:r w:rsidR="00794D8F">
              <w:rPr>
                <w:noProof/>
                <w:webHidden/>
              </w:rPr>
            </w:r>
            <w:r w:rsidR="00794D8F">
              <w:rPr>
                <w:noProof/>
                <w:webHidden/>
              </w:rPr>
              <w:fldChar w:fldCharType="separate"/>
            </w:r>
            <w:r w:rsidR="00794D8F">
              <w:rPr>
                <w:noProof/>
                <w:webHidden/>
              </w:rPr>
              <w:t>14</w:t>
            </w:r>
            <w:r w:rsidR="00794D8F">
              <w:rPr>
                <w:noProof/>
                <w:webHidden/>
              </w:rPr>
              <w:fldChar w:fldCharType="end"/>
            </w:r>
          </w:hyperlink>
        </w:p>
        <w:p w:rsidR="00794D8F" w:rsidRDefault="000A0E74">
          <w:pPr>
            <w:pStyle w:val="TOC3"/>
            <w:tabs>
              <w:tab w:val="right" w:leader="dot" w:pos="9016"/>
            </w:tabs>
            <w:rPr>
              <w:rFonts w:eastAsiaTheme="minorEastAsia" w:cstheme="minorBidi"/>
              <w:noProof/>
              <w:sz w:val="22"/>
              <w:szCs w:val="22"/>
              <w:lang w:val="en-GB" w:eastAsia="en-GB"/>
            </w:rPr>
          </w:pPr>
          <w:hyperlink w:anchor="_Toc384293487" w:history="1">
            <w:r w:rsidR="00794D8F" w:rsidRPr="00964E33">
              <w:rPr>
                <w:rStyle w:val="Hyperlink"/>
                <w:noProof/>
              </w:rPr>
              <w:t>2.4.3 Survey 3</w:t>
            </w:r>
            <w:r w:rsidR="00794D8F">
              <w:rPr>
                <w:noProof/>
                <w:webHidden/>
              </w:rPr>
              <w:tab/>
            </w:r>
            <w:r w:rsidR="00794D8F">
              <w:rPr>
                <w:noProof/>
                <w:webHidden/>
              </w:rPr>
              <w:fldChar w:fldCharType="begin"/>
            </w:r>
            <w:r w:rsidR="00794D8F">
              <w:rPr>
                <w:noProof/>
                <w:webHidden/>
              </w:rPr>
              <w:instrText xml:space="preserve"> PAGEREF _Toc384293487 \h </w:instrText>
            </w:r>
            <w:r w:rsidR="00794D8F">
              <w:rPr>
                <w:noProof/>
                <w:webHidden/>
              </w:rPr>
            </w:r>
            <w:r w:rsidR="00794D8F">
              <w:rPr>
                <w:noProof/>
                <w:webHidden/>
              </w:rPr>
              <w:fldChar w:fldCharType="separate"/>
            </w:r>
            <w:r w:rsidR="00794D8F">
              <w:rPr>
                <w:noProof/>
                <w:webHidden/>
              </w:rPr>
              <w:t>14</w:t>
            </w:r>
            <w:r w:rsidR="00794D8F">
              <w:rPr>
                <w:noProof/>
                <w:webHidden/>
              </w:rPr>
              <w:fldChar w:fldCharType="end"/>
            </w:r>
          </w:hyperlink>
        </w:p>
        <w:p w:rsidR="00794D8F" w:rsidRDefault="000A0E74">
          <w:pPr>
            <w:pStyle w:val="TOC1"/>
            <w:tabs>
              <w:tab w:val="left" w:pos="480"/>
            </w:tabs>
            <w:rPr>
              <w:rFonts w:asciiTheme="minorHAnsi" w:eastAsiaTheme="minorEastAsia" w:hAnsiTheme="minorHAnsi" w:cstheme="minorBidi"/>
              <w:b w:val="0"/>
              <w:bCs w:val="0"/>
              <w:caps w:val="0"/>
              <w:noProof/>
              <w:szCs w:val="22"/>
              <w:lang w:val="en-GB" w:eastAsia="en-GB"/>
            </w:rPr>
          </w:pPr>
          <w:hyperlink w:anchor="_Toc384293488" w:history="1">
            <w:r w:rsidR="00794D8F" w:rsidRPr="00964E33">
              <w:rPr>
                <w:rStyle w:val="Hyperlink"/>
                <w:noProof/>
              </w:rPr>
              <w:t>3.</w:t>
            </w:r>
            <w:r w:rsidR="00794D8F">
              <w:rPr>
                <w:rFonts w:asciiTheme="minorHAnsi" w:eastAsiaTheme="minorEastAsia" w:hAnsiTheme="minorHAnsi" w:cstheme="minorBidi"/>
                <w:b w:val="0"/>
                <w:bCs w:val="0"/>
                <w:caps w:val="0"/>
                <w:noProof/>
                <w:szCs w:val="22"/>
                <w:lang w:val="en-GB" w:eastAsia="en-GB"/>
              </w:rPr>
              <w:tab/>
            </w:r>
            <w:r w:rsidR="00794D8F" w:rsidRPr="00964E33">
              <w:rPr>
                <w:rStyle w:val="Hyperlink"/>
                <w:noProof/>
              </w:rPr>
              <w:t>METHODOLOGY</w:t>
            </w:r>
            <w:r w:rsidR="00794D8F">
              <w:rPr>
                <w:noProof/>
                <w:webHidden/>
              </w:rPr>
              <w:tab/>
            </w:r>
            <w:r w:rsidR="00794D8F">
              <w:rPr>
                <w:noProof/>
                <w:webHidden/>
              </w:rPr>
              <w:fldChar w:fldCharType="begin"/>
            </w:r>
            <w:r w:rsidR="00794D8F">
              <w:rPr>
                <w:noProof/>
                <w:webHidden/>
              </w:rPr>
              <w:instrText xml:space="preserve"> PAGEREF _Toc384293488 \h </w:instrText>
            </w:r>
            <w:r w:rsidR="00794D8F">
              <w:rPr>
                <w:noProof/>
                <w:webHidden/>
              </w:rPr>
            </w:r>
            <w:r w:rsidR="00794D8F">
              <w:rPr>
                <w:noProof/>
                <w:webHidden/>
              </w:rPr>
              <w:fldChar w:fldCharType="separate"/>
            </w:r>
            <w:r w:rsidR="00794D8F">
              <w:rPr>
                <w:noProof/>
                <w:webHidden/>
              </w:rPr>
              <w:t>15</w:t>
            </w:r>
            <w:r w:rsidR="00794D8F">
              <w:rPr>
                <w:noProof/>
                <w:webHidden/>
              </w:rPr>
              <w:fldChar w:fldCharType="end"/>
            </w:r>
          </w:hyperlink>
        </w:p>
        <w:p w:rsidR="00794D8F" w:rsidRDefault="000A0E74">
          <w:pPr>
            <w:pStyle w:val="TOC2"/>
            <w:tabs>
              <w:tab w:val="left" w:pos="480"/>
              <w:tab w:val="right" w:leader="dot" w:pos="9016"/>
            </w:tabs>
            <w:rPr>
              <w:rFonts w:eastAsiaTheme="minorEastAsia" w:cstheme="minorBidi"/>
              <w:bCs w:val="0"/>
              <w:noProof/>
              <w:sz w:val="22"/>
              <w:szCs w:val="22"/>
              <w:lang w:val="en-GB" w:eastAsia="en-GB"/>
            </w:rPr>
          </w:pPr>
          <w:hyperlink w:anchor="_Toc384293489" w:history="1">
            <w:r w:rsidR="00794D8F" w:rsidRPr="00964E33">
              <w:rPr>
                <w:rStyle w:val="Hyperlink"/>
                <w:noProof/>
              </w:rPr>
              <w:t>3.1</w:t>
            </w:r>
            <w:r w:rsidR="00794D8F">
              <w:rPr>
                <w:rFonts w:eastAsiaTheme="minorEastAsia" w:cstheme="minorBidi"/>
                <w:bCs w:val="0"/>
                <w:noProof/>
                <w:sz w:val="22"/>
                <w:szCs w:val="22"/>
                <w:lang w:val="en-GB" w:eastAsia="en-GB"/>
              </w:rPr>
              <w:tab/>
            </w:r>
            <w:r w:rsidR="00794D8F" w:rsidRPr="00964E33">
              <w:rPr>
                <w:rStyle w:val="Hyperlink"/>
                <w:noProof/>
              </w:rPr>
              <w:t>Sampling</w:t>
            </w:r>
            <w:r w:rsidR="00794D8F">
              <w:rPr>
                <w:noProof/>
                <w:webHidden/>
              </w:rPr>
              <w:tab/>
            </w:r>
            <w:r w:rsidR="00794D8F">
              <w:rPr>
                <w:noProof/>
                <w:webHidden/>
              </w:rPr>
              <w:fldChar w:fldCharType="begin"/>
            </w:r>
            <w:r w:rsidR="00794D8F">
              <w:rPr>
                <w:noProof/>
                <w:webHidden/>
              </w:rPr>
              <w:instrText xml:space="preserve"> PAGEREF _Toc384293489 \h </w:instrText>
            </w:r>
            <w:r w:rsidR="00794D8F">
              <w:rPr>
                <w:noProof/>
                <w:webHidden/>
              </w:rPr>
            </w:r>
            <w:r w:rsidR="00794D8F">
              <w:rPr>
                <w:noProof/>
                <w:webHidden/>
              </w:rPr>
              <w:fldChar w:fldCharType="separate"/>
            </w:r>
            <w:r w:rsidR="00794D8F">
              <w:rPr>
                <w:noProof/>
                <w:webHidden/>
              </w:rPr>
              <w:t>15</w:t>
            </w:r>
            <w:r w:rsidR="00794D8F">
              <w:rPr>
                <w:noProof/>
                <w:webHidden/>
              </w:rPr>
              <w:fldChar w:fldCharType="end"/>
            </w:r>
          </w:hyperlink>
        </w:p>
        <w:p w:rsidR="00794D8F" w:rsidRDefault="000A0E74">
          <w:pPr>
            <w:pStyle w:val="TOC3"/>
            <w:tabs>
              <w:tab w:val="left" w:pos="960"/>
              <w:tab w:val="right" w:leader="dot" w:pos="9016"/>
            </w:tabs>
            <w:rPr>
              <w:rFonts w:eastAsiaTheme="minorEastAsia" w:cstheme="minorBidi"/>
              <w:noProof/>
              <w:sz w:val="22"/>
              <w:szCs w:val="22"/>
              <w:lang w:val="en-GB" w:eastAsia="en-GB"/>
            </w:rPr>
          </w:pPr>
          <w:hyperlink w:anchor="_Toc384293490" w:history="1">
            <w:r w:rsidR="00794D8F" w:rsidRPr="00964E33">
              <w:rPr>
                <w:rStyle w:val="Hyperlink"/>
                <w:noProof/>
              </w:rPr>
              <w:t>3.1.1</w:t>
            </w:r>
            <w:r w:rsidR="00794D8F">
              <w:rPr>
                <w:rFonts w:eastAsiaTheme="minorEastAsia" w:cstheme="minorBidi"/>
                <w:noProof/>
                <w:sz w:val="22"/>
                <w:szCs w:val="22"/>
                <w:lang w:val="en-GB" w:eastAsia="en-GB"/>
              </w:rPr>
              <w:tab/>
            </w:r>
            <w:r w:rsidR="00794D8F" w:rsidRPr="00964E33">
              <w:rPr>
                <w:rStyle w:val="Hyperlink"/>
                <w:noProof/>
              </w:rPr>
              <w:t>Survey of cyanogenic glycosides in plant-based foods (Survey 1)</w:t>
            </w:r>
            <w:r w:rsidR="00794D8F">
              <w:rPr>
                <w:noProof/>
                <w:webHidden/>
              </w:rPr>
              <w:tab/>
            </w:r>
            <w:r w:rsidR="00794D8F">
              <w:rPr>
                <w:noProof/>
                <w:webHidden/>
              </w:rPr>
              <w:fldChar w:fldCharType="begin"/>
            </w:r>
            <w:r w:rsidR="00794D8F">
              <w:rPr>
                <w:noProof/>
                <w:webHidden/>
              </w:rPr>
              <w:instrText xml:space="preserve"> PAGEREF _Toc384293490 \h </w:instrText>
            </w:r>
            <w:r w:rsidR="00794D8F">
              <w:rPr>
                <w:noProof/>
                <w:webHidden/>
              </w:rPr>
            </w:r>
            <w:r w:rsidR="00794D8F">
              <w:rPr>
                <w:noProof/>
                <w:webHidden/>
              </w:rPr>
              <w:fldChar w:fldCharType="separate"/>
            </w:r>
            <w:r w:rsidR="00794D8F">
              <w:rPr>
                <w:noProof/>
                <w:webHidden/>
              </w:rPr>
              <w:t>15</w:t>
            </w:r>
            <w:r w:rsidR="00794D8F">
              <w:rPr>
                <w:noProof/>
                <w:webHidden/>
              </w:rPr>
              <w:fldChar w:fldCharType="end"/>
            </w:r>
          </w:hyperlink>
        </w:p>
        <w:p w:rsidR="00794D8F" w:rsidRDefault="000A0E74">
          <w:pPr>
            <w:pStyle w:val="TOC3"/>
            <w:tabs>
              <w:tab w:val="left" w:pos="960"/>
              <w:tab w:val="right" w:leader="dot" w:pos="9016"/>
            </w:tabs>
            <w:rPr>
              <w:rFonts w:eastAsiaTheme="minorEastAsia" w:cstheme="minorBidi"/>
              <w:noProof/>
              <w:sz w:val="22"/>
              <w:szCs w:val="22"/>
              <w:lang w:val="en-GB" w:eastAsia="en-GB"/>
            </w:rPr>
          </w:pPr>
          <w:hyperlink w:anchor="_Toc384293491" w:history="1">
            <w:r w:rsidR="00794D8F" w:rsidRPr="00964E33">
              <w:rPr>
                <w:rStyle w:val="Hyperlink"/>
                <w:noProof/>
              </w:rPr>
              <w:t>3.1.2</w:t>
            </w:r>
            <w:r w:rsidR="00794D8F">
              <w:rPr>
                <w:rFonts w:eastAsiaTheme="minorEastAsia" w:cstheme="minorBidi"/>
                <w:noProof/>
                <w:sz w:val="22"/>
                <w:szCs w:val="22"/>
                <w:lang w:val="en-GB" w:eastAsia="en-GB"/>
              </w:rPr>
              <w:tab/>
            </w:r>
            <w:r w:rsidR="00794D8F" w:rsidRPr="00964E33">
              <w:rPr>
                <w:rStyle w:val="Hyperlink"/>
                <w:noProof/>
              </w:rPr>
              <w:t>Follow-up survey of apple juice (Survey 2)</w:t>
            </w:r>
            <w:r w:rsidR="00794D8F">
              <w:rPr>
                <w:noProof/>
                <w:webHidden/>
              </w:rPr>
              <w:tab/>
            </w:r>
            <w:r w:rsidR="00794D8F">
              <w:rPr>
                <w:noProof/>
                <w:webHidden/>
              </w:rPr>
              <w:fldChar w:fldCharType="begin"/>
            </w:r>
            <w:r w:rsidR="00794D8F">
              <w:rPr>
                <w:noProof/>
                <w:webHidden/>
              </w:rPr>
              <w:instrText xml:space="preserve"> PAGEREF _Toc384293491 \h </w:instrText>
            </w:r>
            <w:r w:rsidR="00794D8F">
              <w:rPr>
                <w:noProof/>
                <w:webHidden/>
              </w:rPr>
            </w:r>
            <w:r w:rsidR="00794D8F">
              <w:rPr>
                <w:noProof/>
                <w:webHidden/>
              </w:rPr>
              <w:fldChar w:fldCharType="separate"/>
            </w:r>
            <w:r w:rsidR="00794D8F">
              <w:rPr>
                <w:noProof/>
                <w:webHidden/>
              </w:rPr>
              <w:t>16</w:t>
            </w:r>
            <w:r w:rsidR="00794D8F">
              <w:rPr>
                <w:noProof/>
                <w:webHidden/>
              </w:rPr>
              <w:fldChar w:fldCharType="end"/>
            </w:r>
          </w:hyperlink>
        </w:p>
        <w:p w:rsidR="00794D8F" w:rsidRDefault="000A0E74">
          <w:pPr>
            <w:pStyle w:val="TOC3"/>
            <w:tabs>
              <w:tab w:val="left" w:pos="960"/>
              <w:tab w:val="right" w:leader="dot" w:pos="9016"/>
            </w:tabs>
            <w:rPr>
              <w:rFonts w:eastAsiaTheme="minorEastAsia" w:cstheme="minorBidi"/>
              <w:noProof/>
              <w:sz w:val="22"/>
              <w:szCs w:val="22"/>
              <w:lang w:val="en-GB" w:eastAsia="en-GB"/>
            </w:rPr>
          </w:pPr>
          <w:hyperlink w:anchor="_Toc384293492" w:history="1">
            <w:r w:rsidR="00794D8F" w:rsidRPr="00964E33">
              <w:rPr>
                <w:rStyle w:val="Hyperlink"/>
                <w:noProof/>
              </w:rPr>
              <w:t>3.1.3</w:t>
            </w:r>
            <w:r w:rsidR="00794D8F">
              <w:rPr>
                <w:rFonts w:eastAsiaTheme="minorEastAsia" w:cstheme="minorBidi"/>
                <w:noProof/>
                <w:sz w:val="22"/>
                <w:szCs w:val="22"/>
                <w:lang w:val="en-GB" w:eastAsia="en-GB"/>
              </w:rPr>
              <w:tab/>
            </w:r>
            <w:r w:rsidR="00794D8F" w:rsidRPr="00964E33">
              <w:rPr>
                <w:rStyle w:val="Hyperlink"/>
                <w:noProof/>
              </w:rPr>
              <w:t>Follow-up survey of apricot kernels and other plant-based foods (Survey 3)</w:t>
            </w:r>
            <w:r w:rsidR="00794D8F">
              <w:rPr>
                <w:noProof/>
                <w:webHidden/>
              </w:rPr>
              <w:tab/>
            </w:r>
            <w:r w:rsidR="00794D8F">
              <w:rPr>
                <w:noProof/>
                <w:webHidden/>
              </w:rPr>
              <w:fldChar w:fldCharType="begin"/>
            </w:r>
            <w:r w:rsidR="00794D8F">
              <w:rPr>
                <w:noProof/>
                <w:webHidden/>
              </w:rPr>
              <w:instrText xml:space="preserve"> PAGEREF _Toc384293492 \h </w:instrText>
            </w:r>
            <w:r w:rsidR="00794D8F">
              <w:rPr>
                <w:noProof/>
                <w:webHidden/>
              </w:rPr>
            </w:r>
            <w:r w:rsidR="00794D8F">
              <w:rPr>
                <w:noProof/>
                <w:webHidden/>
              </w:rPr>
              <w:fldChar w:fldCharType="separate"/>
            </w:r>
            <w:r w:rsidR="00794D8F">
              <w:rPr>
                <w:noProof/>
                <w:webHidden/>
              </w:rPr>
              <w:t>18</w:t>
            </w:r>
            <w:r w:rsidR="00794D8F">
              <w:rPr>
                <w:noProof/>
                <w:webHidden/>
              </w:rPr>
              <w:fldChar w:fldCharType="end"/>
            </w:r>
          </w:hyperlink>
        </w:p>
        <w:p w:rsidR="00794D8F" w:rsidRDefault="000A0E74">
          <w:pPr>
            <w:pStyle w:val="TOC2"/>
            <w:tabs>
              <w:tab w:val="left" w:pos="480"/>
              <w:tab w:val="right" w:leader="dot" w:pos="9016"/>
            </w:tabs>
            <w:rPr>
              <w:rFonts w:eastAsiaTheme="minorEastAsia" w:cstheme="minorBidi"/>
              <w:bCs w:val="0"/>
              <w:noProof/>
              <w:sz w:val="22"/>
              <w:szCs w:val="22"/>
              <w:lang w:val="en-GB" w:eastAsia="en-GB"/>
            </w:rPr>
          </w:pPr>
          <w:hyperlink w:anchor="_Toc384293493" w:history="1">
            <w:r w:rsidR="00794D8F" w:rsidRPr="00964E33">
              <w:rPr>
                <w:rStyle w:val="Hyperlink"/>
                <w:noProof/>
              </w:rPr>
              <w:t>3.2</w:t>
            </w:r>
            <w:r w:rsidR="00794D8F">
              <w:rPr>
                <w:rFonts w:eastAsiaTheme="minorEastAsia" w:cstheme="minorBidi"/>
                <w:bCs w:val="0"/>
                <w:noProof/>
                <w:sz w:val="22"/>
                <w:szCs w:val="22"/>
                <w:lang w:val="en-GB" w:eastAsia="en-GB"/>
              </w:rPr>
              <w:tab/>
            </w:r>
            <w:r w:rsidR="00794D8F" w:rsidRPr="00964E33">
              <w:rPr>
                <w:rStyle w:val="Hyperlink"/>
                <w:noProof/>
              </w:rPr>
              <w:t>Sample preparation</w:t>
            </w:r>
            <w:r w:rsidR="00794D8F">
              <w:rPr>
                <w:noProof/>
                <w:webHidden/>
              </w:rPr>
              <w:tab/>
            </w:r>
            <w:r w:rsidR="00794D8F">
              <w:rPr>
                <w:noProof/>
                <w:webHidden/>
              </w:rPr>
              <w:fldChar w:fldCharType="begin"/>
            </w:r>
            <w:r w:rsidR="00794D8F">
              <w:rPr>
                <w:noProof/>
                <w:webHidden/>
              </w:rPr>
              <w:instrText xml:space="preserve"> PAGEREF _Toc384293493 \h </w:instrText>
            </w:r>
            <w:r w:rsidR="00794D8F">
              <w:rPr>
                <w:noProof/>
                <w:webHidden/>
              </w:rPr>
            </w:r>
            <w:r w:rsidR="00794D8F">
              <w:rPr>
                <w:noProof/>
                <w:webHidden/>
              </w:rPr>
              <w:fldChar w:fldCharType="separate"/>
            </w:r>
            <w:r w:rsidR="00794D8F">
              <w:rPr>
                <w:noProof/>
                <w:webHidden/>
              </w:rPr>
              <w:t>19</w:t>
            </w:r>
            <w:r w:rsidR="00794D8F">
              <w:rPr>
                <w:noProof/>
                <w:webHidden/>
              </w:rPr>
              <w:fldChar w:fldCharType="end"/>
            </w:r>
          </w:hyperlink>
        </w:p>
        <w:p w:rsidR="00794D8F" w:rsidRDefault="000A0E74">
          <w:pPr>
            <w:pStyle w:val="TOC2"/>
            <w:tabs>
              <w:tab w:val="left" w:pos="480"/>
              <w:tab w:val="right" w:leader="dot" w:pos="9016"/>
            </w:tabs>
            <w:rPr>
              <w:rFonts w:eastAsiaTheme="minorEastAsia" w:cstheme="minorBidi"/>
              <w:bCs w:val="0"/>
              <w:noProof/>
              <w:sz w:val="22"/>
              <w:szCs w:val="22"/>
              <w:lang w:val="en-GB" w:eastAsia="en-GB"/>
            </w:rPr>
          </w:pPr>
          <w:hyperlink w:anchor="_Toc384293494" w:history="1">
            <w:r w:rsidR="00794D8F" w:rsidRPr="00964E33">
              <w:rPr>
                <w:rStyle w:val="Hyperlink"/>
                <w:noProof/>
              </w:rPr>
              <w:t>3.3</w:t>
            </w:r>
            <w:r w:rsidR="00794D8F">
              <w:rPr>
                <w:rFonts w:eastAsiaTheme="minorEastAsia" w:cstheme="minorBidi"/>
                <w:bCs w:val="0"/>
                <w:noProof/>
                <w:sz w:val="22"/>
                <w:szCs w:val="22"/>
                <w:lang w:val="en-GB" w:eastAsia="en-GB"/>
              </w:rPr>
              <w:tab/>
            </w:r>
            <w:r w:rsidR="00794D8F" w:rsidRPr="00964E33">
              <w:rPr>
                <w:rStyle w:val="Hyperlink"/>
                <w:noProof/>
              </w:rPr>
              <w:t>Analysis</w:t>
            </w:r>
            <w:r w:rsidR="00794D8F">
              <w:rPr>
                <w:noProof/>
                <w:webHidden/>
              </w:rPr>
              <w:tab/>
            </w:r>
            <w:r w:rsidR="00794D8F">
              <w:rPr>
                <w:noProof/>
                <w:webHidden/>
              </w:rPr>
              <w:fldChar w:fldCharType="begin"/>
            </w:r>
            <w:r w:rsidR="00794D8F">
              <w:rPr>
                <w:noProof/>
                <w:webHidden/>
              </w:rPr>
              <w:instrText xml:space="preserve"> PAGEREF _Toc384293494 \h </w:instrText>
            </w:r>
            <w:r w:rsidR="00794D8F">
              <w:rPr>
                <w:noProof/>
                <w:webHidden/>
              </w:rPr>
            </w:r>
            <w:r w:rsidR="00794D8F">
              <w:rPr>
                <w:noProof/>
                <w:webHidden/>
              </w:rPr>
              <w:fldChar w:fldCharType="separate"/>
            </w:r>
            <w:r w:rsidR="00794D8F">
              <w:rPr>
                <w:noProof/>
                <w:webHidden/>
              </w:rPr>
              <w:t>20</w:t>
            </w:r>
            <w:r w:rsidR="00794D8F">
              <w:rPr>
                <w:noProof/>
                <w:webHidden/>
              </w:rPr>
              <w:fldChar w:fldCharType="end"/>
            </w:r>
          </w:hyperlink>
        </w:p>
        <w:p w:rsidR="00794D8F" w:rsidRDefault="000A0E74">
          <w:pPr>
            <w:pStyle w:val="TOC3"/>
            <w:tabs>
              <w:tab w:val="left" w:pos="960"/>
              <w:tab w:val="right" w:leader="dot" w:pos="9016"/>
            </w:tabs>
            <w:rPr>
              <w:rFonts w:eastAsiaTheme="minorEastAsia" w:cstheme="minorBidi"/>
              <w:noProof/>
              <w:sz w:val="22"/>
              <w:szCs w:val="22"/>
              <w:lang w:val="en-GB" w:eastAsia="en-GB"/>
            </w:rPr>
          </w:pPr>
          <w:hyperlink w:anchor="_Toc384293495" w:history="1">
            <w:r w:rsidR="00794D8F" w:rsidRPr="00964E33">
              <w:rPr>
                <w:rStyle w:val="Hyperlink"/>
                <w:noProof/>
              </w:rPr>
              <w:t>3.3.1</w:t>
            </w:r>
            <w:r w:rsidR="00794D8F">
              <w:rPr>
                <w:rFonts w:eastAsiaTheme="minorEastAsia" w:cstheme="minorBidi"/>
                <w:noProof/>
                <w:sz w:val="22"/>
                <w:szCs w:val="22"/>
                <w:lang w:val="en-GB" w:eastAsia="en-GB"/>
              </w:rPr>
              <w:tab/>
            </w:r>
            <w:r w:rsidR="00794D8F" w:rsidRPr="00964E33">
              <w:rPr>
                <w:rStyle w:val="Hyperlink"/>
                <w:noProof/>
              </w:rPr>
              <w:t>Analytical methods</w:t>
            </w:r>
            <w:r w:rsidR="00794D8F">
              <w:rPr>
                <w:noProof/>
                <w:webHidden/>
              </w:rPr>
              <w:tab/>
            </w:r>
            <w:r w:rsidR="00794D8F">
              <w:rPr>
                <w:noProof/>
                <w:webHidden/>
              </w:rPr>
              <w:fldChar w:fldCharType="begin"/>
            </w:r>
            <w:r w:rsidR="00794D8F">
              <w:rPr>
                <w:noProof/>
                <w:webHidden/>
              </w:rPr>
              <w:instrText xml:space="preserve"> PAGEREF _Toc384293495 \h </w:instrText>
            </w:r>
            <w:r w:rsidR="00794D8F">
              <w:rPr>
                <w:noProof/>
                <w:webHidden/>
              </w:rPr>
            </w:r>
            <w:r w:rsidR="00794D8F">
              <w:rPr>
                <w:noProof/>
                <w:webHidden/>
              </w:rPr>
              <w:fldChar w:fldCharType="separate"/>
            </w:r>
            <w:r w:rsidR="00794D8F">
              <w:rPr>
                <w:noProof/>
                <w:webHidden/>
              </w:rPr>
              <w:t>20</w:t>
            </w:r>
            <w:r w:rsidR="00794D8F">
              <w:rPr>
                <w:noProof/>
                <w:webHidden/>
              </w:rPr>
              <w:fldChar w:fldCharType="end"/>
            </w:r>
          </w:hyperlink>
        </w:p>
        <w:p w:rsidR="00794D8F" w:rsidRDefault="000A0E74">
          <w:pPr>
            <w:pStyle w:val="TOC3"/>
            <w:tabs>
              <w:tab w:val="left" w:pos="960"/>
              <w:tab w:val="right" w:leader="dot" w:pos="9016"/>
            </w:tabs>
            <w:rPr>
              <w:rFonts w:eastAsiaTheme="minorEastAsia" w:cstheme="minorBidi"/>
              <w:noProof/>
              <w:sz w:val="22"/>
              <w:szCs w:val="22"/>
              <w:lang w:val="en-GB" w:eastAsia="en-GB"/>
            </w:rPr>
          </w:pPr>
          <w:hyperlink w:anchor="_Toc384293496" w:history="1">
            <w:r w:rsidR="00794D8F" w:rsidRPr="00964E33">
              <w:rPr>
                <w:rStyle w:val="Hyperlink"/>
                <w:noProof/>
              </w:rPr>
              <w:t>3.3.2</w:t>
            </w:r>
            <w:r w:rsidR="00794D8F">
              <w:rPr>
                <w:rFonts w:eastAsiaTheme="minorEastAsia" w:cstheme="minorBidi"/>
                <w:noProof/>
                <w:sz w:val="22"/>
                <w:szCs w:val="22"/>
                <w:lang w:val="en-GB" w:eastAsia="en-GB"/>
              </w:rPr>
              <w:tab/>
            </w:r>
            <w:r w:rsidR="00794D8F" w:rsidRPr="00964E33">
              <w:rPr>
                <w:rStyle w:val="Hyperlink"/>
                <w:noProof/>
              </w:rPr>
              <w:t>Application of analytical methods to various foods</w:t>
            </w:r>
            <w:r w:rsidR="00794D8F">
              <w:rPr>
                <w:noProof/>
                <w:webHidden/>
              </w:rPr>
              <w:tab/>
            </w:r>
            <w:r w:rsidR="00794D8F">
              <w:rPr>
                <w:noProof/>
                <w:webHidden/>
              </w:rPr>
              <w:fldChar w:fldCharType="begin"/>
            </w:r>
            <w:r w:rsidR="00794D8F">
              <w:rPr>
                <w:noProof/>
                <w:webHidden/>
              </w:rPr>
              <w:instrText xml:space="preserve"> PAGEREF _Toc384293496 \h </w:instrText>
            </w:r>
            <w:r w:rsidR="00794D8F">
              <w:rPr>
                <w:noProof/>
                <w:webHidden/>
              </w:rPr>
            </w:r>
            <w:r w:rsidR="00794D8F">
              <w:rPr>
                <w:noProof/>
                <w:webHidden/>
              </w:rPr>
              <w:fldChar w:fldCharType="separate"/>
            </w:r>
            <w:r w:rsidR="00794D8F">
              <w:rPr>
                <w:noProof/>
                <w:webHidden/>
              </w:rPr>
              <w:t>20</w:t>
            </w:r>
            <w:r w:rsidR="00794D8F">
              <w:rPr>
                <w:noProof/>
                <w:webHidden/>
              </w:rPr>
              <w:fldChar w:fldCharType="end"/>
            </w:r>
          </w:hyperlink>
        </w:p>
        <w:p w:rsidR="00794D8F" w:rsidRDefault="000A0E74">
          <w:pPr>
            <w:pStyle w:val="TOC3"/>
            <w:tabs>
              <w:tab w:val="left" w:pos="960"/>
              <w:tab w:val="right" w:leader="dot" w:pos="9016"/>
            </w:tabs>
            <w:rPr>
              <w:rFonts w:eastAsiaTheme="minorEastAsia" w:cstheme="minorBidi"/>
              <w:noProof/>
              <w:sz w:val="22"/>
              <w:szCs w:val="22"/>
              <w:lang w:val="en-GB" w:eastAsia="en-GB"/>
            </w:rPr>
          </w:pPr>
          <w:hyperlink w:anchor="_Toc384293497" w:history="1">
            <w:r w:rsidR="00794D8F" w:rsidRPr="00964E33">
              <w:rPr>
                <w:rStyle w:val="Hyperlink"/>
                <w:noProof/>
              </w:rPr>
              <w:t>3.3.3</w:t>
            </w:r>
            <w:r w:rsidR="00794D8F">
              <w:rPr>
                <w:rFonts w:eastAsiaTheme="minorEastAsia" w:cstheme="minorBidi"/>
                <w:noProof/>
                <w:sz w:val="22"/>
                <w:szCs w:val="22"/>
                <w:lang w:val="en-GB" w:eastAsia="en-GB"/>
              </w:rPr>
              <w:tab/>
            </w:r>
            <w:r w:rsidR="00794D8F" w:rsidRPr="00964E33">
              <w:rPr>
                <w:rStyle w:val="Hyperlink"/>
                <w:noProof/>
              </w:rPr>
              <w:t>Method comments</w:t>
            </w:r>
            <w:r w:rsidR="00794D8F">
              <w:rPr>
                <w:noProof/>
                <w:webHidden/>
              </w:rPr>
              <w:tab/>
            </w:r>
            <w:r w:rsidR="00794D8F">
              <w:rPr>
                <w:noProof/>
                <w:webHidden/>
              </w:rPr>
              <w:fldChar w:fldCharType="begin"/>
            </w:r>
            <w:r w:rsidR="00794D8F">
              <w:rPr>
                <w:noProof/>
                <w:webHidden/>
              </w:rPr>
              <w:instrText xml:space="preserve"> PAGEREF _Toc384293497 \h </w:instrText>
            </w:r>
            <w:r w:rsidR="00794D8F">
              <w:rPr>
                <w:noProof/>
                <w:webHidden/>
              </w:rPr>
            </w:r>
            <w:r w:rsidR="00794D8F">
              <w:rPr>
                <w:noProof/>
                <w:webHidden/>
              </w:rPr>
              <w:fldChar w:fldCharType="separate"/>
            </w:r>
            <w:r w:rsidR="00794D8F">
              <w:rPr>
                <w:noProof/>
                <w:webHidden/>
              </w:rPr>
              <w:t>20</w:t>
            </w:r>
            <w:r w:rsidR="00794D8F">
              <w:rPr>
                <w:noProof/>
                <w:webHidden/>
              </w:rPr>
              <w:fldChar w:fldCharType="end"/>
            </w:r>
          </w:hyperlink>
        </w:p>
        <w:p w:rsidR="00794D8F" w:rsidRDefault="000A0E74">
          <w:pPr>
            <w:pStyle w:val="TOC3"/>
            <w:tabs>
              <w:tab w:val="left" w:pos="960"/>
              <w:tab w:val="right" w:leader="dot" w:pos="9016"/>
            </w:tabs>
            <w:rPr>
              <w:rFonts w:eastAsiaTheme="minorEastAsia" w:cstheme="minorBidi"/>
              <w:noProof/>
              <w:sz w:val="22"/>
              <w:szCs w:val="22"/>
              <w:lang w:val="en-GB" w:eastAsia="en-GB"/>
            </w:rPr>
          </w:pPr>
          <w:hyperlink w:anchor="_Toc384293498" w:history="1">
            <w:r w:rsidR="00794D8F" w:rsidRPr="00964E33">
              <w:rPr>
                <w:rStyle w:val="Hyperlink"/>
                <w:noProof/>
              </w:rPr>
              <w:t>3.3.4</w:t>
            </w:r>
            <w:r w:rsidR="00794D8F">
              <w:rPr>
                <w:rFonts w:eastAsiaTheme="minorEastAsia" w:cstheme="minorBidi"/>
                <w:noProof/>
                <w:sz w:val="22"/>
                <w:szCs w:val="22"/>
                <w:lang w:val="en-GB" w:eastAsia="en-GB"/>
              </w:rPr>
              <w:tab/>
            </w:r>
            <w:r w:rsidR="00794D8F" w:rsidRPr="00964E33">
              <w:rPr>
                <w:rStyle w:val="Hyperlink"/>
                <w:noProof/>
              </w:rPr>
              <w:t>Limits of detection (LoDs)</w:t>
            </w:r>
            <w:r w:rsidR="00794D8F">
              <w:rPr>
                <w:noProof/>
                <w:webHidden/>
              </w:rPr>
              <w:tab/>
            </w:r>
            <w:r w:rsidR="00794D8F">
              <w:rPr>
                <w:noProof/>
                <w:webHidden/>
              </w:rPr>
              <w:fldChar w:fldCharType="begin"/>
            </w:r>
            <w:r w:rsidR="00794D8F">
              <w:rPr>
                <w:noProof/>
                <w:webHidden/>
              </w:rPr>
              <w:instrText xml:space="preserve"> PAGEREF _Toc384293498 \h </w:instrText>
            </w:r>
            <w:r w:rsidR="00794D8F">
              <w:rPr>
                <w:noProof/>
                <w:webHidden/>
              </w:rPr>
            </w:r>
            <w:r w:rsidR="00794D8F">
              <w:rPr>
                <w:noProof/>
                <w:webHidden/>
              </w:rPr>
              <w:fldChar w:fldCharType="separate"/>
            </w:r>
            <w:r w:rsidR="00794D8F">
              <w:rPr>
                <w:noProof/>
                <w:webHidden/>
              </w:rPr>
              <w:t>21</w:t>
            </w:r>
            <w:r w:rsidR="00794D8F">
              <w:rPr>
                <w:noProof/>
                <w:webHidden/>
              </w:rPr>
              <w:fldChar w:fldCharType="end"/>
            </w:r>
          </w:hyperlink>
        </w:p>
        <w:p w:rsidR="00794D8F" w:rsidRDefault="000A0E74">
          <w:pPr>
            <w:pStyle w:val="TOC1"/>
            <w:tabs>
              <w:tab w:val="left" w:pos="480"/>
            </w:tabs>
            <w:rPr>
              <w:rFonts w:asciiTheme="minorHAnsi" w:eastAsiaTheme="minorEastAsia" w:hAnsiTheme="minorHAnsi" w:cstheme="minorBidi"/>
              <w:b w:val="0"/>
              <w:bCs w:val="0"/>
              <w:caps w:val="0"/>
              <w:noProof/>
              <w:szCs w:val="22"/>
              <w:lang w:val="en-GB" w:eastAsia="en-GB"/>
            </w:rPr>
          </w:pPr>
          <w:hyperlink w:anchor="_Toc384293499" w:history="1">
            <w:r w:rsidR="00794D8F" w:rsidRPr="00964E33">
              <w:rPr>
                <w:rStyle w:val="Hyperlink"/>
                <w:noProof/>
              </w:rPr>
              <w:t>4.</w:t>
            </w:r>
            <w:r w:rsidR="00794D8F">
              <w:rPr>
                <w:rFonts w:asciiTheme="minorHAnsi" w:eastAsiaTheme="minorEastAsia" w:hAnsiTheme="minorHAnsi" w:cstheme="minorBidi"/>
                <w:b w:val="0"/>
                <w:bCs w:val="0"/>
                <w:caps w:val="0"/>
                <w:noProof/>
                <w:szCs w:val="22"/>
                <w:lang w:val="en-GB" w:eastAsia="en-GB"/>
              </w:rPr>
              <w:tab/>
            </w:r>
            <w:r w:rsidR="00794D8F" w:rsidRPr="00964E33">
              <w:rPr>
                <w:rStyle w:val="Hyperlink"/>
                <w:noProof/>
              </w:rPr>
              <w:t>ANALYTICAL SURVEY RESULTS AND DISCUSSION</w:t>
            </w:r>
            <w:r w:rsidR="00794D8F">
              <w:rPr>
                <w:noProof/>
                <w:webHidden/>
              </w:rPr>
              <w:tab/>
            </w:r>
            <w:r w:rsidR="00794D8F">
              <w:rPr>
                <w:noProof/>
                <w:webHidden/>
              </w:rPr>
              <w:fldChar w:fldCharType="begin"/>
            </w:r>
            <w:r w:rsidR="00794D8F">
              <w:rPr>
                <w:noProof/>
                <w:webHidden/>
              </w:rPr>
              <w:instrText xml:space="preserve"> PAGEREF _Toc384293499 \h </w:instrText>
            </w:r>
            <w:r w:rsidR="00794D8F">
              <w:rPr>
                <w:noProof/>
                <w:webHidden/>
              </w:rPr>
            </w:r>
            <w:r w:rsidR="00794D8F">
              <w:rPr>
                <w:noProof/>
                <w:webHidden/>
              </w:rPr>
              <w:fldChar w:fldCharType="separate"/>
            </w:r>
            <w:r w:rsidR="00794D8F">
              <w:rPr>
                <w:noProof/>
                <w:webHidden/>
              </w:rPr>
              <w:t>22</w:t>
            </w:r>
            <w:r w:rsidR="00794D8F">
              <w:rPr>
                <w:noProof/>
                <w:webHidden/>
              </w:rPr>
              <w:fldChar w:fldCharType="end"/>
            </w:r>
          </w:hyperlink>
        </w:p>
        <w:p w:rsidR="00794D8F" w:rsidRDefault="000A0E74">
          <w:pPr>
            <w:pStyle w:val="TOC2"/>
            <w:tabs>
              <w:tab w:val="left" w:pos="480"/>
              <w:tab w:val="right" w:leader="dot" w:pos="9016"/>
            </w:tabs>
            <w:rPr>
              <w:rFonts w:eastAsiaTheme="minorEastAsia" w:cstheme="minorBidi"/>
              <w:bCs w:val="0"/>
              <w:noProof/>
              <w:sz w:val="22"/>
              <w:szCs w:val="22"/>
              <w:lang w:val="en-GB" w:eastAsia="en-GB"/>
            </w:rPr>
          </w:pPr>
          <w:hyperlink w:anchor="_Toc384293500" w:history="1">
            <w:r w:rsidR="00794D8F" w:rsidRPr="00964E33">
              <w:rPr>
                <w:rStyle w:val="Hyperlink"/>
                <w:noProof/>
              </w:rPr>
              <w:t>4.1</w:t>
            </w:r>
            <w:r w:rsidR="00794D8F">
              <w:rPr>
                <w:rFonts w:eastAsiaTheme="minorEastAsia" w:cstheme="minorBidi"/>
                <w:bCs w:val="0"/>
                <w:noProof/>
                <w:sz w:val="22"/>
                <w:szCs w:val="22"/>
                <w:lang w:val="en-GB" w:eastAsia="en-GB"/>
              </w:rPr>
              <w:tab/>
            </w:r>
            <w:r w:rsidR="00794D8F" w:rsidRPr="00964E33">
              <w:rPr>
                <w:rStyle w:val="Hyperlink"/>
                <w:noProof/>
              </w:rPr>
              <w:t>Survey of cyanogenic glycosides in plant-based foods (Survey 1)</w:t>
            </w:r>
            <w:r w:rsidR="00794D8F">
              <w:rPr>
                <w:noProof/>
                <w:webHidden/>
              </w:rPr>
              <w:tab/>
            </w:r>
            <w:r w:rsidR="00794D8F">
              <w:rPr>
                <w:noProof/>
                <w:webHidden/>
              </w:rPr>
              <w:fldChar w:fldCharType="begin"/>
            </w:r>
            <w:r w:rsidR="00794D8F">
              <w:rPr>
                <w:noProof/>
                <w:webHidden/>
              </w:rPr>
              <w:instrText xml:space="preserve"> PAGEREF _Toc384293500 \h </w:instrText>
            </w:r>
            <w:r w:rsidR="00794D8F">
              <w:rPr>
                <w:noProof/>
                <w:webHidden/>
              </w:rPr>
            </w:r>
            <w:r w:rsidR="00794D8F">
              <w:rPr>
                <w:noProof/>
                <w:webHidden/>
              </w:rPr>
              <w:fldChar w:fldCharType="separate"/>
            </w:r>
            <w:r w:rsidR="00794D8F">
              <w:rPr>
                <w:noProof/>
                <w:webHidden/>
              </w:rPr>
              <w:t>22</w:t>
            </w:r>
            <w:r w:rsidR="00794D8F">
              <w:rPr>
                <w:noProof/>
                <w:webHidden/>
              </w:rPr>
              <w:fldChar w:fldCharType="end"/>
            </w:r>
          </w:hyperlink>
        </w:p>
        <w:p w:rsidR="00794D8F" w:rsidRDefault="000A0E74">
          <w:pPr>
            <w:pStyle w:val="TOC2"/>
            <w:tabs>
              <w:tab w:val="left" w:pos="480"/>
              <w:tab w:val="right" w:leader="dot" w:pos="9016"/>
            </w:tabs>
            <w:rPr>
              <w:rFonts w:eastAsiaTheme="minorEastAsia" w:cstheme="minorBidi"/>
              <w:bCs w:val="0"/>
              <w:noProof/>
              <w:sz w:val="22"/>
              <w:szCs w:val="22"/>
              <w:lang w:val="en-GB" w:eastAsia="en-GB"/>
            </w:rPr>
          </w:pPr>
          <w:hyperlink w:anchor="_Toc384293501" w:history="1">
            <w:r w:rsidR="00794D8F" w:rsidRPr="00964E33">
              <w:rPr>
                <w:rStyle w:val="Hyperlink"/>
                <w:noProof/>
              </w:rPr>
              <w:t>4.2</w:t>
            </w:r>
            <w:r w:rsidR="00794D8F">
              <w:rPr>
                <w:rFonts w:eastAsiaTheme="minorEastAsia" w:cstheme="minorBidi"/>
                <w:bCs w:val="0"/>
                <w:noProof/>
                <w:sz w:val="22"/>
                <w:szCs w:val="22"/>
                <w:lang w:val="en-GB" w:eastAsia="en-GB"/>
              </w:rPr>
              <w:tab/>
            </w:r>
            <w:r w:rsidR="00794D8F" w:rsidRPr="00964E33">
              <w:rPr>
                <w:rStyle w:val="Hyperlink"/>
                <w:noProof/>
              </w:rPr>
              <w:t>Follow-up survey of apple juice (Survey 2)</w:t>
            </w:r>
            <w:r w:rsidR="00794D8F">
              <w:rPr>
                <w:noProof/>
                <w:webHidden/>
              </w:rPr>
              <w:tab/>
            </w:r>
            <w:r w:rsidR="00794D8F">
              <w:rPr>
                <w:noProof/>
                <w:webHidden/>
              </w:rPr>
              <w:fldChar w:fldCharType="begin"/>
            </w:r>
            <w:r w:rsidR="00794D8F">
              <w:rPr>
                <w:noProof/>
                <w:webHidden/>
              </w:rPr>
              <w:instrText xml:space="preserve"> PAGEREF _Toc384293501 \h </w:instrText>
            </w:r>
            <w:r w:rsidR="00794D8F">
              <w:rPr>
                <w:noProof/>
                <w:webHidden/>
              </w:rPr>
            </w:r>
            <w:r w:rsidR="00794D8F">
              <w:rPr>
                <w:noProof/>
                <w:webHidden/>
              </w:rPr>
              <w:fldChar w:fldCharType="separate"/>
            </w:r>
            <w:r w:rsidR="00794D8F">
              <w:rPr>
                <w:noProof/>
                <w:webHidden/>
              </w:rPr>
              <w:t>22</w:t>
            </w:r>
            <w:r w:rsidR="00794D8F">
              <w:rPr>
                <w:noProof/>
                <w:webHidden/>
              </w:rPr>
              <w:fldChar w:fldCharType="end"/>
            </w:r>
          </w:hyperlink>
        </w:p>
        <w:p w:rsidR="00794D8F" w:rsidRDefault="000A0E74">
          <w:pPr>
            <w:pStyle w:val="TOC3"/>
            <w:tabs>
              <w:tab w:val="left" w:pos="960"/>
              <w:tab w:val="right" w:leader="dot" w:pos="9016"/>
            </w:tabs>
            <w:rPr>
              <w:rFonts w:eastAsiaTheme="minorEastAsia" w:cstheme="minorBidi"/>
              <w:noProof/>
              <w:sz w:val="22"/>
              <w:szCs w:val="22"/>
              <w:lang w:val="en-GB" w:eastAsia="en-GB"/>
            </w:rPr>
          </w:pPr>
          <w:hyperlink w:anchor="_Toc384293502" w:history="1">
            <w:r w:rsidR="00794D8F" w:rsidRPr="00964E33">
              <w:rPr>
                <w:rStyle w:val="Hyperlink"/>
                <w:noProof/>
              </w:rPr>
              <w:t>4.2.1</w:t>
            </w:r>
            <w:r w:rsidR="00794D8F">
              <w:rPr>
                <w:rFonts w:eastAsiaTheme="minorEastAsia" w:cstheme="minorBidi"/>
                <w:noProof/>
                <w:sz w:val="22"/>
                <w:szCs w:val="22"/>
                <w:lang w:val="en-GB" w:eastAsia="en-GB"/>
              </w:rPr>
              <w:tab/>
            </w:r>
            <w:r w:rsidR="00794D8F" w:rsidRPr="00964E33">
              <w:rPr>
                <w:rStyle w:val="Hyperlink"/>
                <w:noProof/>
              </w:rPr>
              <w:t>Retail samples</w:t>
            </w:r>
            <w:r w:rsidR="00794D8F">
              <w:rPr>
                <w:noProof/>
                <w:webHidden/>
              </w:rPr>
              <w:tab/>
            </w:r>
            <w:r w:rsidR="00794D8F">
              <w:rPr>
                <w:noProof/>
                <w:webHidden/>
              </w:rPr>
              <w:fldChar w:fldCharType="begin"/>
            </w:r>
            <w:r w:rsidR="00794D8F">
              <w:rPr>
                <w:noProof/>
                <w:webHidden/>
              </w:rPr>
              <w:instrText xml:space="preserve"> PAGEREF _Toc384293502 \h </w:instrText>
            </w:r>
            <w:r w:rsidR="00794D8F">
              <w:rPr>
                <w:noProof/>
                <w:webHidden/>
              </w:rPr>
            </w:r>
            <w:r w:rsidR="00794D8F">
              <w:rPr>
                <w:noProof/>
                <w:webHidden/>
              </w:rPr>
              <w:fldChar w:fldCharType="separate"/>
            </w:r>
            <w:r w:rsidR="00794D8F">
              <w:rPr>
                <w:noProof/>
                <w:webHidden/>
              </w:rPr>
              <w:t>22</w:t>
            </w:r>
            <w:r w:rsidR="00794D8F">
              <w:rPr>
                <w:noProof/>
                <w:webHidden/>
              </w:rPr>
              <w:fldChar w:fldCharType="end"/>
            </w:r>
          </w:hyperlink>
        </w:p>
        <w:p w:rsidR="00794D8F" w:rsidRDefault="000A0E74">
          <w:pPr>
            <w:pStyle w:val="TOC3"/>
            <w:tabs>
              <w:tab w:val="left" w:pos="960"/>
              <w:tab w:val="right" w:leader="dot" w:pos="9016"/>
            </w:tabs>
            <w:rPr>
              <w:rFonts w:eastAsiaTheme="minorEastAsia" w:cstheme="minorBidi"/>
              <w:noProof/>
              <w:sz w:val="22"/>
              <w:szCs w:val="22"/>
              <w:lang w:val="en-GB" w:eastAsia="en-GB"/>
            </w:rPr>
          </w:pPr>
          <w:hyperlink w:anchor="_Toc384293503" w:history="1">
            <w:r w:rsidR="00794D8F" w:rsidRPr="00964E33">
              <w:rPr>
                <w:rStyle w:val="Hyperlink"/>
                <w:noProof/>
              </w:rPr>
              <w:t>4.2.2</w:t>
            </w:r>
            <w:r w:rsidR="00794D8F">
              <w:rPr>
                <w:rFonts w:eastAsiaTheme="minorEastAsia" w:cstheme="minorBidi"/>
                <w:noProof/>
                <w:sz w:val="22"/>
                <w:szCs w:val="22"/>
                <w:lang w:val="en-GB" w:eastAsia="en-GB"/>
              </w:rPr>
              <w:tab/>
            </w:r>
            <w:r w:rsidR="00794D8F" w:rsidRPr="00964E33">
              <w:rPr>
                <w:rStyle w:val="Hyperlink"/>
                <w:noProof/>
              </w:rPr>
              <w:t>Manufacturer samples</w:t>
            </w:r>
            <w:r w:rsidR="00794D8F">
              <w:rPr>
                <w:noProof/>
                <w:webHidden/>
              </w:rPr>
              <w:tab/>
            </w:r>
            <w:r w:rsidR="00794D8F">
              <w:rPr>
                <w:noProof/>
                <w:webHidden/>
              </w:rPr>
              <w:fldChar w:fldCharType="begin"/>
            </w:r>
            <w:r w:rsidR="00794D8F">
              <w:rPr>
                <w:noProof/>
                <w:webHidden/>
              </w:rPr>
              <w:instrText xml:space="preserve"> PAGEREF _Toc384293503 \h </w:instrText>
            </w:r>
            <w:r w:rsidR="00794D8F">
              <w:rPr>
                <w:noProof/>
                <w:webHidden/>
              </w:rPr>
            </w:r>
            <w:r w:rsidR="00794D8F">
              <w:rPr>
                <w:noProof/>
                <w:webHidden/>
              </w:rPr>
              <w:fldChar w:fldCharType="separate"/>
            </w:r>
            <w:r w:rsidR="00794D8F">
              <w:rPr>
                <w:noProof/>
                <w:webHidden/>
              </w:rPr>
              <w:t>23</w:t>
            </w:r>
            <w:r w:rsidR="00794D8F">
              <w:rPr>
                <w:noProof/>
                <w:webHidden/>
              </w:rPr>
              <w:fldChar w:fldCharType="end"/>
            </w:r>
          </w:hyperlink>
        </w:p>
        <w:p w:rsidR="00794D8F" w:rsidRDefault="000A0E74">
          <w:pPr>
            <w:pStyle w:val="TOC2"/>
            <w:tabs>
              <w:tab w:val="left" w:pos="480"/>
              <w:tab w:val="right" w:leader="dot" w:pos="9016"/>
            </w:tabs>
            <w:rPr>
              <w:rFonts w:eastAsiaTheme="minorEastAsia" w:cstheme="minorBidi"/>
              <w:bCs w:val="0"/>
              <w:noProof/>
              <w:sz w:val="22"/>
              <w:szCs w:val="22"/>
              <w:lang w:val="en-GB" w:eastAsia="en-GB"/>
            </w:rPr>
          </w:pPr>
          <w:hyperlink w:anchor="_Toc384293504" w:history="1">
            <w:r w:rsidR="00794D8F" w:rsidRPr="00964E33">
              <w:rPr>
                <w:rStyle w:val="Hyperlink"/>
                <w:noProof/>
              </w:rPr>
              <w:t>4.3</w:t>
            </w:r>
            <w:r w:rsidR="00794D8F">
              <w:rPr>
                <w:rFonts w:eastAsiaTheme="minorEastAsia" w:cstheme="minorBidi"/>
                <w:bCs w:val="0"/>
                <w:noProof/>
                <w:sz w:val="22"/>
                <w:szCs w:val="22"/>
                <w:lang w:val="en-GB" w:eastAsia="en-GB"/>
              </w:rPr>
              <w:tab/>
            </w:r>
            <w:r w:rsidR="00794D8F" w:rsidRPr="00964E33">
              <w:rPr>
                <w:rStyle w:val="Hyperlink"/>
                <w:noProof/>
              </w:rPr>
              <w:t>Follow-up survey of apricot kernels and other plant-based foods (Survey 3)</w:t>
            </w:r>
            <w:r w:rsidR="00794D8F">
              <w:rPr>
                <w:noProof/>
                <w:webHidden/>
              </w:rPr>
              <w:tab/>
            </w:r>
            <w:r w:rsidR="00794D8F">
              <w:rPr>
                <w:noProof/>
                <w:webHidden/>
              </w:rPr>
              <w:fldChar w:fldCharType="begin"/>
            </w:r>
            <w:r w:rsidR="00794D8F">
              <w:rPr>
                <w:noProof/>
                <w:webHidden/>
              </w:rPr>
              <w:instrText xml:space="preserve"> PAGEREF _Toc384293504 \h </w:instrText>
            </w:r>
            <w:r w:rsidR="00794D8F">
              <w:rPr>
                <w:noProof/>
                <w:webHidden/>
              </w:rPr>
            </w:r>
            <w:r w:rsidR="00794D8F">
              <w:rPr>
                <w:noProof/>
                <w:webHidden/>
              </w:rPr>
              <w:fldChar w:fldCharType="separate"/>
            </w:r>
            <w:r w:rsidR="00794D8F">
              <w:rPr>
                <w:noProof/>
                <w:webHidden/>
              </w:rPr>
              <w:t>23</w:t>
            </w:r>
            <w:r w:rsidR="00794D8F">
              <w:rPr>
                <w:noProof/>
                <w:webHidden/>
              </w:rPr>
              <w:fldChar w:fldCharType="end"/>
            </w:r>
          </w:hyperlink>
        </w:p>
        <w:p w:rsidR="00794D8F" w:rsidRDefault="000A0E74">
          <w:pPr>
            <w:pStyle w:val="TOC3"/>
            <w:tabs>
              <w:tab w:val="left" w:pos="960"/>
              <w:tab w:val="right" w:leader="dot" w:pos="9016"/>
            </w:tabs>
            <w:rPr>
              <w:rFonts w:eastAsiaTheme="minorEastAsia" w:cstheme="minorBidi"/>
              <w:noProof/>
              <w:sz w:val="22"/>
              <w:szCs w:val="22"/>
              <w:lang w:val="en-GB" w:eastAsia="en-GB"/>
            </w:rPr>
          </w:pPr>
          <w:hyperlink w:anchor="_Toc384293505" w:history="1">
            <w:r w:rsidR="00794D8F" w:rsidRPr="00964E33">
              <w:rPr>
                <w:rStyle w:val="Hyperlink"/>
                <w:noProof/>
              </w:rPr>
              <w:t>4.3.1</w:t>
            </w:r>
            <w:r w:rsidR="00794D8F">
              <w:rPr>
                <w:rFonts w:eastAsiaTheme="minorEastAsia" w:cstheme="minorBidi"/>
                <w:noProof/>
                <w:sz w:val="22"/>
                <w:szCs w:val="22"/>
                <w:lang w:val="en-GB" w:eastAsia="en-GB"/>
              </w:rPr>
              <w:tab/>
            </w:r>
            <w:r w:rsidR="00794D8F" w:rsidRPr="00964E33">
              <w:rPr>
                <w:rStyle w:val="Hyperlink"/>
                <w:noProof/>
              </w:rPr>
              <w:t>Apricot kernels</w:t>
            </w:r>
            <w:r w:rsidR="00794D8F">
              <w:rPr>
                <w:noProof/>
                <w:webHidden/>
              </w:rPr>
              <w:tab/>
            </w:r>
            <w:r w:rsidR="00794D8F">
              <w:rPr>
                <w:noProof/>
                <w:webHidden/>
              </w:rPr>
              <w:fldChar w:fldCharType="begin"/>
            </w:r>
            <w:r w:rsidR="00794D8F">
              <w:rPr>
                <w:noProof/>
                <w:webHidden/>
              </w:rPr>
              <w:instrText xml:space="preserve"> PAGEREF _Toc384293505 \h </w:instrText>
            </w:r>
            <w:r w:rsidR="00794D8F">
              <w:rPr>
                <w:noProof/>
                <w:webHidden/>
              </w:rPr>
            </w:r>
            <w:r w:rsidR="00794D8F">
              <w:rPr>
                <w:noProof/>
                <w:webHidden/>
              </w:rPr>
              <w:fldChar w:fldCharType="separate"/>
            </w:r>
            <w:r w:rsidR="00794D8F">
              <w:rPr>
                <w:noProof/>
                <w:webHidden/>
              </w:rPr>
              <w:t>24</w:t>
            </w:r>
            <w:r w:rsidR="00794D8F">
              <w:rPr>
                <w:noProof/>
                <w:webHidden/>
              </w:rPr>
              <w:fldChar w:fldCharType="end"/>
            </w:r>
          </w:hyperlink>
        </w:p>
        <w:p w:rsidR="00794D8F" w:rsidRDefault="000A0E74">
          <w:pPr>
            <w:pStyle w:val="TOC3"/>
            <w:tabs>
              <w:tab w:val="left" w:pos="960"/>
              <w:tab w:val="right" w:leader="dot" w:pos="9016"/>
            </w:tabs>
            <w:rPr>
              <w:rFonts w:eastAsiaTheme="minorEastAsia" w:cstheme="minorBidi"/>
              <w:noProof/>
              <w:sz w:val="22"/>
              <w:szCs w:val="22"/>
              <w:lang w:val="en-GB" w:eastAsia="en-GB"/>
            </w:rPr>
          </w:pPr>
          <w:hyperlink w:anchor="_Toc384293506" w:history="1">
            <w:r w:rsidR="00794D8F" w:rsidRPr="00964E33">
              <w:rPr>
                <w:rStyle w:val="Hyperlink"/>
                <w:noProof/>
              </w:rPr>
              <w:t>4.3.2</w:t>
            </w:r>
            <w:r w:rsidR="00794D8F">
              <w:rPr>
                <w:rFonts w:eastAsiaTheme="minorEastAsia" w:cstheme="minorBidi"/>
                <w:noProof/>
                <w:sz w:val="22"/>
                <w:szCs w:val="22"/>
                <w:lang w:val="en-GB" w:eastAsia="en-GB"/>
              </w:rPr>
              <w:tab/>
            </w:r>
            <w:r w:rsidR="00794D8F" w:rsidRPr="00964E33">
              <w:rPr>
                <w:rStyle w:val="Hyperlink"/>
                <w:noProof/>
              </w:rPr>
              <w:t>Apricot nectar</w:t>
            </w:r>
            <w:r w:rsidR="00794D8F">
              <w:rPr>
                <w:noProof/>
                <w:webHidden/>
              </w:rPr>
              <w:tab/>
            </w:r>
            <w:r w:rsidR="00794D8F">
              <w:rPr>
                <w:noProof/>
                <w:webHidden/>
              </w:rPr>
              <w:fldChar w:fldCharType="begin"/>
            </w:r>
            <w:r w:rsidR="00794D8F">
              <w:rPr>
                <w:noProof/>
                <w:webHidden/>
              </w:rPr>
              <w:instrText xml:space="preserve"> PAGEREF _Toc384293506 \h </w:instrText>
            </w:r>
            <w:r w:rsidR="00794D8F">
              <w:rPr>
                <w:noProof/>
                <w:webHidden/>
              </w:rPr>
            </w:r>
            <w:r w:rsidR="00794D8F">
              <w:rPr>
                <w:noProof/>
                <w:webHidden/>
              </w:rPr>
              <w:fldChar w:fldCharType="separate"/>
            </w:r>
            <w:r w:rsidR="00794D8F">
              <w:rPr>
                <w:noProof/>
                <w:webHidden/>
              </w:rPr>
              <w:t>24</w:t>
            </w:r>
            <w:r w:rsidR="00794D8F">
              <w:rPr>
                <w:noProof/>
                <w:webHidden/>
              </w:rPr>
              <w:fldChar w:fldCharType="end"/>
            </w:r>
          </w:hyperlink>
        </w:p>
        <w:p w:rsidR="00794D8F" w:rsidRDefault="000A0E74">
          <w:pPr>
            <w:pStyle w:val="TOC3"/>
            <w:tabs>
              <w:tab w:val="left" w:pos="960"/>
              <w:tab w:val="right" w:leader="dot" w:pos="9016"/>
            </w:tabs>
            <w:rPr>
              <w:rFonts w:eastAsiaTheme="minorEastAsia" w:cstheme="minorBidi"/>
              <w:noProof/>
              <w:sz w:val="22"/>
              <w:szCs w:val="22"/>
              <w:lang w:val="en-GB" w:eastAsia="en-GB"/>
            </w:rPr>
          </w:pPr>
          <w:hyperlink w:anchor="_Toc384293507" w:history="1">
            <w:r w:rsidR="00794D8F" w:rsidRPr="00964E33">
              <w:rPr>
                <w:rStyle w:val="Hyperlink"/>
                <w:noProof/>
              </w:rPr>
              <w:t>4.3.3</w:t>
            </w:r>
            <w:r w:rsidR="00794D8F">
              <w:rPr>
                <w:rFonts w:eastAsiaTheme="minorEastAsia" w:cstheme="minorBidi"/>
                <w:noProof/>
                <w:sz w:val="22"/>
                <w:szCs w:val="22"/>
                <w:lang w:val="en-GB" w:eastAsia="en-GB"/>
              </w:rPr>
              <w:tab/>
            </w:r>
            <w:r w:rsidR="00794D8F" w:rsidRPr="00964E33">
              <w:rPr>
                <w:rStyle w:val="Hyperlink"/>
                <w:noProof/>
              </w:rPr>
              <w:t>Cassava roots</w:t>
            </w:r>
            <w:r w:rsidR="00794D8F">
              <w:rPr>
                <w:noProof/>
                <w:webHidden/>
              </w:rPr>
              <w:tab/>
            </w:r>
            <w:r w:rsidR="00794D8F">
              <w:rPr>
                <w:noProof/>
                <w:webHidden/>
              </w:rPr>
              <w:fldChar w:fldCharType="begin"/>
            </w:r>
            <w:r w:rsidR="00794D8F">
              <w:rPr>
                <w:noProof/>
                <w:webHidden/>
              </w:rPr>
              <w:instrText xml:space="preserve"> PAGEREF _Toc384293507 \h </w:instrText>
            </w:r>
            <w:r w:rsidR="00794D8F">
              <w:rPr>
                <w:noProof/>
                <w:webHidden/>
              </w:rPr>
            </w:r>
            <w:r w:rsidR="00794D8F">
              <w:rPr>
                <w:noProof/>
                <w:webHidden/>
              </w:rPr>
              <w:fldChar w:fldCharType="separate"/>
            </w:r>
            <w:r w:rsidR="00794D8F">
              <w:rPr>
                <w:noProof/>
                <w:webHidden/>
              </w:rPr>
              <w:t>24</w:t>
            </w:r>
            <w:r w:rsidR="00794D8F">
              <w:rPr>
                <w:noProof/>
                <w:webHidden/>
              </w:rPr>
              <w:fldChar w:fldCharType="end"/>
            </w:r>
          </w:hyperlink>
        </w:p>
        <w:p w:rsidR="00794D8F" w:rsidRDefault="000A0E74">
          <w:pPr>
            <w:pStyle w:val="TOC3"/>
            <w:tabs>
              <w:tab w:val="left" w:pos="960"/>
              <w:tab w:val="right" w:leader="dot" w:pos="9016"/>
            </w:tabs>
            <w:rPr>
              <w:rFonts w:eastAsiaTheme="minorEastAsia" w:cstheme="minorBidi"/>
              <w:noProof/>
              <w:sz w:val="22"/>
              <w:szCs w:val="22"/>
              <w:lang w:val="en-GB" w:eastAsia="en-GB"/>
            </w:rPr>
          </w:pPr>
          <w:hyperlink w:anchor="_Toc384293508" w:history="1">
            <w:r w:rsidR="00794D8F" w:rsidRPr="00964E33">
              <w:rPr>
                <w:rStyle w:val="Hyperlink"/>
                <w:noProof/>
              </w:rPr>
              <w:t>4.3.4</w:t>
            </w:r>
            <w:r w:rsidR="00794D8F">
              <w:rPr>
                <w:rFonts w:eastAsiaTheme="minorEastAsia" w:cstheme="minorBidi"/>
                <w:noProof/>
                <w:sz w:val="22"/>
                <w:szCs w:val="22"/>
                <w:lang w:val="en-GB" w:eastAsia="en-GB"/>
              </w:rPr>
              <w:tab/>
            </w:r>
            <w:r w:rsidR="00794D8F" w:rsidRPr="00964E33">
              <w:rPr>
                <w:rStyle w:val="Hyperlink"/>
                <w:noProof/>
              </w:rPr>
              <w:t>Bamboo shoots</w:t>
            </w:r>
            <w:r w:rsidR="00794D8F">
              <w:rPr>
                <w:noProof/>
                <w:webHidden/>
              </w:rPr>
              <w:tab/>
            </w:r>
            <w:r w:rsidR="00794D8F">
              <w:rPr>
                <w:noProof/>
                <w:webHidden/>
              </w:rPr>
              <w:fldChar w:fldCharType="begin"/>
            </w:r>
            <w:r w:rsidR="00794D8F">
              <w:rPr>
                <w:noProof/>
                <w:webHidden/>
              </w:rPr>
              <w:instrText xml:space="preserve"> PAGEREF _Toc384293508 \h </w:instrText>
            </w:r>
            <w:r w:rsidR="00794D8F">
              <w:rPr>
                <w:noProof/>
                <w:webHidden/>
              </w:rPr>
            </w:r>
            <w:r w:rsidR="00794D8F">
              <w:rPr>
                <w:noProof/>
                <w:webHidden/>
              </w:rPr>
              <w:fldChar w:fldCharType="separate"/>
            </w:r>
            <w:r w:rsidR="00794D8F">
              <w:rPr>
                <w:noProof/>
                <w:webHidden/>
              </w:rPr>
              <w:t>25</w:t>
            </w:r>
            <w:r w:rsidR="00794D8F">
              <w:rPr>
                <w:noProof/>
                <w:webHidden/>
              </w:rPr>
              <w:fldChar w:fldCharType="end"/>
            </w:r>
          </w:hyperlink>
        </w:p>
        <w:p w:rsidR="00794D8F" w:rsidRDefault="000A0E74">
          <w:pPr>
            <w:pStyle w:val="TOC3"/>
            <w:tabs>
              <w:tab w:val="left" w:pos="960"/>
              <w:tab w:val="right" w:leader="dot" w:pos="9016"/>
            </w:tabs>
            <w:rPr>
              <w:rFonts w:eastAsiaTheme="minorEastAsia" w:cstheme="minorBidi"/>
              <w:noProof/>
              <w:sz w:val="22"/>
              <w:szCs w:val="22"/>
              <w:lang w:val="en-GB" w:eastAsia="en-GB"/>
            </w:rPr>
          </w:pPr>
          <w:hyperlink w:anchor="_Toc384293509" w:history="1">
            <w:r w:rsidR="00794D8F" w:rsidRPr="00964E33">
              <w:rPr>
                <w:rStyle w:val="Hyperlink"/>
                <w:noProof/>
              </w:rPr>
              <w:t>4.3.5</w:t>
            </w:r>
            <w:r w:rsidR="00794D8F">
              <w:rPr>
                <w:rFonts w:eastAsiaTheme="minorEastAsia" w:cstheme="minorBidi"/>
                <w:noProof/>
                <w:sz w:val="22"/>
                <w:szCs w:val="22"/>
                <w:lang w:val="en-GB" w:eastAsia="en-GB"/>
              </w:rPr>
              <w:tab/>
            </w:r>
            <w:r w:rsidR="00794D8F" w:rsidRPr="00964E33">
              <w:rPr>
                <w:rStyle w:val="Hyperlink"/>
                <w:noProof/>
              </w:rPr>
              <w:t>Bread containing linseed</w:t>
            </w:r>
            <w:r w:rsidR="00794D8F">
              <w:rPr>
                <w:noProof/>
                <w:webHidden/>
              </w:rPr>
              <w:tab/>
            </w:r>
            <w:r w:rsidR="00794D8F">
              <w:rPr>
                <w:noProof/>
                <w:webHidden/>
              </w:rPr>
              <w:fldChar w:fldCharType="begin"/>
            </w:r>
            <w:r w:rsidR="00794D8F">
              <w:rPr>
                <w:noProof/>
                <w:webHidden/>
              </w:rPr>
              <w:instrText xml:space="preserve"> PAGEREF _Toc384293509 \h </w:instrText>
            </w:r>
            <w:r w:rsidR="00794D8F">
              <w:rPr>
                <w:noProof/>
                <w:webHidden/>
              </w:rPr>
            </w:r>
            <w:r w:rsidR="00794D8F">
              <w:rPr>
                <w:noProof/>
                <w:webHidden/>
              </w:rPr>
              <w:fldChar w:fldCharType="separate"/>
            </w:r>
            <w:r w:rsidR="00794D8F">
              <w:rPr>
                <w:noProof/>
                <w:webHidden/>
              </w:rPr>
              <w:t>25</w:t>
            </w:r>
            <w:r w:rsidR="00794D8F">
              <w:rPr>
                <w:noProof/>
                <w:webHidden/>
              </w:rPr>
              <w:fldChar w:fldCharType="end"/>
            </w:r>
          </w:hyperlink>
        </w:p>
        <w:p w:rsidR="00794D8F" w:rsidRDefault="000A0E74">
          <w:pPr>
            <w:pStyle w:val="TOC2"/>
            <w:tabs>
              <w:tab w:val="left" w:pos="480"/>
              <w:tab w:val="right" w:leader="dot" w:pos="9016"/>
            </w:tabs>
            <w:rPr>
              <w:rFonts w:eastAsiaTheme="minorEastAsia" w:cstheme="minorBidi"/>
              <w:bCs w:val="0"/>
              <w:noProof/>
              <w:sz w:val="22"/>
              <w:szCs w:val="22"/>
              <w:lang w:val="en-GB" w:eastAsia="en-GB"/>
            </w:rPr>
          </w:pPr>
          <w:hyperlink w:anchor="_Toc384293510" w:history="1">
            <w:r w:rsidR="00794D8F" w:rsidRPr="00964E33">
              <w:rPr>
                <w:rStyle w:val="Hyperlink"/>
                <w:noProof/>
              </w:rPr>
              <w:t>4.4</w:t>
            </w:r>
            <w:r w:rsidR="00794D8F">
              <w:rPr>
                <w:rFonts w:eastAsiaTheme="minorEastAsia" w:cstheme="minorBidi"/>
                <w:bCs w:val="0"/>
                <w:noProof/>
                <w:sz w:val="22"/>
                <w:szCs w:val="22"/>
                <w:lang w:val="en-GB" w:eastAsia="en-GB"/>
              </w:rPr>
              <w:tab/>
            </w:r>
            <w:r w:rsidR="00794D8F" w:rsidRPr="00964E33">
              <w:rPr>
                <w:rStyle w:val="Hyperlink"/>
                <w:noProof/>
              </w:rPr>
              <w:t>Apple juice and apple products</w:t>
            </w:r>
            <w:r w:rsidR="00794D8F">
              <w:rPr>
                <w:noProof/>
                <w:webHidden/>
              </w:rPr>
              <w:tab/>
            </w:r>
            <w:r w:rsidR="00794D8F">
              <w:rPr>
                <w:noProof/>
                <w:webHidden/>
              </w:rPr>
              <w:fldChar w:fldCharType="begin"/>
            </w:r>
            <w:r w:rsidR="00794D8F">
              <w:rPr>
                <w:noProof/>
                <w:webHidden/>
              </w:rPr>
              <w:instrText xml:space="preserve"> PAGEREF _Toc384293510 \h </w:instrText>
            </w:r>
            <w:r w:rsidR="00794D8F">
              <w:rPr>
                <w:noProof/>
                <w:webHidden/>
              </w:rPr>
            </w:r>
            <w:r w:rsidR="00794D8F">
              <w:rPr>
                <w:noProof/>
                <w:webHidden/>
              </w:rPr>
              <w:fldChar w:fldCharType="separate"/>
            </w:r>
            <w:r w:rsidR="00794D8F">
              <w:rPr>
                <w:noProof/>
                <w:webHidden/>
              </w:rPr>
              <w:t>26</w:t>
            </w:r>
            <w:r w:rsidR="00794D8F">
              <w:rPr>
                <w:noProof/>
                <w:webHidden/>
              </w:rPr>
              <w:fldChar w:fldCharType="end"/>
            </w:r>
          </w:hyperlink>
        </w:p>
        <w:p w:rsidR="00794D8F" w:rsidRDefault="000A0E74">
          <w:pPr>
            <w:pStyle w:val="TOC3"/>
            <w:tabs>
              <w:tab w:val="left" w:pos="960"/>
              <w:tab w:val="right" w:leader="dot" w:pos="9016"/>
            </w:tabs>
            <w:rPr>
              <w:rFonts w:eastAsiaTheme="minorEastAsia" w:cstheme="minorBidi"/>
              <w:noProof/>
              <w:sz w:val="22"/>
              <w:szCs w:val="22"/>
              <w:lang w:val="en-GB" w:eastAsia="en-GB"/>
            </w:rPr>
          </w:pPr>
          <w:hyperlink w:anchor="_Toc384293511" w:history="1">
            <w:r w:rsidR="00794D8F" w:rsidRPr="00964E33">
              <w:rPr>
                <w:rStyle w:val="Hyperlink"/>
                <w:noProof/>
              </w:rPr>
              <w:t>4.4.1</w:t>
            </w:r>
            <w:r w:rsidR="00794D8F">
              <w:rPr>
                <w:rFonts w:eastAsiaTheme="minorEastAsia" w:cstheme="minorBidi"/>
                <w:noProof/>
                <w:sz w:val="22"/>
                <w:szCs w:val="22"/>
                <w:lang w:val="en-GB" w:eastAsia="en-GB"/>
              </w:rPr>
              <w:tab/>
            </w:r>
            <w:r w:rsidR="00794D8F" w:rsidRPr="00964E33">
              <w:rPr>
                <w:rStyle w:val="Hyperlink"/>
                <w:noProof/>
              </w:rPr>
              <w:t>Survey results for apple juice</w:t>
            </w:r>
            <w:r w:rsidR="00794D8F">
              <w:rPr>
                <w:noProof/>
                <w:webHidden/>
              </w:rPr>
              <w:tab/>
            </w:r>
            <w:r w:rsidR="00794D8F">
              <w:rPr>
                <w:noProof/>
                <w:webHidden/>
              </w:rPr>
              <w:fldChar w:fldCharType="begin"/>
            </w:r>
            <w:r w:rsidR="00794D8F">
              <w:rPr>
                <w:noProof/>
                <w:webHidden/>
              </w:rPr>
              <w:instrText xml:space="preserve"> PAGEREF _Toc384293511 \h </w:instrText>
            </w:r>
            <w:r w:rsidR="00794D8F">
              <w:rPr>
                <w:noProof/>
                <w:webHidden/>
              </w:rPr>
            </w:r>
            <w:r w:rsidR="00794D8F">
              <w:rPr>
                <w:noProof/>
                <w:webHidden/>
              </w:rPr>
              <w:fldChar w:fldCharType="separate"/>
            </w:r>
            <w:r w:rsidR="00794D8F">
              <w:rPr>
                <w:noProof/>
                <w:webHidden/>
              </w:rPr>
              <w:t>26</w:t>
            </w:r>
            <w:r w:rsidR="00794D8F">
              <w:rPr>
                <w:noProof/>
                <w:webHidden/>
              </w:rPr>
              <w:fldChar w:fldCharType="end"/>
            </w:r>
          </w:hyperlink>
        </w:p>
        <w:p w:rsidR="00794D8F" w:rsidRDefault="000A0E74">
          <w:pPr>
            <w:pStyle w:val="TOC3"/>
            <w:tabs>
              <w:tab w:val="left" w:pos="960"/>
              <w:tab w:val="right" w:leader="dot" w:pos="9016"/>
            </w:tabs>
            <w:rPr>
              <w:rFonts w:eastAsiaTheme="minorEastAsia" w:cstheme="minorBidi"/>
              <w:noProof/>
              <w:sz w:val="22"/>
              <w:szCs w:val="22"/>
              <w:lang w:val="en-GB" w:eastAsia="en-GB"/>
            </w:rPr>
          </w:pPr>
          <w:hyperlink w:anchor="_Toc384293512" w:history="1">
            <w:r w:rsidR="00794D8F" w:rsidRPr="00964E33">
              <w:rPr>
                <w:rStyle w:val="Hyperlink"/>
                <w:noProof/>
              </w:rPr>
              <w:t>4.4.2</w:t>
            </w:r>
            <w:r w:rsidR="00794D8F">
              <w:rPr>
                <w:rFonts w:eastAsiaTheme="minorEastAsia" w:cstheme="minorBidi"/>
                <w:noProof/>
                <w:sz w:val="22"/>
                <w:szCs w:val="22"/>
                <w:lang w:val="en-GB" w:eastAsia="en-GB"/>
              </w:rPr>
              <w:tab/>
            </w:r>
            <w:r w:rsidR="00794D8F" w:rsidRPr="00964E33">
              <w:rPr>
                <w:rStyle w:val="Hyperlink"/>
                <w:noProof/>
              </w:rPr>
              <w:t>Analysis of apple aroma extract</w:t>
            </w:r>
            <w:r w:rsidR="00794D8F">
              <w:rPr>
                <w:noProof/>
                <w:webHidden/>
              </w:rPr>
              <w:tab/>
            </w:r>
            <w:r w:rsidR="00794D8F">
              <w:rPr>
                <w:noProof/>
                <w:webHidden/>
              </w:rPr>
              <w:fldChar w:fldCharType="begin"/>
            </w:r>
            <w:r w:rsidR="00794D8F">
              <w:rPr>
                <w:noProof/>
                <w:webHidden/>
              </w:rPr>
              <w:instrText xml:space="preserve"> PAGEREF _Toc384293512 \h </w:instrText>
            </w:r>
            <w:r w:rsidR="00794D8F">
              <w:rPr>
                <w:noProof/>
                <w:webHidden/>
              </w:rPr>
            </w:r>
            <w:r w:rsidR="00794D8F">
              <w:rPr>
                <w:noProof/>
                <w:webHidden/>
              </w:rPr>
              <w:fldChar w:fldCharType="separate"/>
            </w:r>
            <w:r w:rsidR="00794D8F">
              <w:rPr>
                <w:noProof/>
                <w:webHidden/>
              </w:rPr>
              <w:t>26</w:t>
            </w:r>
            <w:r w:rsidR="00794D8F">
              <w:rPr>
                <w:noProof/>
                <w:webHidden/>
              </w:rPr>
              <w:fldChar w:fldCharType="end"/>
            </w:r>
          </w:hyperlink>
        </w:p>
        <w:p w:rsidR="00794D8F" w:rsidRDefault="000A0E74">
          <w:pPr>
            <w:pStyle w:val="TOC3"/>
            <w:tabs>
              <w:tab w:val="left" w:pos="960"/>
              <w:tab w:val="right" w:leader="dot" w:pos="9016"/>
            </w:tabs>
            <w:rPr>
              <w:rFonts w:eastAsiaTheme="minorEastAsia" w:cstheme="minorBidi"/>
              <w:noProof/>
              <w:sz w:val="22"/>
              <w:szCs w:val="22"/>
              <w:lang w:val="en-GB" w:eastAsia="en-GB"/>
            </w:rPr>
          </w:pPr>
          <w:hyperlink w:anchor="_Toc384293513" w:history="1">
            <w:r w:rsidR="00794D8F" w:rsidRPr="00964E33">
              <w:rPr>
                <w:rStyle w:val="Hyperlink"/>
                <w:noProof/>
              </w:rPr>
              <w:t>4.4.3</w:t>
            </w:r>
            <w:r w:rsidR="00794D8F">
              <w:rPr>
                <w:rFonts w:eastAsiaTheme="minorEastAsia" w:cstheme="minorBidi"/>
                <w:noProof/>
                <w:sz w:val="22"/>
                <w:szCs w:val="22"/>
                <w:lang w:val="en-GB" w:eastAsia="en-GB"/>
              </w:rPr>
              <w:tab/>
            </w:r>
            <w:r w:rsidR="00794D8F" w:rsidRPr="00964E33">
              <w:rPr>
                <w:rStyle w:val="Hyperlink"/>
                <w:noProof/>
              </w:rPr>
              <w:t>Reanalysis of apple product samples</w:t>
            </w:r>
            <w:r w:rsidR="00794D8F">
              <w:rPr>
                <w:noProof/>
                <w:webHidden/>
              </w:rPr>
              <w:tab/>
            </w:r>
            <w:r w:rsidR="00794D8F">
              <w:rPr>
                <w:noProof/>
                <w:webHidden/>
              </w:rPr>
              <w:fldChar w:fldCharType="begin"/>
            </w:r>
            <w:r w:rsidR="00794D8F">
              <w:rPr>
                <w:noProof/>
                <w:webHidden/>
              </w:rPr>
              <w:instrText xml:space="preserve"> PAGEREF _Toc384293513 \h </w:instrText>
            </w:r>
            <w:r w:rsidR="00794D8F">
              <w:rPr>
                <w:noProof/>
                <w:webHidden/>
              </w:rPr>
            </w:r>
            <w:r w:rsidR="00794D8F">
              <w:rPr>
                <w:noProof/>
                <w:webHidden/>
              </w:rPr>
              <w:fldChar w:fldCharType="separate"/>
            </w:r>
            <w:r w:rsidR="00794D8F">
              <w:rPr>
                <w:noProof/>
                <w:webHidden/>
              </w:rPr>
              <w:t>26</w:t>
            </w:r>
            <w:r w:rsidR="00794D8F">
              <w:rPr>
                <w:noProof/>
                <w:webHidden/>
              </w:rPr>
              <w:fldChar w:fldCharType="end"/>
            </w:r>
          </w:hyperlink>
        </w:p>
        <w:p w:rsidR="00794D8F" w:rsidRDefault="000A0E74">
          <w:pPr>
            <w:pStyle w:val="TOC2"/>
            <w:tabs>
              <w:tab w:val="left" w:pos="480"/>
              <w:tab w:val="right" w:leader="dot" w:pos="9016"/>
            </w:tabs>
            <w:rPr>
              <w:rFonts w:eastAsiaTheme="minorEastAsia" w:cstheme="minorBidi"/>
              <w:bCs w:val="0"/>
              <w:noProof/>
              <w:sz w:val="22"/>
              <w:szCs w:val="22"/>
              <w:lang w:val="en-GB" w:eastAsia="en-GB"/>
            </w:rPr>
          </w:pPr>
          <w:hyperlink w:anchor="_Toc384293514" w:history="1">
            <w:r w:rsidR="00794D8F" w:rsidRPr="00964E33">
              <w:rPr>
                <w:rStyle w:val="Hyperlink"/>
                <w:noProof/>
              </w:rPr>
              <w:t>4.5</w:t>
            </w:r>
            <w:r w:rsidR="00794D8F">
              <w:rPr>
                <w:rFonts w:eastAsiaTheme="minorEastAsia" w:cstheme="minorBidi"/>
                <w:bCs w:val="0"/>
                <w:noProof/>
                <w:sz w:val="22"/>
                <w:szCs w:val="22"/>
                <w:lang w:val="en-GB" w:eastAsia="en-GB"/>
              </w:rPr>
              <w:tab/>
            </w:r>
            <w:r w:rsidR="00794D8F" w:rsidRPr="00964E33">
              <w:rPr>
                <w:rStyle w:val="Hyperlink"/>
                <w:noProof/>
              </w:rPr>
              <w:t>Summary of results from Surveys 1-3</w:t>
            </w:r>
            <w:r w:rsidR="00794D8F">
              <w:rPr>
                <w:noProof/>
                <w:webHidden/>
              </w:rPr>
              <w:tab/>
            </w:r>
            <w:r w:rsidR="00794D8F">
              <w:rPr>
                <w:noProof/>
                <w:webHidden/>
              </w:rPr>
              <w:fldChar w:fldCharType="begin"/>
            </w:r>
            <w:r w:rsidR="00794D8F">
              <w:rPr>
                <w:noProof/>
                <w:webHidden/>
              </w:rPr>
              <w:instrText xml:space="preserve"> PAGEREF _Toc384293514 \h </w:instrText>
            </w:r>
            <w:r w:rsidR="00794D8F">
              <w:rPr>
                <w:noProof/>
                <w:webHidden/>
              </w:rPr>
            </w:r>
            <w:r w:rsidR="00794D8F">
              <w:rPr>
                <w:noProof/>
                <w:webHidden/>
              </w:rPr>
              <w:fldChar w:fldCharType="separate"/>
            </w:r>
            <w:r w:rsidR="00794D8F">
              <w:rPr>
                <w:noProof/>
                <w:webHidden/>
              </w:rPr>
              <w:t>27</w:t>
            </w:r>
            <w:r w:rsidR="00794D8F">
              <w:rPr>
                <w:noProof/>
                <w:webHidden/>
              </w:rPr>
              <w:fldChar w:fldCharType="end"/>
            </w:r>
          </w:hyperlink>
        </w:p>
        <w:p w:rsidR="00794D8F" w:rsidRDefault="000A0E74">
          <w:pPr>
            <w:pStyle w:val="TOC1"/>
            <w:tabs>
              <w:tab w:val="left" w:pos="480"/>
            </w:tabs>
            <w:rPr>
              <w:rFonts w:asciiTheme="minorHAnsi" w:eastAsiaTheme="minorEastAsia" w:hAnsiTheme="minorHAnsi" w:cstheme="minorBidi"/>
              <w:b w:val="0"/>
              <w:bCs w:val="0"/>
              <w:caps w:val="0"/>
              <w:noProof/>
              <w:szCs w:val="22"/>
              <w:lang w:val="en-GB" w:eastAsia="en-GB"/>
            </w:rPr>
          </w:pPr>
          <w:hyperlink w:anchor="_Toc384293515" w:history="1">
            <w:r w:rsidR="00794D8F" w:rsidRPr="00964E33">
              <w:rPr>
                <w:rStyle w:val="Hyperlink"/>
                <w:noProof/>
              </w:rPr>
              <w:t>5.</w:t>
            </w:r>
            <w:r w:rsidR="00794D8F">
              <w:rPr>
                <w:rFonts w:asciiTheme="minorHAnsi" w:eastAsiaTheme="minorEastAsia" w:hAnsiTheme="minorHAnsi" w:cstheme="minorBidi"/>
                <w:b w:val="0"/>
                <w:bCs w:val="0"/>
                <w:caps w:val="0"/>
                <w:noProof/>
                <w:szCs w:val="22"/>
                <w:lang w:val="en-GB" w:eastAsia="en-GB"/>
              </w:rPr>
              <w:tab/>
            </w:r>
            <w:r w:rsidR="00794D8F" w:rsidRPr="00964E33">
              <w:rPr>
                <w:rStyle w:val="Hyperlink"/>
                <w:noProof/>
              </w:rPr>
              <w:t>HUMAN HEALTH SIGNIFICANCE OF SURVEY RESULTS</w:t>
            </w:r>
            <w:r w:rsidR="00794D8F">
              <w:rPr>
                <w:noProof/>
                <w:webHidden/>
              </w:rPr>
              <w:tab/>
            </w:r>
            <w:r w:rsidR="00794D8F">
              <w:rPr>
                <w:noProof/>
                <w:webHidden/>
              </w:rPr>
              <w:fldChar w:fldCharType="begin"/>
            </w:r>
            <w:r w:rsidR="00794D8F">
              <w:rPr>
                <w:noProof/>
                <w:webHidden/>
              </w:rPr>
              <w:instrText xml:space="preserve"> PAGEREF _Toc384293515 \h </w:instrText>
            </w:r>
            <w:r w:rsidR="00794D8F">
              <w:rPr>
                <w:noProof/>
                <w:webHidden/>
              </w:rPr>
            </w:r>
            <w:r w:rsidR="00794D8F">
              <w:rPr>
                <w:noProof/>
                <w:webHidden/>
              </w:rPr>
              <w:fldChar w:fldCharType="separate"/>
            </w:r>
            <w:r w:rsidR="00794D8F">
              <w:rPr>
                <w:noProof/>
                <w:webHidden/>
              </w:rPr>
              <w:t>29</w:t>
            </w:r>
            <w:r w:rsidR="00794D8F">
              <w:rPr>
                <w:noProof/>
                <w:webHidden/>
              </w:rPr>
              <w:fldChar w:fldCharType="end"/>
            </w:r>
          </w:hyperlink>
        </w:p>
        <w:p w:rsidR="00794D8F" w:rsidRDefault="000A0E74">
          <w:pPr>
            <w:pStyle w:val="TOC2"/>
            <w:tabs>
              <w:tab w:val="left" w:pos="480"/>
              <w:tab w:val="right" w:leader="dot" w:pos="9016"/>
            </w:tabs>
            <w:rPr>
              <w:rFonts w:eastAsiaTheme="minorEastAsia" w:cstheme="minorBidi"/>
              <w:bCs w:val="0"/>
              <w:noProof/>
              <w:sz w:val="22"/>
              <w:szCs w:val="22"/>
              <w:lang w:val="en-GB" w:eastAsia="en-GB"/>
            </w:rPr>
          </w:pPr>
          <w:hyperlink w:anchor="_Toc384293516" w:history="1">
            <w:r w:rsidR="00794D8F" w:rsidRPr="00964E33">
              <w:rPr>
                <w:rStyle w:val="Hyperlink"/>
                <w:noProof/>
              </w:rPr>
              <w:t>5.1</w:t>
            </w:r>
            <w:r w:rsidR="00794D8F">
              <w:rPr>
                <w:rFonts w:eastAsiaTheme="minorEastAsia" w:cstheme="minorBidi"/>
                <w:bCs w:val="0"/>
                <w:noProof/>
                <w:sz w:val="22"/>
                <w:szCs w:val="22"/>
                <w:lang w:val="en-GB" w:eastAsia="en-GB"/>
              </w:rPr>
              <w:tab/>
            </w:r>
            <w:r w:rsidR="00794D8F" w:rsidRPr="00964E33">
              <w:rPr>
                <w:rStyle w:val="Hyperlink"/>
                <w:noProof/>
              </w:rPr>
              <w:t>Hazard Assessment</w:t>
            </w:r>
            <w:r w:rsidR="00794D8F">
              <w:rPr>
                <w:noProof/>
                <w:webHidden/>
              </w:rPr>
              <w:tab/>
            </w:r>
            <w:r w:rsidR="00794D8F">
              <w:rPr>
                <w:noProof/>
                <w:webHidden/>
              </w:rPr>
              <w:fldChar w:fldCharType="begin"/>
            </w:r>
            <w:r w:rsidR="00794D8F">
              <w:rPr>
                <w:noProof/>
                <w:webHidden/>
              </w:rPr>
              <w:instrText xml:space="preserve"> PAGEREF _Toc384293516 \h </w:instrText>
            </w:r>
            <w:r w:rsidR="00794D8F">
              <w:rPr>
                <w:noProof/>
                <w:webHidden/>
              </w:rPr>
            </w:r>
            <w:r w:rsidR="00794D8F">
              <w:rPr>
                <w:noProof/>
                <w:webHidden/>
              </w:rPr>
              <w:fldChar w:fldCharType="separate"/>
            </w:r>
            <w:r w:rsidR="00794D8F">
              <w:rPr>
                <w:noProof/>
                <w:webHidden/>
              </w:rPr>
              <w:t>29</w:t>
            </w:r>
            <w:r w:rsidR="00794D8F">
              <w:rPr>
                <w:noProof/>
                <w:webHidden/>
              </w:rPr>
              <w:fldChar w:fldCharType="end"/>
            </w:r>
          </w:hyperlink>
        </w:p>
        <w:p w:rsidR="00794D8F" w:rsidRDefault="000A0E74">
          <w:pPr>
            <w:pStyle w:val="TOC2"/>
            <w:tabs>
              <w:tab w:val="left" w:pos="480"/>
              <w:tab w:val="right" w:leader="dot" w:pos="9016"/>
            </w:tabs>
            <w:rPr>
              <w:rFonts w:eastAsiaTheme="minorEastAsia" w:cstheme="minorBidi"/>
              <w:bCs w:val="0"/>
              <w:noProof/>
              <w:sz w:val="22"/>
              <w:szCs w:val="22"/>
              <w:lang w:val="en-GB" w:eastAsia="en-GB"/>
            </w:rPr>
          </w:pPr>
          <w:hyperlink w:anchor="_Toc384293517" w:history="1">
            <w:r w:rsidR="00794D8F" w:rsidRPr="00964E33">
              <w:rPr>
                <w:rStyle w:val="Hyperlink"/>
                <w:noProof/>
              </w:rPr>
              <w:t>5.2</w:t>
            </w:r>
            <w:r w:rsidR="00794D8F">
              <w:rPr>
                <w:rFonts w:eastAsiaTheme="minorEastAsia" w:cstheme="minorBidi"/>
                <w:bCs w:val="0"/>
                <w:noProof/>
                <w:sz w:val="22"/>
                <w:szCs w:val="22"/>
                <w:lang w:val="en-GB" w:eastAsia="en-GB"/>
              </w:rPr>
              <w:tab/>
            </w:r>
            <w:r w:rsidR="00794D8F" w:rsidRPr="00964E33">
              <w:rPr>
                <w:rStyle w:val="Hyperlink"/>
                <w:noProof/>
              </w:rPr>
              <w:t>Concentration data used in the dietary exposure assessment</w:t>
            </w:r>
            <w:r w:rsidR="00794D8F">
              <w:rPr>
                <w:noProof/>
                <w:webHidden/>
              </w:rPr>
              <w:tab/>
            </w:r>
            <w:r w:rsidR="00794D8F">
              <w:rPr>
                <w:noProof/>
                <w:webHidden/>
              </w:rPr>
              <w:fldChar w:fldCharType="begin"/>
            </w:r>
            <w:r w:rsidR="00794D8F">
              <w:rPr>
                <w:noProof/>
                <w:webHidden/>
              </w:rPr>
              <w:instrText xml:space="preserve"> PAGEREF _Toc384293517 \h </w:instrText>
            </w:r>
            <w:r w:rsidR="00794D8F">
              <w:rPr>
                <w:noProof/>
                <w:webHidden/>
              </w:rPr>
            </w:r>
            <w:r w:rsidR="00794D8F">
              <w:rPr>
                <w:noProof/>
                <w:webHidden/>
              </w:rPr>
              <w:fldChar w:fldCharType="separate"/>
            </w:r>
            <w:r w:rsidR="00794D8F">
              <w:rPr>
                <w:noProof/>
                <w:webHidden/>
              </w:rPr>
              <w:t>29</w:t>
            </w:r>
            <w:r w:rsidR="00794D8F">
              <w:rPr>
                <w:noProof/>
                <w:webHidden/>
              </w:rPr>
              <w:fldChar w:fldCharType="end"/>
            </w:r>
          </w:hyperlink>
        </w:p>
        <w:p w:rsidR="00794D8F" w:rsidRDefault="000A0E74">
          <w:pPr>
            <w:pStyle w:val="TOC3"/>
            <w:tabs>
              <w:tab w:val="left" w:pos="960"/>
              <w:tab w:val="right" w:leader="dot" w:pos="9016"/>
            </w:tabs>
            <w:rPr>
              <w:rFonts w:eastAsiaTheme="minorEastAsia" w:cstheme="minorBidi"/>
              <w:noProof/>
              <w:sz w:val="22"/>
              <w:szCs w:val="22"/>
              <w:lang w:val="en-GB" w:eastAsia="en-GB"/>
            </w:rPr>
          </w:pPr>
          <w:hyperlink w:anchor="_Toc384293518" w:history="1">
            <w:r w:rsidR="00794D8F" w:rsidRPr="00964E33">
              <w:rPr>
                <w:rStyle w:val="Hyperlink"/>
                <w:noProof/>
              </w:rPr>
              <w:t>5.2.1</w:t>
            </w:r>
            <w:r w:rsidR="00794D8F">
              <w:rPr>
                <w:rFonts w:eastAsiaTheme="minorEastAsia" w:cstheme="minorBidi"/>
                <w:noProof/>
                <w:sz w:val="22"/>
                <w:szCs w:val="22"/>
                <w:lang w:val="en-GB" w:eastAsia="en-GB"/>
              </w:rPr>
              <w:tab/>
            </w:r>
            <w:r w:rsidR="00794D8F" w:rsidRPr="00964E33">
              <w:rPr>
                <w:rStyle w:val="Hyperlink"/>
                <w:noProof/>
              </w:rPr>
              <w:t>Concentration data from Surveys 1-3</w:t>
            </w:r>
            <w:r w:rsidR="00794D8F">
              <w:rPr>
                <w:noProof/>
                <w:webHidden/>
              </w:rPr>
              <w:tab/>
            </w:r>
            <w:r w:rsidR="00794D8F">
              <w:rPr>
                <w:noProof/>
                <w:webHidden/>
              </w:rPr>
              <w:fldChar w:fldCharType="begin"/>
            </w:r>
            <w:r w:rsidR="00794D8F">
              <w:rPr>
                <w:noProof/>
                <w:webHidden/>
              </w:rPr>
              <w:instrText xml:space="preserve"> PAGEREF _Toc384293518 \h </w:instrText>
            </w:r>
            <w:r w:rsidR="00794D8F">
              <w:rPr>
                <w:noProof/>
                <w:webHidden/>
              </w:rPr>
            </w:r>
            <w:r w:rsidR="00794D8F">
              <w:rPr>
                <w:noProof/>
                <w:webHidden/>
              </w:rPr>
              <w:fldChar w:fldCharType="separate"/>
            </w:r>
            <w:r w:rsidR="00794D8F">
              <w:rPr>
                <w:noProof/>
                <w:webHidden/>
              </w:rPr>
              <w:t>30</w:t>
            </w:r>
            <w:r w:rsidR="00794D8F">
              <w:rPr>
                <w:noProof/>
                <w:webHidden/>
              </w:rPr>
              <w:fldChar w:fldCharType="end"/>
            </w:r>
          </w:hyperlink>
        </w:p>
        <w:p w:rsidR="00794D8F" w:rsidRDefault="000A0E74">
          <w:pPr>
            <w:pStyle w:val="TOC3"/>
            <w:tabs>
              <w:tab w:val="left" w:pos="960"/>
              <w:tab w:val="right" w:leader="dot" w:pos="9016"/>
            </w:tabs>
            <w:rPr>
              <w:rFonts w:eastAsiaTheme="minorEastAsia" w:cstheme="minorBidi"/>
              <w:noProof/>
              <w:sz w:val="22"/>
              <w:szCs w:val="22"/>
              <w:lang w:val="en-GB" w:eastAsia="en-GB"/>
            </w:rPr>
          </w:pPr>
          <w:hyperlink w:anchor="_Toc384293519" w:history="1">
            <w:r w:rsidR="00794D8F" w:rsidRPr="00964E33">
              <w:rPr>
                <w:rStyle w:val="Hyperlink"/>
                <w:noProof/>
              </w:rPr>
              <w:t>5.2.2</w:t>
            </w:r>
            <w:r w:rsidR="00794D8F">
              <w:rPr>
                <w:rFonts w:eastAsiaTheme="minorEastAsia" w:cstheme="minorBidi"/>
                <w:noProof/>
                <w:sz w:val="22"/>
                <w:szCs w:val="22"/>
                <w:lang w:val="en-GB" w:eastAsia="en-GB"/>
              </w:rPr>
              <w:tab/>
            </w:r>
            <w:r w:rsidR="00794D8F" w:rsidRPr="00964E33">
              <w:rPr>
                <w:rStyle w:val="Hyperlink"/>
                <w:noProof/>
              </w:rPr>
              <w:t>Concentration data from surveys of RTE cassava chips</w:t>
            </w:r>
            <w:r w:rsidR="00794D8F">
              <w:rPr>
                <w:noProof/>
                <w:webHidden/>
              </w:rPr>
              <w:tab/>
            </w:r>
            <w:r w:rsidR="00794D8F">
              <w:rPr>
                <w:noProof/>
                <w:webHidden/>
              </w:rPr>
              <w:fldChar w:fldCharType="begin"/>
            </w:r>
            <w:r w:rsidR="00794D8F">
              <w:rPr>
                <w:noProof/>
                <w:webHidden/>
              </w:rPr>
              <w:instrText xml:space="preserve"> PAGEREF _Toc384293519 \h </w:instrText>
            </w:r>
            <w:r w:rsidR="00794D8F">
              <w:rPr>
                <w:noProof/>
                <w:webHidden/>
              </w:rPr>
            </w:r>
            <w:r w:rsidR="00794D8F">
              <w:rPr>
                <w:noProof/>
                <w:webHidden/>
              </w:rPr>
              <w:fldChar w:fldCharType="separate"/>
            </w:r>
            <w:r w:rsidR="00794D8F">
              <w:rPr>
                <w:noProof/>
                <w:webHidden/>
              </w:rPr>
              <w:t>30</w:t>
            </w:r>
            <w:r w:rsidR="00794D8F">
              <w:rPr>
                <w:noProof/>
                <w:webHidden/>
              </w:rPr>
              <w:fldChar w:fldCharType="end"/>
            </w:r>
          </w:hyperlink>
        </w:p>
        <w:p w:rsidR="00794D8F" w:rsidRDefault="000A0E74">
          <w:pPr>
            <w:pStyle w:val="TOC2"/>
            <w:tabs>
              <w:tab w:val="left" w:pos="480"/>
              <w:tab w:val="right" w:leader="dot" w:pos="9016"/>
            </w:tabs>
            <w:rPr>
              <w:rFonts w:eastAsiaTheme="minorEastAsia" w:cstheme="minorBidi"/>
              <w:bCs w:val="0"/>
              <w:noProof/>
              <w:sz w:val="22"/>
              <w:szCs w:val="22"/>
              <w:lang w:val="en-GB" w:eastAsia="en-GB"/>
            </w:rPr>
          </w:pPr>
          <w:hyperlink w:anchor="_Toc384293520" w:history="1">
            <w:r w:rsidR="00794D8F" w:rsidRPr="00964E33">
              <w:rPr>
                <w:rStyle w:val="Hyperlink"/>
                <w:noProof/>
              </w:rPr>
              <w:t>5.3</w:t>
            </w:r>
            <w:r w:rsidR="00794D8F">
              <w:rPr>
                <w:rFonts w:eastAsiaTheme="minorEastAsia" w:cstheme="minorBidi"/>
                <w:bCs w:val="0"/>
                <w:noProof/>
                <w:sz w:val="22"/>
                <w:szCs w:val="22"/>
                <w:lang w:val="en-GB" w:eastAsia="en-GB"/>
              </w:rPr>
              <w:tab/>
            </w:r>
            <w:r w:rsidR="00794D8F" w:rsidRPr="00964E33">
              <w:rPr>
                <w:rStyle w:val="Hyperlink"/>
                <w:noProof/>
              </w:rPr>
              <w:t>Dietary exposure assessment</w:t>
            </w:r>
            <w:r w:rsidR="00794D8F">
              <w:rPr>
                <w:noProof/>
                <w:webHidden/>
              </w:rPr>
              <w:tab/>
            </w:r>
            <w:r w:rsidR="00794D8F">
              <w:rPr>
                <w:noProof/>
                <w:webHidden/>
              </w:rPr>
              <w:fldChar w:fldCharType="begin"/>
            </w:r>
            <w:r w:rsidR="00794D8F">
              <w:rPr>
                <w:noProof/>
                <w:webHidden/>
              </w:rPr>
              <w:instrText xml:space="preserve"> PAGEREF _Toc384293520 \h </w:instrText>
            </w:r>
            <w:r w:rsidR="00794D8F">
              <w:rPr>
                <w:noProof/>
                <w:webHidden/>
              </w:rPr>
            </w:r>
            <w:r w:rsidR="00794D8F">
              <w:rPr>
                <w:noProof/>
                <w:webHidden/>
              </w:rPr>
              <w:fldChar w:fldCharType="separate"/>
            </w:r>
            <w:r w:rsidR="00794D8F">
              <w:rPr>
                <w:noProof/>
                <w:webHidden/>
              </w:rPr>
              <w:t>31</w:t>
            </w:r>
            <w:r w:rsidR="00794D8F">
              <w:rPr>
                <w:noProof/>
                <w:webHidden/>
              </w:rPr>
              <w:fldChar w:fldCharType="end"/>
            </w:r>
          </w:hyperlink>
        </w:p>
        <w:p w:rsidR="00794D8F" w:rsidRDefault="000A0E74">
          <w:pPr>
            <w:pStyle w:val="TOC3"/>
            <w:tabs>
              <w:tab w:val="left" w:pos="960"/>
              <w:tab w:val="right" w:leader="dot" w:pos="9016"/>
            </w:tabs>
            <w:rPr>
              <w:rFonts w:eastAsiaTheme="minorEastAsia" w:cstheme="minorBidi"/>
              <w:noProof/>
              <w:sz w:val="22"/>
              <w:szCs w:val="22"/>
              <w:lang w:val="en-GB" w:eastAsia="en-GB"/>
            </w:rPr>
          </w:pPr>
          <w:hyperlink w:anchor="_Toc384293521" w:history="1">
            <w:r w:rsidR="00794D8F" w:rsidRPr="00964E33">
              <w:rPr>
                <w:rStyle w:val="Hyperlink"/>
                <w:noProof/>
              </w:rPr>
              <w:t>5.3.1</w:t>
            </w:r>
            <w:r w:rsidR="00794D8F">
              <w:rPr>
                <w:rFonts w:eastAsiaTheme="minorEastAsia" w:cstheme="minorBidi"/>
                <w:noProof/>
                <w:sz w:val="22"/>
                <w:szCs w:val="22"/>
                <w:lang w:val="en-GB" w:eastAsia="en-GB"/>
              </w:rPr>
              <w:tab/>
            </w:r>
            <w:r w:rsidR="00794D8F" w:rsidRPr="00964E33">
              <w:rPr>
                <w:rStyle w:val="Hyperlink"/>
                <w:noProof/>
              </w:rPr>
              <w:t>Dietary exposure assessment methodology</w:t>
            </w:r>
            <w:r w:rsidR="00794D8F">
              <w:rPr>
                <w:noProof/>
                <w:webHidden/>
              </w:rPr>
              <w:tab/>
            </w:r>
            <w:r w:rsidR="00794D8F">
              <w:rPr>
                <w:noProof/>
                <w:webHidden/>
              </w:rPr>
              <w:fldChar w:fldCharType="begin"/>
            </w:r>
            <w:r w:rsidR="00794D8F">
              <w:rPr>
                <w:noProof/>
                <w:webHidden/>
              </w:rPr>
              <w:instrText xml:space="preserve"> PAGEREF _Toc384293521 \h </w:instrText>
            </w:r>
            <w:r w:rsidR="00794D8F">
              <w:rPr>
                <w:noProof/>
                <w:webHidden/>
              </w:rPr>
            </w:r>
            <w:r w:rsidR="00794D8F">
              <w:rPr>
                <w:noProof/>
                <w:webHidden/>
              </w:rPr>
              <w:fldChar w:fldCharType="separate"/>
            </w:r>
            <w:r w:rsidR="00794D8F">
              <w:rPr>
                <w:noProof/>
                <w:webHidden/>
              </w:rPr>
              <w:t>31</w:t>
            </w:r>
            <w:r w:rsidR="00794D8F">
              <w:rPr>
                <w:noProof/>
                <w:webHidden/>
              </w:rPr>
              <w:fldChar w:fldCharType="end"/>
            </w:r>
          </w:hyperlink>
        </w:p>
        <w:p w:rsidR="00794D8F" w:rsidRDefault="000A0E74">
          <w:pPr>
            <w:pStyle w:val="TOC3"/>
            <w:tabs>
              <w:tab w:val="left" w:pos="960"/>
              <w:tab w:val="right" w:leader="dot" w:pos="9016"/>
            </w:tabs>
            <w:rPr>
              <w:rFonts w:eastAsiaTheme="minorEastAsia" w:cstheme="minorBidi"/>
              <w:noProof/>
              <w:sz w:val="22"/>
              <w:szCs w:val="22"/>
              <w:lang w:val="en-GB" w:eastAsia="en-GB"/>
            </w:rPr>
          </w:pPr>
          <w:hyperlink w:anchor="_Toc384293522" w:history="1">
            <w:r w:rsidR="00794D8F" w:rsidRPr="00964E33">
              <w:rPr>
                <w:rStyle w:val="Hyperlink"/>
                <w:noProof/>
              </w:rPr>
              <w:t>5.3.2</w:t>
            </w:r>
            <w:r w:rsidR="00794D8F">
              <w:rPr>
                <w:rFonts w:eastAsiaTheme="minorEastAsia" w:cstheme="minorBidi"/>
                <w:noProof/>
                <w:sz w:val="22"/>
                <w:szCs w:val="22"/>
                <w:lang w:val="en-GB" w:eastAsia="en-GB"/>
              </w:rPr>
              <w:tab/>
            </w:r>
            <w:r w:rsidR="00794D8F" w:rsidRPr="00964E33">
              <w:rPr>
                <w:rStyle w:val="Hyperlink"/>
                <w:noProof/>
              </w:rPr>
              <w:t>Food consumption data</w:t>
            </w:r>
            <w:r w:rsidR="00794D8F">
              <w:rPr>
                <w:noProof/>
                <w:webHidden/>
              </w:rPr>
              <w:tab/>
            </w:r>
            <w:r w:rsidR="00794D8F">
              <w:rPr>
                <w:noProof/>
                <w:webHidden/>
              </w:rPr>
              <w:fldChar w:fldCharType="begin"/>
            </w:r>
            <w:r w:rsidR="00794D8F">
              <w:rPr>
                <w:noProof/>
                <w:webHidden/>
              </w:rPr>
              <w:instrText xml:space="preserve"> PAGEREF _Toc384293522 \h </w:instrText>
            </w:r>
            <w:r w:rsidR="00794D8F">
              <w:rPr>
                <w:noProof/>
                <w:webHidden/>
              </w:rPr>
            </w:r>
            <w:r w:rsidR="00794D8F">
              <w:rPr>
                <w:noProof/>
                <w:webHidden/>
              </w:rPr>
              <w:fldChar w:fldCharType="separate"/>
            </w:r>
            <w:r w:rsidR="00794D8F">
              <w:rPr>
                <w:noProof/>
                <w:webHidden/>
              </w:rPr>
              <w:t>32</w:t>
            </w:r>
            <w:r w:rsidR="00794D8F">
              <w:rPr>
                <w:noProof/>
                <w:webHidden/>
              </w:rPr>
              <w:fldChar w:fldCharType="end"/>
            </w:r>
          </w:hyperlink>
        </w:p>
        <w:p w:rsidR="00794D8F" w:rsidRDefault="000A0E74">
          <w:pPr>
            <w:pStyle w:val="TOC3"/>
            <w:tabs>
              <w:tab w:val="left" w:pos="960"/>
              <w:tab w:val="right" w:leader="dot" w:pos="9016"/>
            </w:tabs>
            <w:rPr>
              <w:rFonts w:eastAsiaTheme="minorEastAsia" w:cstheme="minorBidi"/>
              <w:noProof/>
              <w:sz w:val="22"/>
              <w:szCs w:val="22"/>
              <w:lang w:val="en-GB" w:eastAsia="en-GB"/>
            </w:rPr>
          </w:pPr>
          <w:hyperlink w:anchor="_Toc384293523" w:history="1">
            <w:r w:rsidR="00794D8F" w:rsidRPr="00964E33">
              <w:rPr>
                <w:rStyle w:val="Hyperlink"/>
                <w:noProof/>
              </w:rPr>
              <w:t>5.3.3</w:t>
            </w:r>
            <w:r w:rsidR="00794D8F">
              <w:rPr>
                <w:rFonts w:eastAsiaTheme="minorEastAsia" w:cstheme="minorBidi"/>
                <w:noProof/>
                <w:sz w:val="22"/>
                <w:szCs w:val="22"/>
                <w:lang w:val="en-GB" w:eastAsia="en-GB"/>
              </w:rPr>
              <w:tab/>
            </w:r>
            <w:r w:rsidR="00794D8F" w:rsidRPr="00964E33">
              <w:rPr>
                <w:rStyle w:val="Hyperlink"/>
                <w:noProof/>
              </w:rPr>
              <w:t>Food mapping</w:t>
            </w:r>
            <w:r w:rsidR="00794D8F">
              <w:rPr>
                <w:noProof/>
                <w:webHidden/>
              </w:rPr>
              <w:tab/>
            </w:r>
            <w:r w:rsidR="00794D8F">
              <w:rPr>
                <w:noProof/>
                <w:webHidden/>
              </w:rPr>
              <w:fldChar w:fldCharType="begin"/>
            </w:r>
            <w:r w:rsidR="00794D8F">
              <w:rPr>
                <w:noProof/>
                <w:webHidden/>
              </w:rPr>
              <w:instrText xml:space="preserve"> PAGEREF _Toc384293523 \h </w:instrText>
            </w:r>
            <w:r w:rsidR="00794D8F">
              <w:rPr>
                <w:noProof/>
                <w:webHidden/>
              </w:rPr>
            </w:r>
            <w:r w:rsidR="00794D8F">
              <w:rPr>
                <w:noProof/>
                <w:webHidden/>
              </w:rPr>
              <w:fldChar w:fldCharType="separate"/>
            </w:r>
            <w:r w:rsidR="00794D8F">
              <w:rPr>
                <w:noProof/>
                <w:webHidden/>
              </w:rPr>
              <w:t>34</w:t>
            </w:r>
            <w:r w:rsidR="00794D8F">
              <w:rPr>
                <w:noProof/>
                <w:webHidden/>
              </w:rPr>
              <w:fldChar w:fldCharType="end"/>
            </w:r>
          </w:hyperlink>
        </w:p>
        <w:p w:rsidR="00794D8F" w:rsidRDefault="000A0E74">
          <w:pPr>
            <w:pStyle w:val="TOC3"/>
            <w:tabs>
              <w:tab w:val="left" w:pos="960"/>
              <w:tab w:val="right" w:leader="dot" w:pos="9016"/>
            </w:tabs>
            <w:rPr>
              <w:rFonts w:eastAsiaTheme="minorEastAsia" w:cstheme="minorBidi"/>
              <w:noProof/>
              <w:sz w:val="22"/>
              <w:szCs w:val="22"/>
              <w:lang w:val="en-GB" w:eastAsia="en-GB"/>
            </w:rPr>
          </w:pPr>
          <w:hyperlink w:anchor="_Toc384293524" w:history="1">
            <w:r w:rsidR="00794D8F" w:rsidRPr="00964E33">
              <w:rPr>
                <w:rStyle w:val="Hyperlink"/>
                <w:noProof/>
              </w:rPr>
              <w:t>5.3.4</w:t>
            </w:r>
            <w:r w:rsidR="00794D8F">
              <w:rPr>
                <w:rFonts w:eastAsiaTheme="minorEastAsia" w:cstheme="minorBidi"/>
                <w:noProof/>
                <w:sz w:val="22"/>
                <w:szCs w:val="22"/>
                <w:lang w:val="en-GB" w:eastAsia="en-GB"/>
              </w:rPr>
              <w:tab/>
            </w:r>
            <w:r w:rsidR="00794D8F" w:rsidRPr="00964E33">
              <w:rPr>
                <w:rStyle w:val="Hyperlink"/>
                <w:noProof/>
              </w:rPr>
              <w:t>Population groups assessed</w:t>
            </w:r>
            <w:r w:rsidR="00794D8F">
              <w:rPr>
                <w:noProof/>
                <w:webHidden/>
              </w:rPr>
              <w:tab/>
            </w:r>
            <w:r w:rsidR="00794D8F">
              <w:rPr>
                <w:noProof/>
                <w:webHidden/>
              </w:rPr>
              <w:fldChar w:fldCharType="begin"/>
            </w:r>
            <w:r w:rsidR="00794D8F">
              <w:rPr>
                <w:noProof/>
                <w:webHidden/>
              </w:rPr>
              <w:instrText xml:space="preserve"> PAGEREF _Toc384293524 \h </w:instrText>
            </w:r>
            <w:r w:rsidR="00794D8F">
              <w:rPr>
                <w:noProof/>
                <w:webHidden/>
              </w:rPr>
            </w:r>
            <w:r w:rsidR="00794D8F">
              <w:rPr>
                <w:noProof/>
                <w:webHidden/>
              </w:rPr>
              <w:fldChar w:fldCharType="separate"/>
            </w:r>
            <w:r w:rsidR="00794D8F">
              <w:rPr>
                <w:noProof/>
                <w:webHidden/>
              </w:rPr>
              <w:t>35</w:t>
            </w:r>
            <w:r w:rsidR="00794D8F">
              <w:rPr>
                <w:noProof/>
                <w:webHidden/>
              </w:rPr>
              <w:fldChar w:fldCharType="end"/>
            </w:r>
          </w:hyperlink>
        </w:p>
        <w:p w:rsidR="00794D8F" w:rsidRDefault="000A0E74">
          <w:pPr>
            <w:pStyle w:val="TOC3"/>
            <w:tabs>
              <w:tab w:val="left" w:pos="960"/>
              <w:tab w:val="right" w:leader="dot" w:pos="9016"/>
            </w:tabs>
            <w:rPr>
              <w:rFonts w:eastAsiaTheme="minorEastAsia" w:cstheme="minorBidi"/>
              <w:noProof/>
              <w:sz w:val="22"/>
              <w:szCs w:val="22"/>
              <w:lang w:val="en-GB" w:eastAsia="en-GB"/>
            </w:rPr>
          </w:pPr>
          <w:hyperlink w:anchor="_Toc384293525" w:history="1">
            <w:r w:rsidR="00794D8F" w:rsidRPr="00964E33">
              <w:rPr>
                <w:rStyle w:val="Hyperlink"/>
                <w:noProof/>
              </w:rPr>
              <w:t>5.3.5</w:t>
            </w:r>
            <w:r w:rsidR="00794D8F">
              <w:rPr>
                <w:rFonts w:eastAsiaTheme="minorEastAsia" w:cstheme="minorBidi"/>
                <w:noProof/>
                <w:sz w:val="22"/>
                <w:szCs w:val="22"/>
                <w:lang w:val="en-GB" w:eastAsia="en-GB"/>
              </w:rPr>
              <w:tab/>
            </w:r>
            <w:r w:rsidR="00794D8F" w:rsidRPr="00964E33">
              <w:rPr>
                <w:rStyle w:val="Hyperlink"/>
                <w:noProof/>
              </w:rPr>
              <w:t>Assumptions made and limitations of the dietary exposure assessment</w:t>
            </w:r>
            <w:r w:rsidR="00794D8F">
              <w:rPr>
                <w:noProof/>
                <w:webHidden/>
              </w:rPr>
              <w:tab/>
            </w:r>
            <w:r w:rsidR="00794D8F">
              <w:rPr>
                <w:noProof/>
                <w:webHidden/>
              </w:rPr>
              <w:fldChar w:fldCharType="begin"/>
            </w:r>
            <w:r w:rsidR="00794D8F">
              <w:rPr>
                <w:noProof/>
                <w:webHidden/>
              </w:rPr>
              <w:instrText xml:space="preserve"> PAGEREF _Toc384293525 \h </w:instrText>
            </w:r>
            <w:r w:rsidR="00794D8F">
              <w:rPr>
                <w:noProof/>
                <w:webHidden/>
              </w:rPr>
            </w:r>
            <w:r w:rsidR="00794D8F">
              <w:rPr>
                <w:noProof/>
                <w:webHidden/>
              </w:rPr>
              <w:fldChar w:fldCharType="separate"/>
            </w:r>
            <w:r w:rsidR="00794D8F">
              <w:rPr>
                <w:noProof/>
                <w:webHidden/>
              </w:rPr>
              <w:t>35</w:t>
            </w:r>
            <w:r w:rsidR="00794D8F">
              <w:rPr>
                <w:noProof/>
                <w:webHidden/>
              </w:rPr>
              <w:fldChar w:fldCharType="end"/>
            </w:r>
          </w:hyperlink>
        </w:p>
        <w:p w:rsidR="00794D8F" w:rsidRDefault="000A0E74">
          <w:pPr>
            <w:pStyle w:val="TOC3"/>
            <w:tabs>
              <w:tab w:val="left" w:pos="960"/>
              <w:tab w:val="right" w:leader="dot" w:pos="9016"/>
            </w:tabs>
            <w:rPr>
              <w:rFonts w:eastAsiaTheme="minorEastAsia" w:cstheme="minorBidi"/>
              <w:noProof/>
              <w:sz w:val="22"/>
              <w:szCs w:val="22"/>
              <w:lang w:val="en-GB" w:eastAsia="en-GB"/>
            </w:rPr>
          </w:pPr>
          <w:hyperlink w:anchor="_Toc384293526" w:history="1">
            <w:r w:rsidR="00794D8F" w:rsidRPr="00964E33">
              <w:rPr>
                <w:rStyle w:val="Hyperlink"/>
                <w:noProof/>
              </w:rPr>
              <w:t>5.3.6</w:t>
            </w:r>
            <w:r w:rsidR="00794D8F">
              <w:rPr>
                <w:rFonts w:eastAsiaTheme="minorEastAsia" w:cstheme="minorBidi"/>
                <w:noProof/>
                <w:sz w:val="22"/>
                <w:szCs w:val="22"/>
                <w:lang w:val="en-GB" w:eastAsia="en-GB"/>
              </w:rPr>
              <w:tab/>
            </w:r>
            <w:r w:rsidR="00794D8F" w:rsidRPr="00964E33">
              <w:rPr>
                <w:rStyle w:val="Hyperlink"/>
                <w:noProof/>
              </w:rPr>
              <w:t>Chronic dietary exposure assessment</w:t>
            </w:r>
            <w:r w:rsidR="00794D8F">
              <w:rPr>
                <w:noProof/>
                <w:webHidden/>
              </w:rPr>
              <w:tab/>
            </w:r>
            <w:r w:rsidR="00794D8F">
              <w:rPr>
                <w:noProof/>
                <w:webHidden/>
              </w:rPr>
              <w:fldChar w:fldCharType="begin"/>
            </w:r>
            <w:r w:rsidR="00794D8F">
              <w:rPr>
                <w:noProof/>
                <w:webHidden/>
              </w:rPr>
              <w:instrText xml:space="preserve"> PAGEREF _Toc384293526 \h </w:instrText>
            </w:r>
            <w:r w:rsidR="00794D8F">
              <w:rPr>
                <w:noProof/>
                <w:webHidden/>
              </w:rPr>
            </w:r>
            <w:r w:rsidR="00794D8F">
              <w:rPr>
                <w:noProof/>
                <w:webHidden/>
              </w:rPr>
              <w:fldChar w:fldCharType="separate"/>
            </w:r>
            <w:r w:rsidR="00794D8F">
              <w:rPr>
                <w:noProof/>
                <w:webHidden/>
              </w:rPr>
              <w:t>36</w:t>
            </w:r>
            <w:r w:rsidR="00794D8F">
              <w:rPr>
                <w:noProof/>
                <w:webHidden/>
              </w:rPr>
              <w:fldChar w:fldCharType="end"/>
            </w:r>
          </w:hyperlink>
        </w:p>
        <w:p w:rsidR="00794D8F" w:rsidRDefault="000A0E74">
          <w:pPr>
            <w:pStyle w:val="TOC3"/>
            <w:tabs>
              <w:tab w:val="left" w:pos="960"/>
              <w:tab w:val="right" w:leader="dot" w:pos="9016"/>
            </w:tabs>
            <w:rPr>
              <w:rFonts w:eastAsiaTheme="minorEastAsia" w:cstheme="minorBidi"/>
              <w:noProof/>
              <w:sz w:val="22"/>
              <w:szCs w:val="22"/>
              <w:lang w:val="en-GB" w:eastAsia="en-GB"/>
            </w:rPr>
          </w:pPr>
          <w:hyperlink w:anchor="_Toc384293527" w:history="1">
            <w:r w:rsidR="00794D8F" w:rsidRPr="00964E33">
              <w:rPr>
                <w:rStyle w:val="Hyperlink"/>
                <w:noProof/>
              </w:rPr>
              <w:t>5.3.7</w:t>
            </w:r>
            <w:r w:rsidR="00794D8F">
              <w:rPr>
                <w:rFonts w:eastAsiaTheme="minorEastAsia" w:cstheme="minorBidi"/>
                <w:noProof/>
                <w:sz w:val="22"/>
                <w:szCs w:val="22"/>
                <w:lang w:val="en-GB" w:eastAsia="en-GB"/>
              </w:rPr>
              <w:tab/>
            </w:r>
            <w:r w:rsidR="00794D8F" w:rsidRPr="00964E33">
              <w:rPr>
                <w:rStyle w:val="Hyperlink"/>
                <w:noProof/>
              </w:rPr>
              <w:t>Acute dietary exposure assessment</w:t>
            </w:r>
            <w:r w:rsidR="00794D8F">
              <w:rPr>
                <w:noProof/>
                <w:webHidden/>
              </w:rPr>
              <w:tab/>
            </w:r>
            <w:r w:rsidR="00794D8F">
              <w:rPr>
                <w:noProof/>
                <w:webHidden/>
              </w:rPr>
              <w:fldChar w:fldCharType="begin"/>
            </w:r>
            <w:r w:rsidR="00794D8F">
              <w:rPr>
                <w:noProof/>
                <w:webHidden/>
              </w:rPr>
              <w:instrText xml:space="preserve"> PAGEREF _Toc384293527 \h </w:instrText>
            </w:r>
            <w:r w:rsidR="00794D8F">
              <w:rPr>
                <w:noProof/>
                <w:webHidden/>
              </w:rPr>
            </w:r>
            <w:r w:rsidR="00794D8F">
              <w:rPr>
                <w:noProof/>
                <w:webHidden/>
              </w:rPr>
              <w:fldChar w:fldCharType="separate"/>
            </w:r>
            <w:r w:rsidR="00794D8F">
              <w:rPr>
                <w:noProof/>
                <w:webHidden/>
              </w:rPr>
              <w:t>38</w:t>
            </w:r>
            <w:r w:rsidR="00794D8F">
              <w:rPr>
                <w:noProof/>
                <w:webHidden/>
              </w:rPr>
              <w:fldChar w:fldCharType="end"/>
            </w:r>
          </w:hyperlink>
        </w:p>
        <w:p w:rsidR="00794D8F" w:rsidRDefault="000A0E74">
          <w:pPr>
            <w:pStyle w:val="TOC2"/>
            <w:tabs>
              <w:tab w:val="left" w:pos="480"/>
              <w:tab w:val="right" w:leader="dot" w:pos="9016"/>
            </w:tabs>
            <w:rPr>
              <w:rFonts w:eastAsiaTheme="minorEastAsia" w:cstheme="minorBidi"/>
              <w:bCs w:val="0"/>
              <w:noProof/>
              <w:sz w:val="22"/>
              <w:szCs w:val="22"/>
              <w:lang w:val="en-GB" w:eastAsia="en-GB"/>
            </w:rPr>
          </w:pPr>
          <w:hyperlink w:anchor="_Toc384293528" w:history="1">
            <w:r w:rsidR="00794D8F" w:rsidRPr="00964E33">
              <w:rPr>
                <w:rStyle w:val="Hyperlink"/>
                <w:noProof/>
              </w:rPr>
              <w:t>5.4</w:t>
            </w:r>
            <w:r w:rsidR="00794D8F">
              <w:rPr>
                <w:rFonts w:eastAsiaTheme="minorEastAsia" w:cstheme="minorBidi"/>
                <w:bCs w:val="0"/>
                <w:noProof/>
                <w:sz w:val="22"/>
                <w:szCs w:val="22"/>
                <w:lang w:val="en-GB" w:eastAsia="en-GB"/>
              </w:rPr>
              <w:tab/>
            </w:r>
            <w:r w:rsidR="00794D8F" w:rsidRPr="00964E33">
              <w:rPr>
                <w:rStyle w:val="Hyperlink"/>
                <w:noProof/>
              </w:rPr>
              <w:t>Risk characterisation</w:t>
            </w:r>
            <w:r w:rsidR="00794D8F">
              <w:rPr>
                <w:noProof/>
                <w:webHidden/>
              </w:rPr>
              <w:tab/>
            </w:r>
            <w:r w:rsidR="00794D8F">
              <w:rPr>
                <w:noProof/>
                <w:webHidden/>
              </w:rPr>
              <w:fldChar w:fldCharType="begin"/>
            </w:r>
            <w:r w:rsidR="00794D8F">
              <w:rPr>
                <w:noProof/>
                <w:webHidden/>
              </w:rPr>
              <w:instrText xml:space="preserve"> PAGEREF _Toc384293528 \h </w:instrText>
            </w:r>
            <w:r w:rsidR="00794D8F">
              <w:rPr>
                <w:noProof/>
                <w:webHidden/>
              </w:rPr>
            </w:r>
            <w:r w:rsidR="00794D8F">
              <w:rPr>
                <w:noProof/>
                <w:webHidden/>
              </w:rPr>
              <w:fldChar w:fldCharType="separate"/>
            </w:r>
            <w:r w:rsidR="00794D8F">
              <w:rPr>
                <w:noProof/>
                <w:webHidden/>
              </w:rPr>
              <w:t>38</w:t>
            </w:r>
            <w:r w:rsidR="00794D8F">
              <w:rPr>
                <w:noProof/>
                <w:webHidden/>
              </w:rPr>
              <w:fldChar w:fldCharType="end"/>
            </w:r>
          </w:hyperlink>
        </w:p>
        <w:p w:rsidR="00794D8F" w:rsidRDefault="000A0E74">
          <w:pPr>
            <w:pStyle w:val="TOC3"/>
            <w:tabs>
              <w:tab w:val="left" w:pos="960"/>
              <w:tab w:val="right" w:leader="dot" w:pos="9016"/>
            </w:tabs>
            <w:rPr>
              <w:rFonts w:eastAsiaTheme="minorEastAsia" w:cstheme="minorBidi"/>
              <w:noProof/>
              <w:sz w:val="22"/>
              <w:szCs w:val="22"/>
              <w:lang w:val="en-GB" w:eastAsia="en-GB"/>
            </w:rPr>
          </w:pPr>
          <w:hyperlink w:anchor="_Toc384293529" w:history="1">
            <w:r w:rsidR="00794D8F" w:rsidRPr="00964E33">
              <w:rPr>
                <w:rStyle w:val="Hyperlink"/>
                <w:noProof/>
              </w:rPr>
              <w:t>5.4.1</w:t>
            </w:r>
            <w:r w:rsidR="00794D8F">
              <w:rPr>
                <w:rFonts w:eastAsiaTheme="minorEastAsia" w:cstheme="minorBidi"/>
                <w:noProof/>
                <w:sz w:val="22"/>
                <w:szCs w:val="22"/>
                <w:lang w:val="en-GB" w:eastAsia="en-GB"/>
              </w:rPr>
              <w:tab/>
            </w:r>
            <w:r w:rsidR="00794D8F" w:rsidRPr="00964E33">
              <w:rPr>
                <w:rStyle w:val="Hyperlink"/>
                <w:noProof/>
              </w:rPr>
              <w:t>Characterisation of chronic risk</w:t>
            </w:r>
            <w:r w:rsidR="00794D8F">
              <w:rPr>
                <w:noProof/>
                <w:webHidden/>
              </w:rPr>
              <w:tab/>
            </w:r>
            <w:r w:rsidR="00794D8F">
              <w:rPr>
                <w:noProof/>
                <w:webHidden/>
              </w:rPr>
              <w:fldChar w:fldCharType="begin"/>
            </w:r>
            <w:r w:rsidR="00794D8F">
              <w:rPr>
                <w:noProof/>
                <w:webHidden/>
              </w:rPr>
              <w:instrText xml:space="preserve"> PAGEREF _Toc384293529 \h </w:instrText>
            </w:r>
            <w:r w:rsidR="00794D8F">
              <w:rPr>
                <w:noProof/>
                <w:webHidden/>
              </w:rPr>
            </w:r>
            <w:r w:rsidR="00794D8F">
              <w:rPr>
                <w:noProof/>
                <w:webHidden/>
              </w:rPr>
              <w:fldChar w:fldCharType="separate"/>
            </w:r>
            <w:r w:rsidR="00794D8F">
              <w:rPr>
                <w:noProof/>
                <w:webHidden/>
              </w:rPr>
              <w:t>38</w:t>
            </w:r>
            <w:r w:rsidR="00794D8F">
              <w:rPr>
                <w:noProof/>
                <w:webHidden/>
              </w:rPr>
              <w:fldChar w:fldCharType="end"/>
            </w:r>
          </w:hyperlink>
        </w:p>
        <w:p w:rsidR="00794D8F" w:rsidRDefault="000A0E74">
          <w:pPr>
            <w:pStyle w:val="TOC3"/>
            <w:tabs>
              <w:tab w:val="left" w:pos="960"/>
              <w:tab w:val="right" w:leader="dot" w:pos="9016"/>
            </w:tabs>
            <w:rPr>
              <w:rFonts w:eastAsiaTheme="minorEastAsia" w:cstheme="minorBidi"/>
              <w:noProof/>
              <w:sz w:val="22"/>
              <w:szCs w:val="22"/>
              <w:lang w:val="en-GB" w:eastAsia="en-GB"/>
            </w:rPr>
          </w:pPr>
          <w:hyperlink w:anchor="_Toc384293530" w:history="1">
            <w:r w:rsidR="00794D8F" w:rsidRPr="00964E33">
              <w:rPr>
                <w:rStyle w:val="Hyperlink"/>
                <w:noProof/>
              </w:rPr>
              <w:t>5.4.2</w:t>
            </w:r>
            <w:r w:rsidR="00794D8F">
              <w:rPr>
                <w:rFonts w:eastAsiaTheme="minorEastAsia" w:cstheme="minorBidi"/>
                <w:noProof/>
                <w:sz w:val="22"/>
                <w:szCs w:val="22"/>
                <w:lang w:val="en-GB" w:eastAsia="en-GB"/>
              </w:rPr>
              <w:tab/>
            </w:r>
            <w:r w:rsidR="00794D8F" w:rsidRPr="00964E33">
              <w:rPr>
                <w:rStyle w:val="Hyperlink"/>
                <w:noProof/>
              </w:rPr>
              <w:t>Characterisation of acute risk</w:t>
            </w:r>
            <w:r w:rsidR="00794D8F">
              <w:rPr>
                <w:noProof/>
                <w:webHidden/>
              </w:rPr>
              <w:tab/>
            </w:r>
            <w:r w:rsidR="00794D8F">
              <w:rPr>
                <w:noProof/>
                <w:webHidden/>
              </w:rPr>
              <w:fldChar w:fldCharType="begin"/>
            </w:r>
            <w:r w:rsidR="00794D8F">
              <w:rPr>
                <w:noProof/>
                <w:webHidden/>
              </w:rPr>
              <w:instrText xml:space="preserve"> PAGEREF _Toc384293530 \h </w:instrText>
            </w:r>
            <w:r w:rsidR="00794D8F">
              <w:rPr>
                <w:noProof/>
                <w:webHidden/>
              </w:rPr>
            </w:r>
            <w:r w:rsidR="00794D8F">
              <w:rPr>
                <w:noProof/>
                <w:webHidden/>
              </w:rPr>
              <w:fldChar w:fldCharType="separate"/>
            </w:r>
            <w:r w:rsidR="00794D8F">
              <w:rPr>
                <w:noProof/>
                <w:webHidden/>
              </w:rPr>
              <w:t>39</w:t>
            </w:r>
            <w:r w:rsidR="00794D8F">
              <w:rPr>
                <w:noProof/>
                <w:webHidden/>
              </w:rPr>
              <w:fldChar w:fldCharType="end"/>
            </w:r>
          </w:hyperlink>
        </w:p>
        <w:p w:rsidR="00794D8F" w:rsidRDefault="000A0E74">
          <w:pPr>
            <w:pStyle w:val="TOC3"/>
            <w:tabs>
              <w:tab w:val="left" w:pos="960"/>
              <w:tab w:val="right" w:leader="dot" w:pos="9016"/>
            </w:tabs>
            <w:rPr>
              <w:rFonts w:eastAsiaTheme="minorEastAsia" w:cstheme="minorBidi"/>
              <w:noProof/>
              <w:sz w:val="22"/>
              <w:szCs w:val="22"/>
              <w:lang w:val="en-GB" w:eastAsia="en-GB"/>
            </w:rPr>
          </w:pPr>
          <w:hyperlink w:anchor="_Toc384293531" w:history="1">
            <w:r w:rsidR="00794D8F" w:rsidRPr="00964E33">
              <w:rPr>
                <w:rStyle w:val="Hyperlink"/>
                <w:noProof/>
              </w:rPr>
              <w:t>5.4.3</w:t>
            </w:r>
            <w:r w:rsidR="00794D8F">
              <w:rPr>
                <w:rFonts w:eastAsiaTheme="minorEastAsia" w:cstheme="minorBidi"/>
                <w:noProof/>
                <w:sz w:val="22"/>
                <w:szCs w:val="22"/>
                <w:lang w:val="en-GB" w:eastAsia="en-GB"/>
              </w:rPr>
              <w:tab/>
            </w:r>
            <w:r w:rsidR="00794D8F" w:rsidRPr="00964E33">
              <w:rPr>
                <w:rStyle w:val="Hyperlink"/>
                <w:noProof/>
              </w:rPr>
              <w:t>Characterisation of acute risk – infant foods</w:t>
            </w:r>
            <w:r w:rsidR="00794D8F">
              <w:rPr>
                <w:noProof/>
                <w:webHidden/>
              </w:rPr>
              <w:tab/>
            </w:r>
            <w:r w:rsidR="00794D8F">
              <w:rPr>
                <w:noProof/>
                <w:webHidden/>
              </w:rPr>
              <w:fldChar w:fldCharType="begin"/>
            </w:r>
            <w:r w:rsidR="00794D8F">
              <w:rPr>
                <w:noProof/>
                <w:webHidden/>
              </w:rPr>
              <w:instrText xml:space="preserve"> PAGEREF _Toc384293531 \h </w:instrText>
            </w:r>
            <w:r w:rsidR="00794D8F">
              <w:rPr>
                <w:noProof/>
                <w:webHidden/>
              </w:rPr>
            </w:r>
            <w:r w:rsidR="00794D8F">
              <w:rPr>
                <w:noProof/>
                <w:webHidden/>
              </w:rPr>
              <w:fldChar w:fldCharType="separate"/>
            </w:r>
            <w:r w:rsidR="00794D8F">
              <w:rPr>
                <w:noProof/>
                <w:webHidden/>
              </w:rPr>
              <w:t>45</w:t>
            </w:r>
            <w:r w:rsidR="00794D8F">
              <w:rPr>
                <w:noProof/>
                <w:webHidden/>
              </w:rPr>
              <w:fldChar w:fldCharType="end"/>
            </w:r>
          </w:hyperlink>
        </w:p>
        <w:p w:rsidR="00794D8F" w:rsidRDefault="000A0E74">
          <w:pPr>
            <w:pStyle w:val="TOC2"/>
            <w:tabs>
              <w:tab w:val="left" w:pos="480"/>
              <w:tab w:val="right" w:leader="dot" w:pos="9016"/>
            </w:tabs>
            <w:rPr>
              <w:rFonts w:eastAsiaTheme="minorEastAsia" w:cstheme="minorBidi"/>
              <w:bCs w:val="0"/>
              <w:noProof/>
              <w:sz w:val="22"/>
              <w:szCs w:val="22"/>
              <w:lang w:val="en-GB" w:eastAsia="en-GB"/>
            </w:rPr>
          </w:pPr>
          <w:hyperlink w:anchor="_Toc384293532" w:history="1">
            <w:r w:rsidR="00794D8F" w:rsidRPr="00964E33">
              <w:rPr>
                <w:rStyle w:val="Hyperlink"/>
                <w:noProof/>
              </w:rPr>
              <w:t>5.6</w:t>
            </w:r>
            <w:r w:rsidR="00794D8F">
              <w:rPr>
                <w:rFonts w:eastAsiaTheme="minorEastAsia" w:cstheme="minorBidi"/>
                <w:bCs w:val="0"/>
                <w:noProof/>
                <w:sz w:val="22"/>
                <w:szCs w:val="22"/>
                <w:lang w:val="en-GB" w:eastAsia="en-GB"/>
              </w:rPr>
              <w:tab/>
            </w:r>
            <w:r w:rsidR="00794D8F" w:rsidRPr="00964E33">
              <w:rPr>
                <w:rStyle w:val="Hyperlink"/>
                <w:noProof/>
              </w:rPr>
              <w:t>Summary of risk assessment</w:t>
            </w:r>
            <w:r w:rsidR="00794D8F">
              <w:rPr>
                <w:noProof/>
                <w:webHidden/>
              </w:rPr>
              <w:tab/>
            </w:r>
            <w:r w:rsidR="00794D8F">
              <w:rPr>
                <w:noProof/>
                <w:webHidden/>
              </w:rPr>
              <w:fldChar w:fldCharType="begin"/>
            </w:r>
            <w:r w:rsidR="00794D8F">
              <w:rPr>
                <w:noProof/>
                <w:webHidden/>
              </w:rPr>
              <w:instrText xml:space="preserve"> PAGEREF _Toc384293532 \h </w:instrText>
            </w:r>
            <w:r w:rsidR="00794D8F">
              <w:rPr>
                <w:noProof/>
                <w:webHidden/>
              </w:rPr>
            </w:r>
            <w:r w:rsidR="00794D8F">
              <w:rPr>
                <w:noProof/>
                <w:webHidden/>
              </w:rPr>
              <w:fldChar w:fldCharType="separate"/>
            </w:r>
            <w:r w:rsidR="00794D8F">
              <w:rPr>
                <w:noProof/>
                <w:webHidden/>
              </w:rPr>
              <w:t>45</w:t>
            </w:r>
            <w:r w:rsidR="00794D8F">
              <w:rPr>
                <w:noProof/>
                <w:webHidden/>
              </w:rPr>
              <w:fldChar w:fldCharType="end"/>
            </w:r>
          </w:hyperlink>
        </w:p>
        <w:p w:rsidR="00794D8F" w:rsidRDefault="000A0E74">
          <w:pPr>
            <w:pStyle w:val="TOC1"/>
            <w:tabs>
              <w:tab w:val="left" w:pos="480"/>
            </w:tabs>
            <w:rPr>
              <w:rFonts w:asciiTheme="minorHAnsi" w:eastAsiaTheme="minorEastAsia" w:hAnsiTheme="minorHAnsi" w:cstheme="minorBidi"/>
              <w:b w:val="0"/>
              <w:bCs w:val="0"/>
              <w:caps w:val="0"/>
              <w:noProof/>
              <w:szCs w:val="22"/>
              <w:lang w:val="en-GB" w:eastAsia="en-GB"/>
            </w:rPr>
          </w:pPr>
          <w:hyperlink w:anchor="_Toc384293533" w:history="1">
            <w:r w:rsidR="00794D8F" w:rsidRPr="00964E33">
              <w:rPr>
                <w:rStyle w:val="Hyperlink"/>
                <w:noProof/>
              </w:rPr>
              <w:t>6.</w:t>
            </w:r>
            <w:r w:rsidR="00794D8F">
              <w:rPr>
                <w:rFonts w:asciiTheme="minorHAnsi" w:eastAsiaTheme="minorEastAsia" w:hAnsiTheme="minorHAnsi" w:cstheme="minorBidi"/>
                <w:b w:val="0"/>
                <w:bCs w:val="0"/>
                <w:caps w:val="0"/>
                <w:noProof/>
                <w:szCs w:val="22"/>
                <w:lang w:val="en-GB" w:eastAsia="en-GB"/>
              </w:rPr>
              <w:tab/>
            </w:r>
            <w:r w:rsidR="00794D8F" w:rsidRPr="00964E33">
              <w:rPr>
                <w:rStyle w:val="Hyperlink"/>
                <w:noProof/>
              </w:rPr>
              <w:t>RISK MANAGEMENT</w:t>
            </w:r>
            <w:r w:rsidR="00794D8F">
              <w:rPr>
                <w:noProof/>
                <w:webHidden/>
              </w:rPr>
              <w:tab/>
            </w:r>
            <w:r w:rsidR="00794D8F">
              <w:rPr>
                <w:noProof/>
                <w:webHidden/>
              </w:rPr>
              <w:fldChar w:fldCharType="begin"/>
            </w:r>
            <w:r w:rsidR="00794D8F">
              <w:rPr>
                <w:noProof/>
                <w:webHidden/>
              </w:rPr>
              <w:instrText xml:space="preserve"> PAGEREF _Toc384293533 \h </w:instrText>
            </w:r>
            <w:r w:rsidR="00794D8F">
              <w:rPr>
                <w:noProof/>
                <w:webHidden/>
              </w:rPr>
            </w:r>
            <w:r w:rsidR="00794D8F">
              <w:rPr>
                <w:noProof/>
                <w:webHidden/>
              </w:rPr>
              <w:fldChar w:fldCharType="separate"/>
            </w:r>
            <w:r w:rsidR="00794D8F">
              <w:rPr>
                <w:noProof/>
                <w:webHidden/>
              </w:rPr>
              <w:t>47</w:t>
            </w:r>
            <w:r w:rsidR="00794D8F">
              <w:rPr>
                <w:noProof/>
                <w:webHidden/>
              </w:rPr>
              <w:fldChar w:fldCharType="end"/>
            </w:r>
          </w:hyperlink>
        </w:p>
        <w:p w:rsidR="00794D8F" w:rsidRDefault="000A0E74">
          <w:pPr>
            <w:pStyle w:val="TOC1"/>
            <w:tabs>
              <w:tab w:val="left" w:pos="480"/>
            </w:tabs>
            <w:rPr>
              <w:rFonts w:asciiTheme="minorHAnsi" w:eastAsiaTheme="minorEastAsia" w:hAnsiTheme="minorHAnsi" w:cstheme="minorBidi"/>
              <w:b w:val="0"/>
              <w:bCs w:val="0"/>
              <w:caps w:val="0"/>
              <w:noProof/>
              <w:szCs w:val="22"/>
              <w:lang w:val="en-GB" w:eastAsia="en-GB"/>
            </w:rPr>
          </w:pPr>
          <w:hyperlink w:anchor="_Toc384293534" w:history="1">
            <w:r w:rsidR="00794D8F" w:rsidRPr="00964E33">
              <w:rPr>
                <w:rStyle w:val="Hyperlink"/>
                <w:noProof/>
              </w:rPr>
              <w:t>7.</w:t>
            </w:r>
            <w:r w:rsidR="00794D8F">
              <w:rPr>
                <w:rFonts w:asciiTheme="minorHAnsi" w:eastAsiaTheme="minorEastAsia" w:hAnsiTheme="minorHAnsi" w:cstheme="minorBidi"/>
                <w:b w:val="0"/>
                <w:bCs w:val="0"/>
                <w:caps w:val="0"/>
                <w:noProof/>
                <w:szCs w:val="22"/>
                <w:lang w:val="en-GB" w:eastAsia="en-GB"/>
              </w:rPr>
              <w:tab/>
            </w:r>
            <w:r w:rsidR="00794D8F" w:rsidRPr="00964E33">
              <w:rPr>
                <w:rStyle w:val="Hyperlink"/>
                <w:noProof/>
              </w:rPr>
              <w:t>CONCLUSIONS</w:t>
            </w:r>
            <w:r w:rsidR="00794D8F">
              <w:rPr>
                <w:noProof/>
                <w:webHidden/>
              </w:rPr>
              <w:tab/>
            </w:r>
            <w:r w:rsidR="00794D8F">
              <w:rPr>
                <w:noProof/>
                <w:webHidden/>
              </w:rPr>
              <w:fldChar w:fldCharType="begin"/>
            </w:r>
            <w:r w:rsidR="00794D8F">
              <w:rPr>
                <w:noProof/>
                <w:webHidden/>
              </w:rPr>
              <w:instrText xml:space="preserve"> PAGEREF _Toc384293534 \h </w:instrText>
            </w:r>
            <w:r w:rsidR="00794D8F">
              <w:rPr>
                <w:noProof/>
                <w:webHidden/>
              </w:rPr>
            </w:r>
            <w:r w:rsidR="00794D8F">
              <w:rPr>
                <w:noProof/>
                <w:webHidden/>
              </w:rPr>
              <w:fldChar w:fldCharType="separate"/>
            </w:r>
            <w:r w:rsidR="00794D8F">
              <w:rPr>
                <w:noProof/>
                <w:webHidden/>
              </w:rPr>
              <w:t>48</w:t>
            </w:r>
            <w:r w:rsidR="00794D8F">
              <w:rPr>
                <w:noProof/>
                <w:webHidden/>
              </w:rPr>
              <w:fldChar w:fldCharType="end"/>
            </w:r>
          </w:hyperlink>
        </w:p>
        <w:p w:rsidR="00794D8F" w:rsidRDefault="000A0E74">
          <w:pPr>
            <w:pStyle w:val="TOC1"/>
            <w:tabs>
              <w:tab w:val="left" w:pos="480"/>
            </w:tabs>
            <w:rPr>
              <w:rFonts w:asciiTheme="minorHAnsi" w:eastAsiaTheme="minorEastAsia" w:hAnsiTheme="minorHAnsi" w:cstheme="minorBidi"/>
              <w:b w:val="0"/>
              <w:bCs w:val="0"/>
              <w:caps w:val="0"/>
              <w:noProof/>
              <w:szCs w:val="22"/>
              <w:lang w:val="en-GB" w:eastAsia="en-GB"/>
            </w:rPr>
          </w:pPr>
          <w:hyperlink w:anchor="_Toc384293535" w:history="1">
            <w:r w:rsidR="00794D8F" w:rsidRPr="00964E33">
              <w:rPr>
                <w:rStyle w:val="Hyperlink"/>
                <w:noProof/>
              </w:rPr>
              <w:t>8.</w:t>
            </w:r>
            <w:r w:rsidR="00794D8F">
              <w:rPr>
                <w:rFonts w:asciiTheme="minorHAnsi" w:eastAsiaTheme="minorEastAsia" w:hAnsiTheme="minorHAnsi" w:cstheme="minorBidi"/>
                <w:b w:val="0"/>
                <w:bCs w:val="0"/>
                <w:caps w:val="0"/>
                <w:noProof/>
                <w:szCs w:val="22"/>
                <w:lang w:val="en-GB" w:eastAsia="en-GB"/>
              </w:rPr>
              <w:tab/>
            </w:r>
            <w:r w:rsidR="00794D8F" w:rsidRPr="00964E33">
              <w:rPr>
                <w:rStyle w:val="Hyperlink"/>
                <w:noProof/>
              </w:rPr>
              <w:t>ACKNOWLEDGEMENTS</w:t>
            </w:r>
            <w:r w:rsidR="00794D8F">
              <w:rPr>
                <w:noProof/>
                <w:webHidden/>
              </w:rPr>
              <w:tab/>
            </w:r>
            <w:r w:rsidR="00794D8F">
              <w:rPr>
                <w:noProof/>
                <w:webHidden/>
              </w:rPr>
              <w:fldChar w:fldCharType="begin"/>
            </w:r>
            <w:r w:rsidR="00794D8F">
              <w:rPr>
                <w:noProof/>
                <w:webHidden/>
              </w:rPr>
              <w:instrText xml:space="preserve"> PAGEREF _Toc384293535 \h </w:instrText>
            </w:r>
            <w:r w:rsidR="00794D8F">
              <w:rPr>
                <w:noProof/>
                <w:webHidden/>
              </w:rPr>
            </w:r>
            <w:r w:rsidR="00794D8F">
              <w:rPr>
                <w:noProof/>
                <w:webHidden/>
              </w:rPr>
              <w:fldChar w:fldCharType="separate"/>
            </w:r>
            <w:r w:rsidR="00794D8F">
              <w:rPr>
                <w:noProof/>
                <w:webHidden/>
              </w:rPr>
              <w:t>49</w:t>
            </w:r>
            <w:r w:rsidR="00794D8F">
              <w:rPr>
                <w:noProof/>
                <w:webHidden/>
              </w:rPr>
              <w:fldChar w:fldCharType="end"/>
            </w:r>
          </w:hyperlink>
        </w:p>
        <w:p w:rsidR="00794D8F" w:rsidRDefault="000A0E74">
          <w:pPr>
            <w:pStyle w:val="TOC1"/>
            <w:tabs>
              <w:tab w:val="left" w:pos="480"/>
            </w:tabs>
            <w:rPr>
              <w:rFonts w:asciiTheme="minorHAnsi" w:eastAsiaTheme="minorEastAsia" w:hAnsiTheme="minorHAnsi" w:cstheme="minorBidi"/>
              <w:b w:val="0"/>
              <w:bCs w:val="0"/>
              <w:caps w:val="0"/>
              <w:noProof/>
              <w:szCs w:val="22"/>
              <w:lang w:val="en-GB" w:eastAsia="en-GB"/>
            </w:rPr>
          </w:pPr>
          <w:hyperlink w:anchor="_Toc384293536" w:history="1">
            <w:r w:rsidR="00794D8F" w:rsidRPr="00964E33">
              <w:rPr>
                <w:rStyle w:val="Hyperlink"/>
                <w:noProof/>
              </w:rPr>
              <w:t>9.</w:t>
            </w:r>
            <w:r w:rsidR="00794D8F">
              <w:rPr>
                <w:rFonts w:asciiTheme="minorHAnsi" w:eastAsiaTheme="minorEastAsia" w:hAnsiTheme="minorHAnsi" w:cstheme="minorBidi"/>
                <w:b w:val="0"/>
                <w:bCs w:val="0"/>
                <w:caps w:val="0"/>
                <w:noProof/>
                <w:szCs w:val="22"/>
                <w:lang w:val="en-GB" w:eastAsia="en-GB"/>
              </w:rPr>
              <w:tab/>
            </w:r>
            <w:r w:rsidR="00794D8F" w:rsidRPr="00964E33">
              <w:rPr>
                <w:rStyle w:val="Hyperlink"/>
                <w:noProof/>
              </w:rPr>
              <w:t>REFERENCES</w:t>
            </w:r>
            <w:r w:rsidR="00794D8F">
              <w:rPr>
                <w:noProof/>
                <w:webHidden/>
              </w:rPr>
              <w:tab/>
            </w:r>
            <w:r w:rsidR="00794D8F">
              <w:rPr>
                <w:noProof/>
                <w:webHidden/>
              </w:rPr>
              <w:fldChar w:fldCharType="begin"/>
            </w:r>
            <w:r w:rsidR="00794D8F">
              <w:rPr>
                <w:noProof/>
                <w:webHidden/>
              </w:rPr>
              <w:instrText xml:space="preserve"> PAGEREF _Toc384293536 \h </w:instrText>
            </w:r>
            <w:r w:rsidR="00794D8F">
              <w:rPr>
                <w:noProof/>
                <w:webHidden/>
              </w:rPr>
            </w:r>
            <w:r w:rsidR="00794D8F">
              <w:rPr>
                <w:noProof/>
                <w:webHidden/>
              </w:rPr>
              <w:fldChar w:fldCharType="separate"/>
            </w:r>
            <w:r w:rsidR="00794D8F">
              <w:rPr>
                <w:noProof/>
                <w:webHidden/>
              </w:rPr>
              <w:t>50</w:t>
            </w:r>
            <w:r w:rsidR="00794D8F">
              <w:rPr>
                <w:noProof/>
                <w:webHidden/>
              </w:rPr>
              <w:fldChar w:fldCharType="end"/>
            </w:r>
          </w:hyperlink>
        </w:p>
        <w:p w:rsidR="00794D8F" w:rsidRDefault="000A0E74">
          <w:pPr>
            <w:pStyle w:val="TOC1"/>
            <w:rPr>
              <w:rFonts w:asciiTheme="minorHAnsi" w:eastAsiaTheme="minorEastAsia" w:hAnsiTheme="minorHAnsi" w:cstheme="minorBidi"/>
              <w:b w:val="0"/>
              <w:bCs w:val="0"/>
              <w:caps w:val="0"/>
              <w:noProof/>
              <w:szCs w:val="22"/>
              <w:lang w:val="en-GB" w:eastAsia="en-GB"/>
            </w:rPr>
          </w:pPr>
          <w:hyperlink w:anchor="_Toc384293537" w:history="1">
            <w:r w:rsidR="00794D8F" w:rsidRPr="00964E33">
              <w:rPr>
                <w:rStyle w:val="Hyperlink"/>
                <w:noProof/>
              </w:rPr>
              <w:t>Appendix 1. Glossary of terms</w:t>
            </w:r>
            <w:r w:rsidR="00794D8F">
              <w:rPr>
                <w:noProof/>
                <w:webHidden/>
              </w:rPr>
              <w:tab/>
            </w:r>
            <w:r w:rsidR="00794D8F">
              <w:rPr>
                <w:noProof/>
                <w:webHidden/>
              </w:rPr>
              <w:fldChar w:fldCharType="begin"/>
            </w:r>
            <w:r w:rsidR="00794D8F">
              <w:rPr>
                <w:noProof/>
                <w:webHidden/>
              </w:rPr>
              <w:instrText xml:space="preserve"> PAGEREF _Toc384293537 \h </w:instrText>
            </w:r>
            <w:r w:rsidR="00794D8F">
              <w:rPr>
                <w:noProof/>
                <w:webHidden/>
              </w:rPr>
            </w:r>
            <w:r w:rsidR="00794D8F">
              <w:rPr>
                <w:noProof/>
                <w:webHidden/>
              </w:rPr>
              <w:fldChar w:fldCharType="separate"/>
            </w:r>
            <w:r w:rsidR="00794D8F">
              <w:rPr>
                <w:noProof/>
                <w:webHidden/>
              </w:rPr>
              <w:t>54</w:t>
            </w:r>
            <w:r w:rsidR="00794D8F">
              <w:rPr>
                <w:noProof/>
                <w:webHidden/>
              </w:rPr>
              <w:fldChar w:fldCharType="end"/>
            </w:r>
          </w:hyperlink>
        </w:p>
        <w:p w:rsidR="00794D8F" w:rsidRDefault="000A0E74">
          <w:pPr>
            <w:pStyle w:val="TOC1"/>
            <w:rPr>
              <w:rFonts w:asciiTheme="minorHAnsi" w:eastAsiaTheme="minorEastAsia" w:hAnsiTheme="minorHAnsi" w:cstheme="minorBidi"/>
              <w:b w:val="0"/>
              <w:bCs w:val="0"/>
              <w:caps w:val="0"/>
              <w:noProof/>
              <w:szCs w:val="22"/>
              <w:lang w:val="en-GB" w:eastAsia="en-GB"/>
            </w:rPr>
          </w:pPr>
          <w:hyperlink w:anchor="_Toc384293538" w:history="1">
            <w:r w:rsidR="00794D8F" w:rsidRPr="00964E33">
              <w:rPr>
                <w:rStyle w:val="Hyperlink"/>
                <w:noProof/>
              </w:rPr>
              <w:t>Appendix 2. Food preparation instructions for foods requiring cooking</w:t>
            </w:r>
            <w:r w:rsidR="00794D8F">
              <w:rPr>
                <w:noProof/>
                <w:webHidden/>
              </w:rPr>
              <w:tab/>
            </w:r>
            <w:r w:rsidR="00794D8F">
              <w:rPr>
                <w:noProof/>
                <w:webHidden/>
              </w:rPr>
              <w:fldChar w:fldCharType="begin"/>
            </w:r>
            <w:r w:rsidR="00794D8F">
              <w:rPr>
                <w:noProof/>
                <w:webHidden/>
              </w:rPr>
              <w:instrText xml:space="preserve"> PAGEREF _Toc384293538 \h </w:instrText>
            </w:r>
            <w:r w:rsidR="00794D8F">
              <w:rPr>
                <w:noProof/>
                <w:webHidden/>
              </w:rPr>
            </w:r>
            <w:r w:rsidR="00794D8F">
              <w:rPr>
                <w:noProof/>
                <w:webHidden/>
              </w:rPr>
              <w:fldChar w:fldCharType="separate"/>
            </w:r>
            <w:r w:rsidR="00794D8F">
              <w:rPr>
                <w:noProof/>
                <w:webHidden/>
              </w:rPr>
              <w:t>56</w:t>
            </w:r>
            <w:r w:rsidR="00794D8F">
              <w:rPr>
                <w:noProof/>
                <w:webHidden/>
              </w:rPr>
              <w:fldChar w:fldCharType="end"/>
            </w:r>
          </w:hyperlink>
        </w:p>
        <w:p w:rsidR="00794D8F" w:rsidRDefault="000A0E74">
          <w:pPr>
            <w:pStyle w:val="TOC1"/>
            <w:rPr>
              <w:rFonts w:asciiTheme="minorHAnsi" w:eastAsiaTheme="minorEastAsia" w:hAnsiTheme="minorHAnsi" w:cstheme="minorBidi"/>
              <w:b w:val="0"/>
              <w:bCs w:val="0"/>
              <w:caps w:val="0"/>
              <w:noProof/>
              <w:szCs w:val="22"/>
              <w:lang w:val="en-GB" w:eastAsia="en-GB"/>
            </w:rPr>
          </w:pPr>
          <w:hyperlink w:anchor="_Toc384293539" w:history="1">
            <w:r w:rsidR="00794D8F" w:rsidRPr="00964E33">
              <w:rPr>
                <w:rStyle w:val="Hyperlink"/>
                <w:noProof/>
              </w:rPr>
              <w:t>Appendix 3. Analytical results</w:t>
            </w:r>
            <w:r w:rsidR="00794D8F">
              <w:rPr>
                <w:noProof/>
                <w:webHidden/>
              </w:rPr>
              <w:tab/>
            </w:r>
            <w:r w:rsidR="00794D8F">
              <w:rPr>
                <w:noProof/>
                <w:webHidden/>
              </w:rPr>
              <w:fldChar w:fldCharType="begin"/>
            </w:r>
            <w:r w:rsidR="00794D8F">
              <w:rPr>
                <w:noProof/>
                <w:webHidden/>
              </w:rPr>
              <w:instrText xml:space="preserve"> PAGEREF _Toc384293539 \h </w:instrText>
            </w:r>
            <w:r w:rsidR="00794D8F">
              <w:rPr>
                <w:noProof/>
                <w:webHidden/>
              </w:rPr>
            </w:r>
            <w:r w:rsidR="00794D8F">
              <w:rPr>
                <w:noProof/>
                <w:webHidden/>
              </w:rPr>
              <w:fldChar w:fldCharType="separate"/>
            </w:r>
            <w:r w:rsidR="00794D8F">
              <w:rPr>
                <w:noProof/>
                <w:webHidden/>
              </w:rPr>
              <w:t>58</w:t>
            </w:r>
            <w:r w:rsidR="00794D8F">
              <w:rPr>
                <w:noProof/>
                <w:webHidden/>
              </w:rPr>
              <w:fldChar w:fldCharType="end"/>
            </w:r>
          </w:hyperlink>
        </w:p>
        <w:p w:rsidR="00794D8F" w:rsidRDefault="000A0E74">
          <w:pPr>
            <w:pStyle w:val="TOC1"/>
            <w:rPr>
              <w:rFonts w:asciiTheme="minorHAnsi" w:eastAsiaTheme="minorEastAsia" w:hAnsiTheme="minorHAnsi" w:cstheme="minorBidi"/>
              <w:b w:val="0"/>
              <w:bCs w:val="0"/>
              <w:caps w:val="0"/>
              <w:noProof/>
              <w:szCs w:val="22"/>
              <w:lang w:val="en-GB" w:eastAsia="en-GB"/>
            </w:rPr>
          </w:pPr>
          <w:hyperlink w:anchor="_Toc384293540" w:history="1">
            <w:r w:rsidR="00794D8F" w:rsidRPr="00964E33">
              <w:rPr>
                <w:rStyle w:val="Hyperlink"/>
                <w:noProof/>
              </w:rPr>
              <w:t>Appendix 4. Concentration data used in the dietary exposure assessment</w:t>
            </w:r>
            <w:r w:rsidR="00794D8F">
              <w:rPr>
                <w:noProof/>
                <w:webHidden/>
              </w:rPr>
              <w:tab/>
            </w:r>
            <w:r w:rsidR="00794D8F">
              <w:rPr>
                <w:noProof/>
                <w:webHidden/>
              </w:rPr>
              <w:fldChar w:fldCharType="begin"/>
            </w:r>
            <w:r w:rsidR="00794D8F">
              <w:rPr>
                <w:noProof/>
                <w:webHidden/>
              </w:rPr>
              <w:instrText xml:space="preserve"> PAGEREF _Toc384293540 \h </w:instrText>
            </w:r>
            <w:r w:rsidR="00794D8F">
              <w:rPr>
                <w:noProof/>
                <w:webHidden/>
              </w:rPr>
            </w:r>
            <w:r w:rsidR="00794D8F">
              <w:rPr>
                <w:noProof/>
                <w:webHidden/>
              </w:rPr>
              <w:fldChar w:fldCharType="separate"/>
            </w:r>
            <w:r w:rsidR="00794D8F">
              <w:rPr>
                <w:noProof/>
                <w:webHidden/>
              </w:rPr>
              <w:t>61</w:t>
            </w:r>
            <w:r w:rsidR="00794D8F">
              <w:rPr>
                <w:noProof/>
                <w:webHidden/>
              </w:rPr>
              <w:fldChar w:fldCharType="end"/>
            </w:r>
          </w:hyperlink>
        </w:p>
        <w:p w:rsidR="00794D8F" w:rsidRDefault="000A0E74">
          <w:pPr>
            <w:pStyle w:val="TOC1"/>
            <w:rPr>
              <w:rFonts w:asciiTheme="minorHAnsi" w:eastAsiaTheme="minorEastAsia" w:hAnsiTheme="minorHAnsi" w:cstheme="minorBidi"/>
              <w:b w:val="0"/>
              <w:bCs w:val="0"/>
              <w:caps w:val="0"/>
              <w:noProof/>
              <w:szCs w:val="22"/>
              <w:lang w:val="en-GB" w:eastAsia="en-GB"/>
            </w:rPr>
          </w:pPr>
          <w:hyperlink w:anchor="_Toc384293541" w:history="1">
            <w:r w:rsidR="00794D8F" w:rsidRPr="00964E33">
              <w:rPr>
                <w:rStyle w:val="Hyperlink"/>
                <w:noProof/>
              </w:rPr>
              <w:t>Appendix 5. Total hydrocyanic acid concentrations for specific foods for the dietary exposure assessment</w:t>
            </w:r>
            <w:r w:rsidR="00794D8F">
              <w:rPr>
                <w:noProof/>
                <w:webHidden/>
              </w:rPr>
              <w:tab/>
            </w:r>
            <w:r w:rsidR="00794D8F">
              <w:rPr>
                <w:noProof/>
                <w:webHidden/>
              </w:rPr>
              <w:fldChar w:fldCharType="begin"/>
            </w:r>
            <w:r w:rsidR="00794D8F">
              <w:rPr>
                <w:noProof/>
                <w:webHidden/>
              </w:rPr>
              <w:instrText xml:space="preserve"> PAGEREF _Toc384293541 \h </w:instrText>
            </w:r>
            <w:r w:rsidR="00794D8F">
              <w:rPr>
                <w:noProof/>
                <w:webHidden/>
              </w:rPr>
            </w:r>
            <w:r w:rsidR="00794D8F">
              <w:rPr>
                <w:noProof/>
                <w:webHidden/>
              </w:rPr>
              <w:fldChar w:fldCharType="separate"/>
            </w:r>
            <w:r w:rsidR="00794D8F">
              <w:rPr>
                <w:noProof/>
                <w:webHidden/>
              </w:rPr>
              <w:t>63</w:t>
            </w:r>
            <w:r w:rsidR="00794D8F">
              <w:rPr>
                <w:noProof/>
                <w:webHidden/>
              </w:rPr>
              <w:fldChar w:fldCharType="end"/>
            </w:r>
          </w:hyperlink>
        </w:p>
        <w:p w:rsidR="00794D8F" w:rsidRDefault="000A0E74">
          <w:pPr>
            <w:pStyle w:val="TOC1"/>
            <w:rPr>
              <w:rFonts w:asciiTheme="minorHAnsi" w:eastAsiaTheme="minorEastAsia" w:hAnsiTheme="minorHAnsi" w:cstheme="minorBidi"/>
              <w:b w:val="0"/>
              <w:bCs w:val="0"/>
              <w:caps w:val="0"/>
              <w:noProof/>
              <w:szCs w:val="22"/>
              <w:lang w:val="en-GB" w:eastAsia="en-GB"/>
            </w:rPr>
          </w:pPr>
          <w:hyperlink w:anchor="_Toc384293542" w:history="1">
            <w:r w:rsidR="00794D8F" w:rsidRPr="00964E33">
              <w:rPr>
                <w:rStyle w:val="Hyperlink"/>
                <w:noProof/>
              </w:rPr>
              <w:t>Appendix 6. Concentration data for RTE cassava chips used in the dietary exposure assessment</w:t>
            </w:r>
            <w:r w:rsidR="00794D8F">
              <w:rPr>
                <w:noProof/>
                <w:webHidden/>
              </w:rPr>
              <w:tab/>
            </w:r>
            <w:r w:rsidR="00794D8F">
              <w:rPr>
                <w:noProof/>
                <w:webHidden/>
              </w:rPr>
              <w:fldChar w:fldCharType="begin"/>
            </w:r>
            <w:r w:rsidR="00794D8F">
              <w:rPr>
                <w:noProof/>
                <w:webHidden/>
              </w:rPr>
              <w:instrText xml:space="preserve"> PAGEREF _Toc384293542 \h </w:instrText>
            </w:r>
            <w:r w:rsidR="00794D8F">
              <w:rPr>
                <w:noProof/>
                <w:webHidden/>
              </w:rPr>
            </w:r>
            <w:r w:rsidR="00794D8F">
              <w:rPr>
                <w:noProof/>
                <w:webHidden/>
              </w:rPr>
              <w:fldChar w:fldCharType="separate"/>
            </w:r>
            <w:r w:rsidR="00794D8F">
              <w:rPr>
                <w:noProof/>
                <w:webHidden/>
              </w:rPr>
              <w:t>65</w:t>
            </w:r>
            <w:r w:rsidR="00794D8F">
              <w:rPr>
                <w:noProof/>
                <w:webHidden/>
              </w:rPr>
              <w:fldChar w:fldCharType="end"/>
            </w:r>
          </w:hyperlink>
        </w:p>
        <w:p w:rsidR="00794D8F" w:rsidRDefault="000A0E74">
          <w:pPr>
            <w:pStyle w:val="TOC1"/>
            <w:rPr>
              <w:rFonts w:asciiTheme="minorHAnsi" w:eastAsiaTheme="minorEastAsia" w:hAnsiTheme="minorHAnsi" w:cstheme="minorBidi"/>
              <w:b w:val="0"/>
              <w:bCs w:val="0"/>
              <w:caps w:val="0"/>
              <w:noProof/>
              <w:szCs w:val="22"/>
              <w:lang w:val="en-GB" w:eastAsia="en-GB"/>
            </w:rPr>
          </w:pPr>
          <w:hyperlink w:anchor="_Toc384293543" w:history="1">
            <w:r w:rsidR="00794D8F" w:rsidRPr="00964E33">
              <w:rPr>
                <w:rStyle w:val="Hyperlink"/>
                <w:noProof/>
              </w:rPr>
              <w:t>Appendix 7. Consumption data - additional information about specific foods</w:t>
            </w:r>
            <w:r w:rsidR="00794D8F">
              <w:rPr>
                <w:noProof/>
                <w:webHidden/>
              </w:rPr>
              <w:tab/>
            </w:r>
            <w:r w:rsidR="00794D8F">
              <w:rPr>
                <w:noProof/>
                <w:webHidden/>
              </w:rPr>
              <w:fldChar w:fldCharType="begin"/>
            </w:r>
            <w:r w:rsidR="00794D8F">
              <w:rPr>
                <w:noProof/>
                <w:webHidden/>
              </w:rPr>
              <w:instrText xml:space="preserve"> PAGEREF _Toc384293543 \h </w:instrText>
            </w:r>
            <w:r w:rsidR="00794D8F">
              <w:rPr>
                <w:noProof/>
                <w:webHidden/>
              </w:rPr>
            </w:r>
            <w:r w:rsidR="00794D8F">
              <w:rPr>
                <w:noProof/>
                <w:webHidden/>
              </w:rPr>
              <w:fldChar w:fldCharType="separate"/>
            </w:r>
            <w:r w:rsidR="00794D8F">
              <w:rPr>
                <w:noProof/>
                <w:webHidden/>
              </w:rPr>
              <w:t>66</w:t>
            </w:r>
            <w:r w:rsidR="00794D8F">
              <w:rPr>
                <w:noProof/>
                <w:webHidden/>
              </w:rPr>
              <w:fldChar w:fldCharType="end"/>
            </w:r>
          </w:hyperlink>
        </w:p>
        <w:p w:rsidR="00794D8F" w:rsidRDefault="000A0E74">
          <w:pPr>
            <w:pStyle w:val="TOC1"/>
            <w:rPr>
              <w:rFonts w:asciiTheme="minorHAnsi" w:eastAsiaTheme="minorEastAsia" w:hAnsiTheme="minorHAnsi" w:cstheme="minorBidi"/>
              <w:b w:val="0"/>
              <w:bCs w:val="0"/>
              <w:caps w:val="0"/>
              <w:noProof/>
              <w:szCs w:val="22"/>
              <w:lang w:val="en-GB" w:eastAsia="en-GB"/>
            </w:rPr>
          </w:pPr>
          <w:hyperlink w:anchor="_Toc384293544" w:history="1">
            <w:r w:rsidR="00794D8F" w:rsidRPr="00964E33">
              <w:rPr>
                <w:rStyle w:val="Hyperlink"/>
                <w:noProof/>
              </w:rPr>
              <w:t>Appendix 8. Food mapping</w:t>
            </w:r>
            <w:r w:rsidR="00794D8F">
              <w:rPr>
                <w:noProof/>
                <w:webHidden/>
              </w:rPr>
              <w:tab/>
            </w:r>
            <w:r w:rsidR="00794D8F">
              <w:rPr>
                <w:noProof/>
                <w:webHidden/>
              </w:rPr>
              <w:fldChar w:fldCharType="begin"/>
            </w:r>
            <w:r w:rsidR="00794D8F">
              <w:rPr>
                <w:noProof/>
                <w:webHidden/>
              </w:rPr>
              <w:instrText xml:space="preserve"> PAGEREF _Toc384293544 \h </w:instrText>
            </w:r>
            <w:r w:rsidR="00794D8F">
              <w:rPr>
                <w:noProof/>
                <w:webHidden/>
              </w:rPr>
            </w:r>
            <w:r w:rsidR="00794D8F">
              <w:rPr>
                <w:noProof/>
                <w:webHidden/>
              </w:rPr>
              <w:fldChar w:fldCharType="separate"/>
            </w:r>
            <w:r w:rsidR="00794D8F">
              <w:rPr>
                <w:noProof/>
                <w:webHidden/>
              </w:rPr>
              <w:t>68</w:t>
            </w:r>
            <w:r w:rsidR="00794D8F">
              <w:rPr>
                <w:noProof/>
                <w:webHidden/>
              </w:rPr>
              <w:fldChar w:fldCharType="end"/>
            </w:r>
          </w:hyperlink>
        </w:p>
        <w:p w:rsidR="00794D8F" w:rsidRDefault="000A0E74">
          <w:pPr>
            <w:pStyle w:val="TOC1"/>
            <w:rPr>
              <w:rFonts w:asciiTheme="minorHAnsi" w:eastAsiaTheme="minorEastAsia" w:hAnsiTheme="minorHAnsi" w:cstheme="minorBidi"/>
              <w:b w:val="0"/>
              <w:bCs w:val="0"/>
              <w:caps w:val="0"/>
              <w:noProof/>
              <w:szCs w:val="22"/>
              <w:lang w:val="en-GB" w:eastAsia="en-GB"/>
            </w:rPr>
          </w:pPr>
          <w:hyperlink w:anchor="_Toc384293545" w:history="1">
            <w:r w:rsidR="00794D8F" w:rsidRPr="00964E33">
              <w:rPr>
                <w:rStyle w:val="Hyperlink"/>
                <w:noProof/>
              </w:rPr>
              <w:t>Appendix 9. Foods contributing to chronic dietary exposure</w:t>
            </w:r>
            <w:r w:rsidR="00794D8F">
              <w:rPr>
                <w:noProof/>
                <w:webHidden/>
              </w:rPr>
              <w:tab/>
            </w:r>
            <w:r w:rsidR="00794D8F">
              <w:rPr>
                <w:noProof/>
                <w:webHidden/>
              </w:rPr>
              <w:fldChar w:fldCharType="begin"/>
            </w:r>
            <w:r w:rsidR="00794D8F">
              <w:rPr>
                <w:noProof/>
                <w:webHidden/>
              </w:rPr>
              <w:instrText xml:space="preserve"> PAGEREF _Toc384293545 \h </w:instrText>
            </w:r>
            <w:r w:rsidR="00794D8F">
              <w:rPr>
                <w:noProof/>
                <w:webHidden/>
              </w:rPr>
            </w:r>
            <w:r w:rsidR="00794D8F">
              <w:rPr>
                <w:noProof/>
                <w:webHidden/>
              </w:rPr>
              <w:fldChar w:fldCharType="separate"/>
            </w:r>
            <w:r w:rsidR="00794D8F">
              <w:rPr>
                <w:noProof/>
                <w:webHidden/>
              </w:rPr>
              <w:t>70</w:t>
            </w:r>
            <w:r w:rsidR="00794D8F">
              <w:rPr>
                <w:noProof/>
                <w:webHidden/>
              </w:rPr>
              <w:fldChar w:fldCharType="end"/>
            </w:r>
          </w:hyperlink>
        </w:p>
        <w:p w:rsidR="00794D8F" w:rsidRDefault="000A0E74">
          <w:pPr>
            <w:pStyle w:val="TOC1"/>
            <w:rPr>
              <w:rFonts w:asciiTheme="minorHAnsi" w:eastAsiaTheme="minorEastAsia" w:hAnsiTheme="minorHAnsi" w:cstheme="minorBidi"/>
              <w:b w:val="0"/>
              <w:bCs w:val="0"/>
              <w:caps w:val="0"/>
              <w:noProof/>
              <w:szCs w:val="22"/>
              <w:lang w:val="en-GB" w:eastAsia="en-GB"/>
            </w:rPr>
          </w:pPr>
          <w:hyperlink w:anchor="_Toc384293546" w:history="1">
            <w:r w:rsidR="00794D8F" w:rsidRPr="00964E33">
              <w:rPr>
                <w:rStyle w:val="Hyperlink"/>
                <w:noProof/>
              </w:rPr>
              <w:t>Appendix 10. Estimated acute dietary exposures to HCN</w:t>
            </w:r>
            <w:r w:rsidR="00794D8F">
              <w:rPr>
                <w:noProof/>
                <w:webHidden/>
              </w:rPr>
              <w:tab/>
            </w:r>
            <w:r w:rsidR="00794D8F">
              <w:rPr>
                <w:noProof/>
                <w:webHidden/>
              </w:rPr>
              <w:fldChar w:fldCharType="begin"/>
            </w:r>
            <w:r w:rsidR="00794D8F">
              <w:rPr>
                <w:noProof/>
                <w:webHidden/>
              </w:rPr>
              <w:instrText xml:space="preserve"> PAGEREF _Toc384293546 \h </w:instrText>
            </w:r>
            <w:r w:rsidR="00794D8F">
              <w:rPr>
                <w:noProof/>
                <w:webHidden/>
              </w:rPr>
            </w:r>
            <w:r w:rsidR="00794D8F">
              <w:rPr>
                <w:noProof/>
                <w:webHidden/>
              </w:rPr>
              <w:fldChar w:fldCharType="separate"/>
            </w:r>
            <w:r w:rsidR="00794D8F">
              <w:rPr>
                <w:noProof/>
                <w:webHidden/>
              </w:rPr>
              <w:t>71</w:t>
            </w:r>
            <w:r w:rsidR="00794D8F">
              <w:rPr>
                <w:noProof/>
                <w:webHidden/>
              </w:rPr>
              <w:fldChar w:fldCharType="end"/>
            </w:r>
          </w:hyperlink>
        </w:p>
        <w:p w:rsidR="00A40AEA" w:rsidRPr="00B46F5F" w:rsidRDefault="009A661C" w:rsidP="00117FDB">
          <w:pPr>
            <w:rPr>
              <w:noProof/>
            </w:rPr>
          </w:pPr>
          <w:r w:rsidRPr="00B46F5F">
            <w:rPr>
              <w:b/>
              <w:bCs/>
              <w:noProof/>
            </w:rPr>
            <w:fldChar w:fldCharType="end"/>
          </w:r>
        </w:p>
      </w:sdtContent>
    </w:sdt>
    <w:p w:rsidR="00117FDB" w:rsidRDefault="00A37734" w:rsidP="00117FDB">
      <w:r w:rsidRPr="00B46F5F">
        <w:fldChar w:fldCharType="end"/>
      </w:r>
      <w:r w:rsidR="00117FDB">
        <w:br w:type="page"/>
      </w:r>
    </w:p>
    <w:p w:rsidR="00A37734" w:rsidRDefault="00A37734" w:rsidP="00174316">
      <w:pPr>
        <w:pStyle w:val="Heading2LT"/>
      </w:pPr>
    </w:p>
    <w:p w:rsidR="00A37734" w:rsidRDefault="00A37734" w:rsidP="00FA307F">
      <w:pPr>
        <w:rPr>
          <w:rFonts w:cs="Arial"/>
          <w:b/>
          <w:szCs w:val="22"/>
        </w:rPr>
      </w:pPr>
      <w:r w:rsidRPr="002A5FBE">
        <w:rPr>
          <w:rFonts w:cs="Arial"/>
          <w:b/>
          <w:szCs w:val="22"/>
        </w:rPr>
        <w:t>L</w:t>
      </w:r>
      <w:r w:rsidR="00FA307F" w:rsidRPr="002A5FBE">
        <w:rPr>
          <w:rFonts w:cs="Arial"/>
          <w:b/>
          <w:szCs w:val="22"/>
        </w:rPr>
        <w:t>IST</w:t>
      </w:r>
      <w:r w:rsidR="00FA307F" w:rsidRPr="00FA307F">
        <w:rPr>
          <w:rFonts w:cs="Arial"/>
          <w:b/>
          <w:szCs w:val="22"/>
        </w:rPr>
        <w:t xml:space="preserve"> OF TABLES</w:t>
      </w:r>
    </w:p>
    <w:p w:rsidR="00900D1D" w:rsidRPr="00FA307F" w:rsidRDefault="00900D1D" w:rsidP="00900D1D">
      <w:pPr>
        <w:spacing w:line="360" w:lineRule="auto"/>
        <w:rPr>
          <w:rFonts w:cs="Arial"/>
          <w:b/>
          <w:szCs w:val="22"/>
        </w:rPr>
      </w:pPr>
    </w:p>
    <w:p w:rsidR="00794D8F" w:rsidRDefault="00A37734">
      <w:pPr>
        <w:pStyle w:val="TableofFigures"/>
        <w:tabs>
          <w:tab w:val="right" w:leader="dot" w:pos="9016"/>
        </w:tabs>
        <w:rPr>
          <w:rFonts w:eastAsiaTheme="minorEastAsia" w:cstheme="minorBidi"/>
          <w:noProof/>
          <w:sz w:val="22"/>
          <w:szCs w:val="22"/>
          <w:lang w:val="en-GB" w:eastAsia="en-GB"/>
        </w:rPr>
      </w:pPr>
      <w:r>
        <w:fldChar w:fldCharType="begin"/>
      </w:r>
      <w:r>
        <w:instrText xml:space="preserve"> TOC \f F \h \z \t "Heading 3 LT" \c </w:instrText>
      </w:r>
      <w:r>
        <w:fldChar w:fldCharType="separate"/>
      </w:r>
      <w:hyperlink w:anchor="_Toc384293547" w:history="1">
        <w:r w:rsidR="00794D8F" w:rsidRPr="00C67022">
          <w:rPr>
            <w:rStyle w:val="Hyperlink"/>
            <w:noProof/>
          </w:rPr>
          <w:t>Table 1: Sample type and sample numbers for Survey 1 of cyanogenic glycosides in plant-based foods</w:t>
        </w:r>
        <w:r w:rsidR="00794D8F">
          <w:rPr>
            <w:noProof/>
            <w:webHidden/>
          </w:rPr>
          <w:tab/>
        </w:r>
        <w:r w:rsidR="00794D8F">
          <w:rPr>
            <w:noProof/>
            <w:webHidden/>
          </w:rPr>
          <w:fldChar w:fldCharType="begin"/>
        </w:r>
        <w:r w:rsidR="00794D8F">
          <w:rPr>
            <w:noProof/>
            <w:webHidden/>
          </w:rPr>
          <w:instrText xml:space="preserve"> PAGEREF _Toc384293547 \h </w:instrText>
        </w:r>
        <w:r w:rsidR="00794D8F">
          <w:rPr>
            <w:noProof/>
            <w:webHidden/>
          </w:rPr>
        </w:r>
        <w:r w:rsidR="00794D8F">
          <w:rPr>
            <w:noProof/>
            <w:webHidden/>
          </w:rPr>
          <w:fldChar w:fldCharType="separate"/>
        </w:r>
        <w:r w:rsidR="00794D8F">
          <w:rPr>
            <w:noProof/>
            <w:webHidden/>
          </w:rPr>
          <w:t>16</w:t>
        </w:r>
        <w:r w:rsidR="00794D8F">
          <w:rPr>
            <w:noProof/>
            <w:webHidden/>
          </w:rPr>
          <w:fldChar w:fldCharType="end"/>
        </w:r>
      </w:hyperlink>
    </w:p>
    <w:p w:rsidR="00794D8F" w:rsidRDefault="000A0E74">
      <w:pPr>
        <w:pStyle w:val="TableofFigures"/>
        <w:tabs>
          <w:tab w:val="right" w:leader="dot" w:pos="9016"/>
        </w:tabs>
        <w:rPr>
          <w:rFonts w:eastAsiaTheme="minorEastAsia" w:cstheme="minorBidi"/>
          <w:noProof/>
          <w:sz w:val="22"/>
          <w:szCs w:val="22"/>
          <w:lang w:val="en-GB" w:eastAsia="en-GB"/>
        </w:rPr>
      </w:pPr>
      <w:hyperlink w:anchor="_Toc384293548" w:history="1">
        <w:r w:rsidR="00794D8F" w:rsidRPr="00C67022">
          <w:rPr>
            <w:rStyle w:val="Hyperlink"/>
            <w:noProof/>
          </w:rPr>
          <w:t>Table 2: Sample type and sample numbers for Survey 2 of cyanogenic glycosides in apple juice</w:t>
        </w:r>
        <w:r w:rsidR="00794D8F">
          <w:rPr>
            <w:noProof/>
            <w:webHidden/>
          </w:rPr>
          <w:tab/>
        </w:r>
        <w:r w:rsidR="00794D8F">
          <w:rPr>
            <w:noProof/>
            <w:webHidden/>
          </w:rPr>
          <w:fldChar w:fldCharType="begin"/>
        </w:r>
        <w:r w:rsidR="00794D8F">
          <w:rPr>
            <w:noProof/>
            <w:webHidden/>
          </w:rPr>
          <w:instrText xml:space="preserve"> PAGEREF _Toc384293548 \h </w:instrText>
        </w:r>
        <w:r w:rsidR="00794D8F">
          <w:rPr>
            <w:noProof/>
            <w:webHidden/>
          </w:rPr>
        </w:r>
        <w:r w:rsidR="00794D8F">
          <w:rPr>
            <w:noProof/>
            <w:webHidden/>
          </w:rPr>
          <w:fldChar w:fldCharType="separate"/>
        </w:r>
        <w:r w:rsidR="00794D8F">
          <w:rPr>
            <w:noProof/>
            <w:webHidden/>
          </w:rPr>
          <w:t>17</w:t>
        </w:r>
        <w:r w:rsidR="00794D8F">
          <w:rPr>
            <w:noProof/>
            <w:webHidden/>
          </w:rPr>
          <w:fldChar w:fldCharType="end"/>
        </w:r>
      </w:hyperlink>
    </w:p>
    <w:p w:rsidR="00794D8F" w:rsidRDefault="000A0E74">
      <w:pPr>
        <w:pStyle w:val="TableofFigures"/>
        <w:tabs>
          <w:tab w:val="right" w:leader="dot" w:pos="9016"/>
        </w:tabs>
        <w:rPr>
          <w:rFonts w:eastAsiaTheme="minorEastAsia" w:cstheme="minorBidi"/>
          <w:noProof/>
          <w:sz w:val="22"/>
          <w:szCs w:val="22"/>
          <w:lang w:val="en-GB" w:eastAsia="en-GB"/>
        </w:rPr>
      </w:pPr>
      <w:hyperlink w:anchor="_Toc384293549" w:history="1">
        <w:r w:rsidR="00794D8F" w:rsidRPr="00C67022">
          <w:rPr>
            <w:rStyle w:val="Hyperlink"/>
            <w:noProof/>
          </w:rPr>
          <w:t>Table 3: Characteristics of retail apple juice samples included in Survey 2 of cyanogenic glycosides in apple juice</w:t>
        </w:r>
        <w:r w:rsidR="00794D8F">
          <w:rPr>
            <w:noProof/>
            <w:webHidden/>
          </w:rPr>
          <w:tab/>
        </w:r>
        <w:r w:rsidR="00794D8F">
          <w:rPr>
            <w:noProof/>
            <w:webHidden/>
          </w:rPr>
          <w:fldChar w:fldCharType="begin"/>
        </w:r>
        <w:r w:rsidR="00794D8F">
          <w:rPr>
            <w:noProof/>
            <w:webHidden/>
          </w:rPr>
          <w:instrText xml:space="preserve"> PAGEREF _Toc384293549 \h </w:instrText>
        </w:r>
        <w:r w:rsidR="00794D8F">
          <w:rPr>
            <w:noProof/>
            <w:webHidden/>
          </w:rPr>
        </w:r>
        <w:r w:rsidR="00794D8F">
          <w:rPr>
            <w:noProof/>
            <w:webHidden/>
          </w:rPr>
          <w:fldChar w:fldCharType="separate"/>
        </w:r>
        <w:r w:rsidR="00794D8F">
          <w:rPr>
            <w:noProof/>
            <w:webHidden/>
          </w:rPr>
          <w:t>18</w:t>
        </w:r>
        <w:r w:rsidR="00794D8F">
          <w:rPr>
            <w:noProof/>
            <w:webHidden/>
          </w:rPr>
          <w:fldChar w:fldCharType="end"/>
        </w:r>
      </w:hyperlink>
    </w:p>
    <w:p w:rsidR="00794D8F" w:rsidRDefault="000A0E74">
      <w:pPr>
        <w:pStyle w:val="TableofFigures"/>
        <w:tabs>
          <w:tab w:val="right" w:leader="dot" w:pos="9016"/>
        </w:tabs>
        <w:rPr>
          <w:rFonts w:eastAsiaTheme="minorEastAsia" w:cstheme="minorBidi"/>
          <w:noProof/>
          <w:sz w:val="22"/>
          <w:szCs w:val="22"/>
          <w:lang w:val="en-GB" w:eastAsia="en-GB"/>
        </w:rPr>
      </w:pPr>
      <w:hyperlink w:anchor="_Toc384293550" w:history="1">
        <w:r w:rsidR="00794D8F" w:rsidRPr="00C67022">
          <w:rPr>
            <w:rStyle w:val="Hyperlink"/>
            <w:noProof/>
          </w:rPr>
          <w:t>Table 4: Sample type and sample numbers for Survey 3 of cyanogenic glycosides in apricot kernels and plant-based foods</w:t>
        </w:r>
        <w:r w:rsidR="00794D8F">
          <w:rPr>
            <w:noProof/>
            <w:webHidden/>
          </w:rPr>
          <w:tab/>
        </w:r>
        <w:r w:rsidR="00794D8F">
          <w:rPr>
            <w:noProof/>
            <w:webHidden/>
          </w:rPr>
          <w:fldChar w:fldCharType="begin"/>
        </w:r>
        <w:r w:rsidR="00794D8F">
          <w:rPr>
            <w:noProof/>
            <w:webHidden/>
          </w:rPr>
          <w:instrText xml:space="preserve"> PAGEREF _Toc384293550 \h </w:instrText>
        </w:r>
        <w:r w:rsidR="00794D8F">
          <w:rPr>
            <w:noProof/>
            <w:webHidden/>
          </w:rPr>
        </w:r>
        <w:r w:rsidR="00794D8F">
          <w:rPr>
            <w:noProof/>
            <w:webHidden/>
          </w:rPr>
          <w:fldChar w:fldCharType="separate"/>
        </w:r>
        <w:r w:rsidR="00794D8F">
          <w:rPr>
            <w:noProof/>
            <w:webHidden/>
          </w:rPr>
          <w:t>19</w:t>
        </w:r>
        <w:r w:rsidR="00794D8F">
          <w:rPr>
            <w:noProof/>
            <w:webHidden/>
          </w:rPr>
          <w:fldChar w:fldCharType="end"/>
        </w:r>
      </w:hyperlink>
    </w:p>
    <w:p w:rsidR="00794D8F" w:rsidRDefault="000A0E74">
      <w:pPr>
        <w:pStyle w:val="TableofFigures"/>
        <w:tabs>
          <w:tab w:val="right" w:leader="dot" w:pos="9016"/>
        </w:tabs>
        <w:rPr>
          <w:rFonts w:eastAsiaTheme="minorEastAsia" w:cstheme="minorBidi"/>
          <w:noProof/>
          <w:sz w:val="22"/>
          <w:szCs w:val="22"/>
          <w:lang w:val="en-GB" w:eastAsia="en-GB"/>
        </w:rPr>
      </w:pPr>
      <w:hyperlink w:anchor="_Toc384293551" w:history="1">
        <w:r w:rsidR="00794D8F" w:rsidRPr="00C67022">
          <w:rPr>
            <w:rStyle w:val="Hyperlink"/>
            <w:noProof/>
          </w:rPr>
          <w:t>Table 5: Summary information on limits of detection (LoDs) achieved in Surveys 1, 2 and 3 using the acid hydrolysis and EU HPLC methods of analysis for total HCN</w:t>
        </w:r>
        <w:r w:rsidR="00794D8F">
          <w:rPr>
            <w:noProof/>
            <w:webHidden/>
          </w:rPr>
          <w:tab/>
        </w:r>
        <w:r w:rsidR="00794D8F">
          <w:rPr>
            <w:noProof/>
            <w:webHidden/>
          </w:rPr>
          <w:fldChar w:fldCharType="begin"/>
        </w:r>
        <w:r w:rsidR="00794D8F">
          <w:rPr>
            <w:noProof/>
            <w:webHidden/>
          </w:rPr>
          <w:instrText xml:space="preserve"> PAGEREF _Toc384293551 \h </w:instrText>
        </w:r>
        <w:r w:rsidR="00794D8F">
          <w:rPr>
            <w:noProof/>
            <w:webHidden/>
          </w:rPr>
        </w:r>
        <w:r w:rsidR="00794D8F">
          <w:rPr>
            <w:noProof/>
            <w:webHidden/>
          </w:rPr>
          <w:fldChar w:fldCharType="separate"/>
        </w:r>
        <w:r w:rsidR="00794D8F">
          <w:rPr>
            <w:noProof/>
            <w:webHidden/>
          </w:rPr>
          <w:t>21</w:t>
        </w:r>
        <w:r w:rsidR="00794D8F">
          <w:rPr>
            <w:noProof/>
            <w:webHidden/>
          </w:rPr>
          <w:fldChar w:fldCharType="end"/>
        </w:r>
      </w:hyperlink>
    </w:p>
    <w:p w:rsidR="00794D8F" w:rsidRDefault="000A0E74">
      <w:pPr>
        <w:pStyle w:val="TableofFigures"/>
        <w:tabs>
          <w:tab w:val="right" w:leader="dot" w:pos="9016"/>
        </w:tabs>
        <w:rPr>
          <w:rFonts w:eastAsiaTheme="minorEastAsia" w:cstheme="minorBidi"/>
          <w:noProof/>
          <w:sz w:val="22"/>
          <w:szCs w:val="22"/>
          <w:lang w:val="en-GB" w:eastAsia="en-GB"/>
        </w:rPr>
      </w:pPr>
      <w:hyperlink w:anchor="_Toc384293552" w:history="1">
        <w:r w:rsidR="00794D8F" w:rsidRPr="00C67022">
          <w:rPr>
            <w:rStyle w:val="Hyperlink"/>
            <w:noProof/>
          </w:rPr>
          <w:t>Table 6: Summary information for four apple juice samples available in Australia and New Zealand analysed which had detectable levels of total HCN</w:t>
        </w:r>
        <w:r w:rsidR="00794D8F">
          <w:rPr>
            <w:noProof/>
            <w:webHidden/>
          </w:rPr>
          <w:tab/>
        </w:r>
        <w:r w:rsidR="00794D8F">
          <w:rPr>
            <w:noProof/>
            <w:webHidden/>
          </w:rPr>
          <w:fldChar w:fldCharType="begin"/>
        </w:r>
        <w:r w:rsidR="00794D8F">
          <w:rPr>
            <w:noProof/>
            <w:webHidden/>
          </w:rPr>
          <w:instrText xml:space="preserve"> PAGEREF _Toc384293552 \h </w:instrText>
        </w:r>
        <w:r w:rsidR="00794D8F">
          <w:rPr>
            <w:noProof/>
            <w:webHidden/>
          </w:rPr>
        </w:r>
        <w:r w:rsidR="00794D8F">
          <w:rPr>
            <w:noProof/>
            <w:webHidden/>
          </w:rPr>
          <w:fldChar w:fldCharType="separate"/>
        </w:r>
        <w:r w:rsidR="00794D8F">
          <w:rPr>
            <w:noProof/>
            <w:webHidden/>
          </w:rPr>
          <w:t>23</w:t>
        </w:r>
        <w:r w:rsidR="00794D8F">
          <w:rPr>
            <w:noProof/>
            <w:webHidden/>
          </w:rPr>
          <w:fldChar w:fldCharType="end"/>
        </w:r>
      </w:hyperlink>
    </w:p>
    <w:p w:rsidR="00794D8F" w:rsidRDefault="000A0E74">
      <w:pPr>
        <w:pStyle w:val="TableofFigures"/>
        <w:tabs>
          <w:tab w:val="right" w:leader="dot" w:pos="9016"/>
        </w:tabs>
        <w:rPr>
          <w:rFonts w:eastAsiaTheme="minorEastAsia" w:cstheme="minorBidi"/>
          <w:noProof/>
          <w:sz w:val="22"/>
          <w:szCs w:val="22"/>
          <w:lang w:val="en-GB" w:eastAsia="en-GB"/>
        </w:rPr>
      </w:pPr>
      <w:hyperlink w:anchor="_Toc384293553" w:history="1">
        <w:r w:rsidR="00794D8F" w:rsidRPr="00C67022">
          <w:rPr>
            <w:rStyle w:val="Hyperlink"/>
            <w:noProof/>
          </w:rPr>
          <w:t>Table 7: Comparison of levels of total HCN (mg HCN/kg) obtained for apple products using acid hydrolysis and EU HPLC analytical methods</w:t>
        </w:r>
        <w:r w:rsidR="00794D8F">
          <w:rPr>
            <w:noProof/>
            <w:webHidden/>
          </w:rPr>
          <w:tab/>
        </w:r>
        <w:r w:rsidR="00794D8F">
          <w:rPr>
            <w:noProof/>
            <w:webHidden/>
          </w:rPr>
          <w:fldChar w:fldCharType="begin"/>
        </w:r>
        <w:r w:rsidR="00794D8F">
          <w:rPr>
            <w:noProof/>
            <w:webHidden/>
          </w:rPr>
          <w:instrText xml:space="preserve"> PAGEREF _Toc384293553 \h </w:instrText>
        </w:r>
        <w:r w:rsidR="00794D8F">
          <w:rPr>
            <w:noProof/>
            <w:webHidden/>
          </w:rPr>
        </w:r>
        <w:r w:rsidR="00794D8F">
          <w:rPr>
            <w:noProof/>
            <w:webHidden/>
          </w:rPr>
          <w:fldChar w:fldCharType="separate"/>
        </w:r>
        <w:r w:rsidR="00794D8F">
          <w:rPr>
            <w:noProof/>
            <w:webHidden/>
          </w:rPr>
          <w:t>27</w:t>
        </w:r>
        <w:r w:rsidR="00794D8F">
          <w:rPr>
            <w:noProof/>
            <w:webHidden/>
          </w:rPr>
          <w:fldChar w:fldCharType="end"/>
        </w:r>
      </w:hyperlink>
    </w:p>
    <w:p w:rsidR="00794D8F" w:rsidRDefault="000A0E74">
      <w:pPr>
        <w:pStyle w:val="TableofFigures"/>
        <w:tabs>
          <w:tab w:val="right" w:leader="dot" w:pos="9016"/>
        </w:tabs>
        <w:rPr>
          <w:rFonts w:eastAsiaTheme="minorEastAsia" w:cstheme="minorBidi"/>
          <w:noProof/>
          <w:sz w:val="22"/>
          <w:szCs w:val="22"/>
          <w:lang w:val="en-GB" w:eastAsia="en-GB"/>
        </w:rPr>
      </w:pPr>
      <w:hyperlink w:anchor="_Toc384293554" w:history="1">
        <w:r w:rsidR="00794D8F" w:rsidRPr="00C67022">
          <w:rPr>
            <w:rStyle w:val="Hyperlink"/>
            <w:noProof/>
          </w:rPr>
          <w:t>Table 8: Population groups assessed for acute and chronic dietary exposure assessments</w:t>
        </w:r>
        <w:r w:rsidR="00794D8F">
          <w:rPr>
            <w:noProof/>
            <w:webHidden/>
          </w:rPr>
          <w:tab/>
        </w:r>
        <w:r w:rsidR="00794D8F">
          <w:rPr>
            <w:noProof/>
            <w:webHidden/>
          </w:rPr>
          <w:fldChar w:fldCharType="begin"/>
        </w:r>
        <w:r w:rsidR="00794D8F">
          <w:rPr>
            <w:noProof/>
            <w:webHidden/>
          </w:rPr>
          <w:instrText xml:space="preserve"> PAGEREF _Toc384293554 \h </w:instrText>
        </w:r>
        <w:r w:rsidR="00794D8F">
          <w:rPr>
            <w:noProof/>
            <w:webHidden/>
          </w:rPr>
        </w:r>
        <w:r w:rsidR="00794D8F">
          <w:rPr>
            <w:noProof/>
            <w:webHidden/>
          </w:rPr>
          <w:fldChar w:fldCharType="separate"/>
        </w:r>
        <w:r w:rsidR="00794D8F">
          <w:rPr>
            <w:noProof/>
            <w:webHidden/>
          </w:rPr>
          <w:t>35</w:t>
        </w:r>
        <w:r w:rsidR="00794D8F">
          <w:rPr>
            <w:noProof/>
            <w:webHidden/>
          </w:rPr>
          <w:fldChar w:fldCharType="end"/>
        </w:r>
      </w:hyperlink>
    </w:p>
    <w:p w:rsidR="00794D8F" w:rsidRDefault="000A0E74">
      <w:pPr>
        <w:pStyle w:val="TableofFigures"/>
        <w:tabs>
          <w:tab w:val="right" w:leader="dot" w:pos="9016"/>
        </w:tabs>
        <w:rPr>
          <w:rFonts w:eastAsiaTheme="minorEastAsia" w:cstheme="minorBidi"/>
          <w:noProof/>
          <w:sz w:val="22"/>
          <w:szCs w:val="22"/>
          <w:lang w:val="en-GB" w:eastAsia="en-GB"/>
        </w:rPr>
      </w:pPr>
      <w:hyperlink w:anchor="_Toc384293555" w:history="1">
        <w:r w:rsidR="00794D8F" w:rsidRPr="00C67022">
          <w:rPr>
            <w:rStyle w:val="Hyperlink"/>
            <w:noProof/>
          </w:rPr>
          <w:t>Table 9: Mean body weights for population groups used in the acute dietary exposure assessment</w:t>
        </w:r>
        <w:r w:rsidR="00794D8F">
          <w:rPr>
            <w:noProof/>
            <w:webHidden/>
          </w:rPr>
          <w:tab/>
        </w:r>
        <w:r w:rsidR="00794D8F">
          <w:rPr>
            <w:noProof/>
            <w:webHidden/>
          </w:rPr>
          <w:fldChar w:fldCharType="begin"/>
        </w:r>
        <w:r w:rsidR="00794D8F">
          <w:rPr>
            <w:noProof/>
            <w:webHidden/>
          </w:rPr>
          <w:instrText xml:space="preserve"> PAGEREF _Toc384293555 \h </w:instrText>
        </w:r>
        <w:r w:rsidR="00794D8F">
          <w:rPr>
            <w:noProof/>
            <w:webHidden/>
          </w:rPr>
        </w:r>
        <w:r w:rsidR="00794D8F">
          <w:rPr>
            <w:noProof/>
            <w:webHidden/>
          </w:rPr>
          <w:fldChar w:fldCharType="separate"/>
        </w:r>
        <w:r w:rsidR="00794D8F">
          <w:rPr>
            <w:noProof/>
            <w:webHidden/>
          </w:rPr>
          <w:t>35</w:t>
        </w:r>
        <w:r w:rsidR="00794D8F">
          <w:rPr>
            <w:noProof/>
            <w:webHidden/>
          </w:rPr>
          <w:fldChar w:fldCharType="end"/>
        </w:r>
      </w:hyperlink>
    </w:p>
    <w:p w:rsidR="00794D8F" w:rsidRDefault="000A0E74">
      <w:pPr>
        <w:pStyle w:val="TableofFigures"/>
        <w:tabs>
          <w:tab w:val="right" w:leader="dot" w:pos="9016"/>
        </w:tabs>
        <w:rPr>
          <w:rFonts w:eastAsiaTheme="minorEastAsia" w:cstheme="minorBidi"/>
          <w:noProof/>
          <w:sz w:val="22"/>
          <w:szCs w:val="22"/>
          <w:lang w:val="en-GB" w:eastAsia="en-GB"/>
        </w:rPr>
      </w:pPr>
      <w:hyperlink w:anchor="_Toc384293556" w:history="1">
        <w:r w:rsidR="00794D8F" w:rsidRPr="00C67022">
          <w:rPr>
            <w:rStyle w:val="Hyperlink"/>
            <w:noProof/>
          </w:rPr>
          <w:t>Table 10: Estimated chronic dietary exposures for consumers of foods containing cyanogenic glycosides (measured as total HCN) for Australian and New Zealand population groups</w:t>
        </w:r>
        <w:r w:rsidR="00794D8F">
          <w:rPr>
            <w:noProof/>
            <w:webHidden/>
          </w:rPr>
          <w:tab/>
        </w:r>
        <w:r w:rsidR="00794D8F">
          <w:rPr>
            <w:noProof/>
            <w:webHidden/>
          </w:rPr>
          <w:fldChar w:fldCharType="begin"/>
        </w:r>
        <w:r w:rsidR="00794D8F">
          <w:rPr>
            <w:noProof/>
            <w:webHidden/>
          </w:rPr>
          <w:instrText xml:space="preserve"> PAGEREF _Toc384293556 \h </w:instrText>
        </w:r>
        <w:r w:rsidR="00794D8F">
          <w:rPr>
            <w:noProof/>
            <w:webHidden/>
          </w:rPr>
        </w:r>
        <w:r w:rsidR="00794D8F">
          <w:rPr>
            <w:noProof/>
            <w:webHidden/>
          </w:rPr>
          <w:fldChar w:fldCharType="separate"/>
        </w:r>
        <w:r w:rsidR="00794D8F">
          <w:rPr>
            <w:noProof/>
            <w:webHidden/>
          </w:rPr>
          <w:t>37</w:t>
        </w:r>
        <w:r w:rsidR="00794D8F">
          <w:rPr>
            <w:noProof/>
            <w:webHidden/>
          </w:rPr>
          <w:fldChar w:fldCharType="end"/>
        </w:r>
      </w:hyperlink>
    </w:p>
    <w:p w:rsidR="00794D8F" w:rsidRDefault="000A0E74">
      <w:pPr>
        <w:pStyle w:val="TableofFigures"/>
        <w:tabs>
          <w:tab w:val="right" w:leader="dot" w:pos="9016"/>
        </w:tabs>
        <w:rPr>
          <w:rFonts w:eastAsiaTheme="minorEastAsia" w:cstheme="minorBidi"/>
          <w:noProof/>
          <w:sz w:val="22"/>
          <w:szCs w:val="22"/>
          <w:lang w:val="en-GB" w:eastAsia="en-GB"/>
        </w:rPr>
      </w:pPr>
      <w:hyperlink w:anchor="_Toc384293557" w:history="1">
        <w:r w:rsidR="00794D8F" w:rsidRPr="00C67022">
          <w:rPr>
            <w:rStyle w:val="Hyperlink"/>
            <w:noProof/>
          </w:rPr>
          <w:t>Table 11: Major contributors (≥5%) to chronic dietary exposure to total HCN for the population groups assessed</w:t>
        </w:r>
        <w:r w:rsidR="00794D8F">
          <w:rPr>
            <w:noProof/>
            <w:webHidden/>
          </w:rPr>
          <w:tab/>
        </w:r>
        <w:r w:rsidR="00794D8F">
          <w:rPr>
            <w:noProof/>
            <w:webHidden/>
          </w:rPr>
          <w:fldChar w:fldCharType="begin"/>
        </w:r>
        <w:r w:rsidR="00794D8F">
          <w:rPr>
            <w:noProof/>
            <w:webHidden/>
          </w:rPr>
          <w:instrText xml:space="preserve"> PAGEREF _Toc384293557 \h </w:instrText>
        </w:r>
        <w:r w:rsidR="00794D8F">
          <w:rPr>
            <w:noProof/>
            <w:webHidden/>
          </w:rPr>
        </w:r>
        <w:r w:rsidR="00794D8F">
          <w:rPr>
            <w:noProof/>
            <w:webHidden/>
          </w:rPr>
          <w:fldChar w:fldCharType="separate"/>
        </w:r>
        <w:r w:rsidR="00794D8F">
          <w:rPr>
            <w:noProof/>
            <w:webHidden/>
          </w:rPr>
          <w:t>38</w:t>
        </w:r>
        <w:r w:rsidR="00794D8F">
          <w:rPr>
            <w:noProof/>
            <w:webHidden/>
          </w:rPr>
          <w:fldChar w:fldCharType="end"/>
        </w:r>
      </w:hyperlink>
    </w:p>
    <w:p w:rsidR="00794D8F" w:rsidRDefault="000A0E74">
      <w:pPr>
        <w:pStyle w:val="TableofFigures"/>
        <w:tabs>
          <w:tab w:val="right" w:leader="dot" w:pos="9016"/>
        </w:tabs>
        <w:rPr>
          <w:rFonts w:eastAsiaTheme="minorEastAsia" w:cstheme="minorBidi"/>
          <w:noProof/>
          <w:sz w:val="22"/>
          <w:szCs w:val="22"/>
          <w:lang w:val="en-GB" w:eastAsia="en-GB"/>
        </w:rPr>
      </w:pPr>
      <w:hyperlink w:anchor="_Toc384293558" w:history="1">
        <w:r w:rsidR="00794D8F" w:rsidRPr="00C67022">
          <w:rPr>
            <w:rStyle w:val="Hyperlink"/>
            <w:noProof/>
          </w:rPr>
          <w:t>Table 12: Estimated chronic dietary exposures to HCN for Australian and New Zealand population groups as a per cent of the provisional maximum tolerable daily intake (PMTDI) (%)</w:t>
        </w:r>
        <w:r w:rsidR="00794D8F">
          <w:rPr>
            <w:noProof/>
            <w:webHidden/>
          </w:rPr>
          <w:tab/>
        </w:r>
        <w:r w:rsidR="00794D8F">
          <w:rPr>
            <w:noProof/>
            <w:webHidden/>
          </w:rPr>
          <w:fldChar w:fldCharType="begin"/>
        </w:r>
        <w:r w:rsidR="00794D8F">
          <w:rPr>
            <w:noProof/>
            <w:webHidden/>
          </w:rPr>
          <w:instrText xml:space="preserve"> PAGEREF _Toc384293558 \h </w:instrText>
        </w:r>
        <w:r w:rsidR="00794D8F">
          <w:rPr>
            <w:noProof/>
            <w:webHidden/>
          </w:rPr>
        </w:r>
        <w:r w:rsidR="00794D8F">
          <w:rPr>
            <w:noProof/>
            <w:webHidden/>
          </w:rPr>
          <w:fldChar w:fldCharType="separate"/>
        </w:r>
        <w:r w:rsidR="00794D8F">
          <w:rPr>
            <w:noProof/>
            <w:webHidden/>
          </w:rPr>
          <w:t>39</w:t>
        </w:r>
        <w:r w:rsidR="00794D8F">
          <w:rPr>
            <w:noProof/>
            <w:webHidden/>
          </w:rPr>
          <w:fldChar w:fldCharType="end"/>
        </w:r>
      </w:hyperlink>
    </w:p>
    <w:p w:rsidR="00794D8F" w:rsidRDefault="000A0E74">
      <w:pPr>
        <w:pStyle w:val="TableofFigures"/>
        <w:tabs>
          <w:tab w:val="right" w:leader="dot" w:pos="9016"/>
        </w:tabs>
        <w:rPr>
          <w:rFonts w:eastAsiaTheme="minorEastAsia" w:cstheme="minorBidi"/>
          <w:noProof/>
          <w:sz w:val="22"/>
          <w:szCs w:val="22"/>
          <w:lang w:val="en-GB" w:eastAsia="en-GB"/>
        </w:rPr>
      </w:pPr>
      <w:hyperlink w:anchor="_Toc384293559" w:history="1">
        <w:r w:rsidR="00794D8F" w:rsidRPr="00C67022">
          <w:rPr>
            <w:rStyle w:val="Hyperlink"/>
            <w:noProof/>
          </w:rPr>
          <w:t>Table 13: Estimated acute dietary exposures to total HCN for Australian and New Zealand population groups as a per cent of the acute reference dose (ARfD) (%)</w:t>
        </w:r>
        <w:r w:rsidR="00794D8F">
          <w:rPr>
            <w:noProof/>
            <w:webHidden/>
          </w:rPr>
          <w:tab/>
        </w:r>
        <w:r w:rsidR="00794D8F">
          <w:rPr>
            <w:noProof/>
            <w:webHidden/>
          </w:rPr>
          <w:fldChar w:fldCharType="begin"/>
        </w:r>
        <w:r w:rsidR="00794D8F">
          <w:rPr>
            <w:noProof/>
            <w:webHidden/>
          </w:rPr>
          <w:instrText xml:space="preserve"> PAGEREF _Toc384293559 \h </w:instrText>
        </w:r>
        <w:r w:rsidR="00794D8F">
          <w:rPr>
            <w:noProof/>
            <w:webHidden/>
          </w:rPr>
        </w:r>
        <w:r w:rsidR="00794D8F">
          <w:rPr>
            <w:noProof/>
            <w:webHidden/>
          </w:rPr>
          <w:fldChar w:fldCharType="separate"/>
        </w:r>
        <w:r w:rsidR="00794D8F">
          <w:rPr>
            <w:noProof/>
            <w:webHidden/>
          </w:rPr>
          <w:t>40</w:t>
        </w:r>
        <w:r w:rsidR="00794D8F">
          <w:rPr>
            <w:noProof/>
            <w:webHidden/>
          </w:rPr>
          <w:fldChar w:fldCharType="end"/>
        </w:r>
      </w:hyperlink>
    </w:p>
    <w:p w:rsidR="00794D8F" w:rsidRDefault="000A0E74">
      <w:pPr>
        <w:pStyle w:val="TableofFigures"/>
        <w:tabs>
          <w:tab w:val="right" w:leader="dot" w:pos="9016"/>
        </w:tabs>
        <w:rPr>
          <w:rFonts w:eastAsiaTheme="minorEastAsia" w:cstheme="minorBidi"/>
          <w:noProof/>
          <w:sz w:val="22"/>
          <w:szCs w:val="22"/>
          <w:lang w:val="en-GB" w:eastAsia="en-GB"/>
        </w:rPr>
      </w:pPr>
      <w:hyperlink w:anchor="_Toc384293560" w:history="1">
        <w:r w:rsidR="00794D8F" w:rsidRPr="00C67022">
          <w:rPr>
            <w:rStyle w:val="Hyperlink"/>
            <w:rFonts w:eastAsia="Calibri"/>
            <w:noProof/>
            <w:lang w:val="en-GB" w:eastAsia="en-US"/>
          </w:rPr>
          <w:t>Table 14: %ARfD reached at different concentrations of total HCN in cooked cassava roots*</w:t>
        </w:r>
        <w:r w:rsidR="00794D8F">
          <w:rPr>
            <w:noProof/>
            <w:webHidden/>
          </w:rPr>
          <w:tab/>
        </w:r>
        <w:r w:rsidR="00794D8F">
          <w:rPr>
            <w:noProof/>
            <w:webHidden/>
          </w:rPr>
          <w:fldChar w:fldCharType="begin"/>
        </w:r>
        <w:r w:rsidR="00794D8F">
          <w:rPr>
            <w:noProof/>
            <w:webHidden/>
          </w:rPr>
          <w:instrText xml:space="preserve"> PAGEREF _Toc384293560 \h </w:instrText>
        </w:r>
        <w:r w:rsidR="00794D8F">
          <w:rPr>
            <w:noProof/>
            <w:webHidden/>
          </w:rPr>
        </w:r>
        <w:r w:rsidR="00794D8F">
          <w:rPr>
            <w:noProof/>
            <w:webHidden/>
          </w:rPr>
          <w:fldChar w:fldCharType="separate"/>
        </w:r>
        <w:r w:rsidR="00794D8F">
          <w:rPr>
            <w:noProof/>
            <w:webHidden/>
          </w:rPr>
          <w:t>41</w:t>
        </w:r>
        <w:r w:rsidR="00794D8F">
          <w:rPr>
            <w:noProof/>
            <w:webHidden/>
          </w:rPr>
          <w:fldChar w:fldCharType="end"/>
        </w:r>
      </w:hyperlink>
    </w:p>
    <w:p w:rsidR="00794D8F" w:rsidRDefault="000A0E74">
      <w:pPr>
        <w:pStyle w:val="TableofFigures"/>
        <w:tabs>
          <w:tab w:val="right" w:leader="dot" w:pos="9016"/>
        </w:tabs>
        <w:rPr>
          <w:rFonts w:eastAsiaTheme="minorEastAsia" w:cstheme="minorBidi"/>
          <w:noProof/>
          <w:sz w:val="22"/>
          <w:szCs w:val="22"/>
          <w:lang w:val="en-GB" w:eastAsia="en-GB"/>
        </w:rPr>
      </w:pPr>
      <w:hyperlink w:anchor="_Toc384293561" w:history="1">
        <w:r w:rsidR="00794D8F" w:rsidRPr="00C67022">
          <w:rPr>
            <w:rStyle w:val="Hyperlink"/>
            <w:noProof/>
          </w:rPr>
          <w:t>Table 15: Maximum amount of food that can be consumed (g/day) based on the ISFR survey concentrations, before the acute reference dose (ARfD) is exceeded</w:t>
        </w:r>
        <w:r w:rsidR="00794D8F">
          <w:rPr>
            <w:noProof/>
            <w:webHidden/>
          </w:rPr>
          <w:tab/>
        </w:r>
        <w:r w:rsidR="00794D8F">
          <w:rPr>
            <w:noProof/>
            <w:webHidden/>
          </w:rPr>
          <w:fldChar w:fldCharType="begin"/>
        </w:r>
        <w:r w:rsidR="00794D8F">
          <w:rPr>
            <w:noProof/>
            <w:webHidden/>
          </w:rPr>
          <w:instrText xml:space="preserve"> PAGEREF _Toc384293561 \h </w:instrText>
        </w:r>
        <w:r w:rsidR="00794D8F">
          <w:rPr>
            <w:noProof/>
            <w:webHidden/>
          </w:rPr>
        </w:r>
        <w:r w:rsidR="00794D8F">
          <w:rPr>
            <w:noProof/>
            <w:webHidden/>
          </w:rPr>
          <w:fldChar w:fldCharType="separate"/>
        </w:r>
        <w:r w:rsidR="00794D8F">
          <w:rPr>
            <w:noProof/>
            <w:webHidden/>
          </w:rPr>
          <w:t>43</w:t>
        </w:r>
        <w:r w:rsidR="00794D8F">
          <w:rPr>
            <w:noProof/>
            <w:webHidden/>
          </w:rPr>
          <w:fldChar w:fldCharType="end"/>
        </w:r>
      </w:hyperlink>
    </w:p>
    <w:p w:rsidR="00794D8F" w:rsidRDefault="000A0E74">
      <w:pPr>
        <w:pStyle w:val="TableofFigures"/>
        <w:tabs>
          <w:tab w:val="right" w:leader="dot" w:pos="9016"/>
        </w:tabs>
        <w:rPr>
          <w:rFonts w:eastAsiaTheme="minorEastAsia" w:cstheme="minorBidi"/>
          <w:noProof/>
          <w:sz w:val="22"/>
          <w:szCs w:val="22"/>
          <w:lang w:val="en-GB" w:eastAsia="en-GB"/>
        </w:rPr>
      </w:pPr>
      <w:hyperlink w:anchor="_Toc384293562" w:history="1">
        <w:r w:rsidR="00794D8F" w:rsidRPr="00C67022">
          <w:rPr>
            <w:rStyle w:val="Hyperlink"/>
            <w:noProof/>
          </w:rPr>
          <w:t>Table 16: Estimated acute dietary exposures to total HCN for Australian and New Zealand infants (2-11 months old) for selected apple based foods as a per cent of the acute reference dose (ARfD) (%)</w:t>
        </w:r>
        <w:r w:rsidR="00794D8F">
          <w:rPr>
            <w:noProof/>
            <w:webHidden/>
          </w:rPr>
          <w:tab/>
        </w:r>
        <w:r w:rsidR="00794D8F">
          <w:rPr>
            <w:noProof/>
            <w:webHidden/>
          </w:rPr>
          <w:fldChar w:fldCharType="begin"/>
        </w:r>
        <w:r w:rsidR="00794D8F">
          <w:rPr>
            <w:noProof/>
            <w:webHidden/>
          </w:rPr>
          <w:instrText xml:space="preserve"> PAGEREF _Toc384293562 \h </w:instrText>
        </w:r>
        <w:r w:rsidR="00794D8F">
          <w:rPr>
            <w:noProof/>
            <w:webHidden/>
          </w:rPr>
        </w:r>
        <w:r w:rsidR="00794D8F">
          <w:rPr>
            <w:noProof/>
            <w:webHidden/>
          </w:rPr>
          <w:fldChar w:fldCharType="separate"/>
        </w:r>
        <w:r w:rsidR="00794D8F">
          <w:rPr>
            <w:noProof/>
            <w:webHidden/>
          </w:rPr>
          <w:t>45</w:t>
        </w:r>
        <w:r w:rsidR="00794D8F">
          <w:rPr>
            <w:noProof/>
            <w:webHidden/>
          </w:rPr>
          <w:fldChar w:fldCharType="end"/>
        </w:r>
      </w:hyperlink>
    </w:p>
    <w:p w:rsidR="000E0465" w:rsidRDefault="00A37734" w:rsidP="00391DE3">
      <w:pPr>
        <w:pStyle w:val="Heading2LT"/>
        <w:spacing w:line="360" w:lineRule="auto"/>
        <w:rPr>
          <w:b w:val="0"/>
          <w:i/>
        </w:rPr>
      </w:pPr>
      <w:r>
        <w:fldChar w:fldCharType="end"/>
      </w:r>
      <w:r w:rsidR="000E0465">
        <w:br w:type="page"/>
      </w:r>
    </w:p>
    <w:p w:rsidR="000E0465" w:rsidRDefault="000E0465" w:rsidP="000E0465">
      <w:pPr>
        <w:pStyle w:val="Heading1"/>
      </w:pPr>
      <w:bookmarkStart w:id="6" w:name="_Toc367957635"/>
      <w:bookmarkStart w:id="7" w:name="_Toc367957734"/>
      <w:bookmarkStart w:id="8" w:name="_Toc367960166"/>
      <w:bookmarkStart w:id="9" w:name="_Toc384293478"/>
      <w:r>
        <w:lastRenderedPageBreak/>
        <w:t>Abbreviations</w:t>
      </w:r>
      <w:bookmarkEnd w:id="6"/>
      <w:bookmarkEnd w:id="7"/>
      <w:bookmarkEnd w:id="8"/>
      <w:bookmarkEnd w:id="9"/>
    </w:p>
    <w:p w:rsidR="004D7A78" w:rsidRDefault="004D7A78" w:rsidP="0093577A">
      <w:pPr>
        <w:spacing w:line="480" w:lineRule="auto"/>
        <w:rPr>
          <w:rFonts w:cs="Arial"/>
          <w:szCs w:val="22"/>
        </w:rPr>
      </w:pPr>
    </w:p>
    <w:p w:rsidR="0093577A" w:rsidRPr="0093577A" w:rsidRDefault="0093577A" w:rsidP="0093577A">
      <w:pPr>
        <w:spacing w:line="480" w:lineRule="auto"/>
        <w:rPr>
          <w:rFonts w:cs="Arial"/>
          <w:szCs w:val="22"/>
        </w:rPr>
      </w:pPr>
      <w:r w:rsidRPr="0093577A">
        <w:rPr>
          <w:rFonts w:cs="Arial"/>
          <w:szCs w:val="22"/>
        </w:rPr>
        <w:t>ANCNPAS</w:t>
      </w:r>
      <w:r>
        <w:rPr>
          <w:rFonts w:cs="Arial"/>
          <w:szCs w:val="22"/>
        </w:rPr>
        <w:tab/>
      </w:r>
      <w:r>
        <w:rPr>
          <w:rFonts w:cs="Arial"/>
          <w:szCs w:val="22"/>
        </w:rPr>
        <w:tab/>
      </w:r>
      <w:r w:rsidRPr="0093577A">
        <w:rPr>
          <w:rFonts w:cs="Arial"/>
          <w:szCs w:val="22"/>
        </w:rPr>
        <w:t>Australian National Children’s Nutrition and Physical Activity Survey</w:t>
      </w:r>
      <w:r>
        <w:rPr>
          <w:rFonts w:cs="Arial"/>
          <w:szCs w:val="22"/>
        </w:rPr>
        <w:t xml:space="preserve"> (2007)</w:t>
      </w:r>
    </w:p>
    <w:p w:rsidR="00BD1E10" w:rsidRDefault="00BD1E10" w:rsidP="00CE321D">
      <w:pPr>
        <w:spacing w:line="480" w:lineRule="auto"/>
        <w:rPr>
          <w:rFonts w:cs="Arial"/>
          <w:szCs w:val="22"/>
        </w:rPr>
      </w:pPr>
      <w:r w:rsidRPr="00CE321D">
        <w:rPr>
          <w:rFonts w:cs="Arial"/>
          <w:szCs w:val="22"/>
        </w:rPr>
        <w:t>ARfD</w:t>
      </w:r>
      <w:r w:rsidRPr="00CE321D">
        <w:rPr>
          <w:rFonts w:cs="Arial"/>
          <w:szCs w:val="22"/>
        </w:rPr>
        <w:tab/>
      </w:r>
      <w:r w:rsidRPr="00CE321D">
        <w:rPr>
          <w:rFonts w:cs="Arial"/>
          <w:szCs w:val="22"/>
        </w:rPr>
        <w:tab/>
      </w:r>
      <w:r w:rsidR="0093577A">
        <w:rPr>
          <w:rFonts w:cs="Arial"/>
          <w:szCs w:val="22"/>
        </w:rPr>
        <w:tab/>
      </w:r>
      <w:r w:rsidRPr="00CE321D">
        <w:rPr>
          <w:rFonts w:cs="Arial"/>
          <w:szCs w:val="22"/>
        </w:rPr>
        <w:t xml:space="preserve">Acute </w:t>
      </w:r>
      <w:r w:rsidR="00622700">
        <w:rPr>
          <w:rFonts w:cs="Arial"/>
          <w:szCs w:val="22"/>
        </w:rPr>
        <w:t>R</w:t>
      </w:r>
      <w:r w:rsidRPr="00CE321D">
        <w:rPr>
          <w:rFonts w:cs="Arial"/>
          <w:szCs w:val="22"/>
        </w:rPr>
        <w:t xml:space="preserve">eference </w:t>
      </w:r>
      <w:r w:rsidR="00622700">
        <w:rPr>
          <w:rFonts w:cs="Arial"/>
          <w:szCs w:val="22"/>
        </w:rPr>
        <w:t>D</w:t>
      </w:r>
      <w:r w:rsidRPr="00CE321D">
        <w:rPr>
          <w:rFonts w:cs="Arial"/>
          <w:szCs w:val="22"/>
        </w:rPr>
        <w:t>ose</w:t>
      </w:r>
    </w:p>
    <w:p w:rsidR="00E774D8" w:rsidRDefault="00E774D8" w:rsidP="00CE321D">
      <w:pPr>
        <w:spacing w:line="480" w:lineRule="auto"/>
        <w:rPr>
          <w:rFonts w:cs="Arial"/>
          <w:szCs w:val="22"/>
        </w:rPr>
      </w:pPr>
      <w:r>
        <w:rPr>
          <w:rFonts w:cs="Arial"/>
          <w:szCs w:val="22"/>
        </w:rPr>
        <w:t>BMD</w:t>
      </w:r>
      <w:r>
        <w:rPr>
          <w:rFonts w:cs="Arial"/>
          <w:szCs w:val="22"/>
        </w:rPr>
        <w:tab/>
      </w:r>
      <w:r>
        <w:rPr>
          <w:rFonts w:cs="Arial"/>
          <w:szCs w:val="22"/>
        </w:rPr>
        <w:tab/>
      </w:r>
      <w:r>
        <w:rPr>
          <w:rFonts w:cs="Arial"/>
          <w:szCs w:val="22"/>
        </w:rPr>
        <w:tab/>
        <w:t>Benchmark Dose</w:t>
      </w:r>
    </w:p>
    <w:p w:rsidR="0093577A" w:rsidRPr="00CE321D" w:rsidRDefault="0093577A" w:rsidP="00CE321D">
      <w:pPr>
        <w:spacing w:line="480" w:lineRule="auto"/>
        <w:rPr>
          <w:rFonts w:cs="Arial"/>
          <w:b/>
          <w:i/>
          <w:szCs w:val="22"/>
        </w:rPr>
      </w:pPr>
      <w:r>
        <w:rPr>
          <w:rFonts w:cs="Arial"/>
          <w:szCs w:val="22"/>
        </w:rPr>
        <w:t>bw</w:t>
      </w:r>
      <w:r>
        <w:rPr>
          <w:rFonts w:cs="Arial"/>
          <w:szCs w:val="22"/>
        </w:rPr>
        <w:tab/>
      </w:r>
      <w:r>
        <w:rPr>
          <w:rFonts w:cs="Arial"/>
          <w:szCs w:val="22"/>
        </w:rPr>
        <w:tab/>
      </w:r>
      <w:r>
        <w:rPr>
          <w:rFonts w:cs="Arial"/>
          <w:szCs w:val="22"/>
        </w:rPr>
        <w:tab/>
        <w:t>Body weight</w:t>
      </w:r>
      <w:r>
        <w:rPr>
          <w:rFonts w:cs="Arial"/>
          <w:szCs w:val="22"/>
        </w:rPr>
        <w:tab/>
      </w:r>
    </w:p>
    <w:p w:rsidR="000E0465" w:rsidRDefault="000E0465" w:rsidP="00CE321D">
      <w:pPr>
        <w:spacing w:line="480" w:lineRule="auto"/>
        <w:rPr>
          <w:rFonts w:cs="Arial"/>
          <w:szCs w:val="22"/>
        </w:rPr>
      </w:pPr>
      <w:r w:rsidRPr="00CE321D">
        <w:rPr>
          <w:rFonts w:cs="Arial"/>
          <w:szCs w:val="22"/>
        </w:rPr>
        <w:t>CCCF</w:t>
      </w:r>
      <w:r w:rsidRPr="00CE321D">
        <w:rPr>
          <w:rFonts w:cs="Arial"/>
          <w:szCs w:val="22"/>
        </w:rPr>
        <w:tab/>
      </w:r>
      <w:r w:rsidR="0093577A">
        <w:rPr>
          <w:rFonts w:cs="Arial"/>
          <w:szCs w:val="22"/>
        </w:rPr>
        <w:tab/>
      </w:r>
      <w:r w:rsidRPr="00CE321D">
        <w:rPr>
          <w:rFonts w:cs="Arial"/>
          <w:szCs w:val="22"/>
        </w:rPr>
        <w:t>Codex Committee on Contaminants in Food</w:t>
      </w:r>
    </w:p>
    <w:p w:rsidR="00622700" w:rsidRDefault="00622700" w:rsidP="00CE321D">
      <w:pPr>
        <w:spacing w:line="480" w:lineRule="auto"/>
        <w:rPr>
          <w:rFonts w:cs="Arial"/>
          <w:szCs w:val="22"/>
        </w:rPr>
      </w:pPr>
      <w:r>
        <w:rPr>
          <w:rFonts w:cs="Arial"/>
          <w:szCs w:val="22"/>
        </w:rPr>
        <w:t>Codex</w:t>
      </w:r>
      <w:r>
        <w:rPr>
          <w:rFonts w:cs="Arial"/>
          <w:szCs w:val="22"/>
        </w:rPr>
        <w:tab/>
      </w:r>
      <w:r>
        <w:rPr>
          <w:rFonts w:cs="Arial"/>
          <w:szCs w:val="22"/>
        </w:rPr>
        <w:tab/>
        <w:t>Codex Alimentarius Commission</w:t>
      </w:r>
    </w:p>
    <w:p w:rsidR="0093577A" w:rsidRPr="00CE321D" w:rsidRDefault="0093577A" w:rsidP="00CE321D">
      <w:pPr>
        <w:spacing w:line="480" w:lineRule="auto"/>
        <w:rPr>
          <w:rFonts w:cs="Arial"/>
          <w:b/>
          <w:i/>
          <w:szCs w:val="22"/>
        </w:rPr>
      </w:pPr>
      <w:r>
        <w:rPr>
          <w:rFonts w:cs="Arial"/>
          <w:szCs w:val="22"/>
        </w:rPr>
        <w:t>DIAMOND</w:t>
      </w:r>
      <w:r>
        <w:rPr>
          <w:rFonts w:cs="Arial"/>
          <w:szCs w:val="22"/>
        </w:rPr>
        <w:tab/>
      </w:r>
      <w:r>
        <w:rPr>
          <w:rFonts w:cs="Arial"/>
          <w:szCs w:val="22"/>
        </w:rPr>
        <w:tab/>
      </w:r>
      <w:r w:rsidRPr="00C61865">
        <w:rPr>
          <w:rFonts w:cs="Arial"/>
          <w:szCs w:val="22"/>
        </w:rPr>
        <w:t>DIetAry Modelling Of Nutritional Data</w:t>
      </w:r>
    </w:p>
    <w:p w:rsidR="000E0465" w:rsidRPr="00CE321D" w:rsidRDefault="000E0465" w:rsidP="00CE321D">
      <w:pPr>
        <w:spacing w:line="480" w:lineRule="auto"/>
        <w:rPr>
          <w:rFonts w:cs="Arial"/>
          <w:b/>
          <w:i/>
          <w:szCs w:val="22"/>
        </w:rPr>
      </w:pPr>
      <w:r w:rsidRPr="00CE321D">
        <w:rPr>
          <w:rFonts w:cs="Arial"/>
          <w:szCs w:val="22"/>
        </w:rPr>
        <w:t>EFSA</w:t>
      </w:r>
      <w:r w:rsidRPr="00CE321D">
        <w:rPr>
          <w:rFonts w:cs="Arial"/>
          <w:szCs w:val="22"/>
        </w:rPr>
        <w:tab/>
      </w:r>
      <w:r w:rsidR="0093577A">
        <w:rPr>
          <w:rFonts w:cs="Arial"/>
          <w:szCs w:val="22"/>
        </w:rPr>
        <w:tab/>
      </w:r>
      <w:r w:rsidRPr="00CE321D">
        <w:rPr>
          <w:rFonts w:cs="Arial"/>
          <w:szCs w:val="22"/>
        </w:rPr>
        <w:t xml:space="preserve">European Food Safety Authority </w:t>
      </w:r>
    </w:p>
    <w:p w:rsidR="00413570" w:rsidRDefault="00413570" w:rsidP="00413570">
      <w:pPr>
        <w:spacing w:line="480" w:lineRule="auto"/>
        <w:rPr>
          <w:rFonts w:cs="Arial"/>
          <w:szCs w:val="22"/>
        </w:rPr>
      </w:pPr>
      <w:r>
        <w:rPr>
          <w:rFonts w:cs="Arial"/>
          <w:szCs w:val="22"/>
        </w:rPr>
        <w:t xml:space="preserve">ESR </w:t>
      </w:r>
      <w:r>
        <w:rPr>
          <w:rFonts w:cs="Arial"/>
          <w:szCs w:val="22"/>
        </w:rPr>
        <w:tab/>
      </w:r>
      <w:r>
        <w:rPr>
          <w:rFonts w:cs="Arial"/>
          <w:szCs w:val="22"/>
        </w:rPr>
        <w:tab/>
      </w:r>
      <w:r w:rsidR="0093577A">
        <w:rPr>
          <w:rFonts w:cs="Arial"/>
          <w:szCs w:val="22"/>
        </w:rPr>
        <w:tab/>
      </w:r>
      <w:r w:rsidRPr="00413570">
        <w:rPr>
          <w:rFonts w:cs="Arial"/>
          <w:szCs w:val="22"/>
        </w:rPr>
        <w:t>Institute of Environmental Science and Research</w:t>
      </w:r>
      <w:r>
        <w:rPr>
          <w:rFonts w:cs="Arial"/>
          <w:szCs w:val="22"/>
        </w:rPr>
        <w:t xml:space="preserve"> (New Zealand</w:t>
      </w:r>
      <w:r w:rsidRPr="00413570">
        <w:rPr>
          <w:rFonts w:cs="Arial"/>
          <w:szCs w:val="22"/>
        </w:rPr>
        <w:t>)</w:t>
      </w:r>
    </w:p>
    <w:p w:rsidR="00622700" w:rsidRDefault="00622700" w:rsidP="00413570">
      <w:pPr>
        <w:spacing w:line="480" w:lineRule="auto"/>
        <w:rPr>
          <w:rFonts w:cs="Arial"/>
          <w:szCs w:val="22"/>
        </w:rPr>
      </w:pPr>
      <w:r>
        <w:rPr>
          <w:rFonts w:cs="Arial"/>
          <w:szCs w:val="22"/>
        </w:rPr>
        <w:t>EU</w:t>
      </w:r>
      <w:r>
        <w:rPr>
          <w:rFonts w:cs="Arial"/>
          <w:szCs w:val="22"/>
        </w:rPr>
        <w:tab/>
      </w:r>
      <w:r>
        <w:rPr>
          <w:rFonts w:cs="Arial"/>
          <w:szCs w:val="22"/>
        </w:rPr>
        <w:tab/>
      </w:r>
      <w:r>
        <w:rPr>
          <w:rFonts w:cs="Arial"/>
          <w:szCs w:val="22"/>
        </w:rPr>
        <w:tab/>
        <w:t>European Union</w:t>
      </w:r>
    </w:p>
    <w:p w:rsidR="00413570" w:rsidRDefault="00413570" w:rsidP="00413570">
      <w:pPr>
        <w:spacing w:line="480" w:lineRule="auto"/>
        <w:rPr>
          <w:rFonts w:cs="Arial"/>
          <w:szCs w:val="22"/>
        </w:rPr>
      </w:pPr>
      <w:r w:rsidRPr="00CE321D">
        <w:rPr>
          <w:rFonts w:cs="Arial"/>
          <w:szCs w:val="22"/>
        </w:rPr>
        <w:t xml:space="preserve">FAO </w:t>
      </w:r>
      <w:r w:rsidRPr="00CE321D">
        <w:rPr>
          <w:rFonts w:cs="Arial"/>
          <w:szCs w:val="22"/>
        </w:rPr>
        <w:tab/>
      </w:r>
      <w:r w:rsidRPr="00CE321D">
        <w:rPr>
          <w:rFonts w:cs="Arial"/>
          <w:szCs w:val="22"/>
        </w:rPr>
        <w:tab/>
      </w:r>
      <w:r w:rsidR="0093577A">
        <w:rPr>
          <w:rFonts w:cs="Arial"/>
          <w:szCs w:val="22"/>
        </w:rPr>
        <w:tab/>
      </w:r>
      <w:r w:rsidRPr="00CE321D">
        <w:rPr>
          <w:rFonts w:cs="Arial"/>
          <w:szCs w:val="22"/>
        </w:rPr>
        <w:t>Food and Agriculture Organization</w:t>
      </w:r>
      <w:r w:rsidR="004902C0">
        <w:rPr>
          <w:rFonts w:cs="Arial"/>
          <w:szCs w:val="22"/>
        </w:rPr>
        <w:t xml:space="preserve"> </w:t>
      </w:r>
      <w:r w:rsidR="004902C0" w:rsidRPr="004902C0">
        <w:rPr>
          <w:rFonts w:cs="Arial"/>
          <w:szCs w:val="22"/>
        </w:rPr>
        <w:t>of the United Nations</w:t>
      </w:r>
    </w:p>
    <w:p w:rsidR="00622700" w:rsidRPr="00CE321D" w:rsidRDefault="00622700" w:rsidP="00413570">
      <w:pPr>
        <w:spacing w:line="480" w:lineRule="auto"/>
        <w:rPr>
          <w:rFonts w:cs="Arial"/>
          <w:b/>
          <w:i/>
          <w:szCs w:val="22"/>
        </w:rPr>
      </w:pPr>
      <w:r>
        <w:rPr>
          <w:rFonts w:cs="Arial"/>
          <w:szCs w:val="22"/>
        </w:rPr>
        <w:t>FRSC</w:t>
      </w:r>
      <w:r>
        <w:rPr>
          <w:rFonts w:cs="Arial"/>
          <w:szCs w:val="22"/>
        </w:rPr>
        <w:tab/>
      </w:r>
      <w:r>
        <w:rPr>
          <w:rFonts w:cs="Arial"/>
          <w:szCs w:val="22"/>
        </w:rPr>
        <w:tab/>
      </w:r>
      <w:r w:rsidRPr="00622700">
        <w:rPr>
          <w:rFonts w:cs="Arial"/>
          <w:szCs w:val="22"/>
        </w:rPr>
        <w:t>Food Regulation Standing Committee</w:t>
      </w:r>
    </w:p>
    <w:p w:rsidR="000E0465" w:rsidRDefault="000E0465" w:rsidP="00CE321D">
      <w:pPr>
        <w:spacing w:line="480" w:lineRule="auto"/>
        <w:rPr>
          <w:rFonts w:cs="Arial"/>
          <w:szCs w:val="22"/>
        </w:rPr>
      </w:pPr>
      <w:r w:rsidRPr="00CE321D">
        <w:rPr>
          <w:rFonts w:cs="Arial"/>
          <w:szCs w:val="22"/>
        </w:rPr>
        <w:t xml:space="preserve">FSANZ </w:t>
      </w:r>
      <w:r w:rsidRPr="00CE321D">
        <w:rPr>
          <w:rFonts w:cs="Arial"/>
          <w:szCs w:val="22"/>
        </w:rPr>
        <w:tab/>
      </w:r>
      <w:r w:rsidR="0093577A">
        <w:rPr>
          <w:rFonts w:cs="Arial"/>
          <w:szCs w:val="22"/>
        </w:rPr>
        <w:tab/>
      </w:r>
      <w:r w:rsidRPr="00CE321D">
        <w:rPr>
          <w:rFonts w:cs="Arial"/>
          <w:szCs w:val="22"/>
        </w:rPr>
        <w:t>Food Standard</w:t>
      </w:r>
      <w:r w:rsidR="00E06A6F">
        <w:rPr>
          <w:rFonts w:cs="Arial"/>
          <w:szCs w:val="22"/>
        </w:rPr>
        <w:t>s</w:t>
      </w:r>
      <w:r w:rsidRPr="00CE321D">
        <w:rPr>
          <w:rFonts w:cs="Arial"/>
          <w:szCs w:val="22"/>
        </w:rPr>
        <w:t xml:space="preserve"> Australia New Zealand</w:t>
      </w:r>
    </w:p>
    <w:p w:rsidR="00395391" w:rsidRDefault="00395391" w:rsidP="00395391">
      <w:pPr>
        <w:spacing w:line="480" w:lineRule="auto"/>
        <w:rPr>
          <w:rFonts w:cs="Arial"/>
          <w:szCs w:val="22"/>
        </w:rPr>
      </w:pPr>
      <w:r w:rsidRPr="00CE321D">
        <w:rPr>
          <w:rFonts w:cs="Arial"/>
          <w:szCs w:val="22"/>
        </w:rPr>
        <w:t>HBGV</w:t>
      </w:r>
      <w:r w:rsidRPr="00CE321D">
        <w:rPr>
          <w:rFonts w:cs="Arial"/>
          <w:szCs w:val="22"/>
        </w:rPr>
        <w:tab/>
      </w:r>
      <w:r>
        <w:rPr>
          <w:rFonts w:cs="Arial"/>
          <w:szCs w:val="22"/>
        </w:rPr>
        <w:tab/>
      </w:r>
      <w:r w:rsidR="00056F5C">
        <w:rPr>
          <w:rFonts w:cs="Arial"/>
          <w:szCs w:val="22"/>
        </w:rPr>
        <w:t>H</w:t>
      </w:r>
      <w:r w:rsidRPr="00CE321D">
        <w:rPr>
          <w:rFonts w:cs="Arial"/>
          <w:szCs w:val="22"/>
        </w:rPr>
        <w:t>ealth-</w:t>
      </w:r>
      <w:r w:rsidR="00A25BA5">
        <w:rPr>
          <w:rFonts w:cs="Arial"/>
          <w:szCs w:val="22"/>
        </w:rPr>
        <w:t>b</w:t>
      </w:r>
      <w:r w:rsidRPr="00CE321D">
        <w:rPr>
          <w:rFonts w:cs="Arial"/>
          <w:szCs w:val="22"/>
        </w:rPr>
        <w:t xml:space="preserve">ased </w:t>
      </w:r>
      <w:r w:rsidR="00A25BA5">
        <w:rPr>
          <w:rFonts w:cs="Arial"/>
          <w:szCs w:val="22"/>
        </w:rPr>
        <w:t>g</w:t>
      </w:r>
      <w:r w:rsidRPr="00CE321D">
        <w:rPr>
          <w:rFonts w:cs="Arial"/>
          <w:szCs w:val="22"/>
        </w:rPr>
        <w:t xml:space="preserve">uidance </w:t>
      </w:r>
      <w:r w:rsidR="00A25BA5">
        <w:rPr>
          <w:rFonts w:cs="Arial"/>
          <w:szCs w:val="22"/>
        </w:rPr>
        <w:t>v</w:t>
      </w:r>
      <w:r w:rsidRPr="00CE321D">
        <w:rPr>
          <w:rFonts w:cs="Arial"/>
          <w:szCs w:val="22"/>
        </w:rPr>
        <w:t>alue</w:t>
      </w:r>
    </w:p>
    <w:p w:rsidR="00E33E47" w:rsidRPr="00CE321D" w:rsidRDefault="00E33E47" w:rsidP="00CE321D">
      <w:pPr>
        <w:spacing w:line="480" w:lineRule="auto"/>
        <w:rPr>
          <w:rFonts w:cs="Arial"/>
          <w:b/>
          <w:i/>
          <w:szCs w:val="22"/>
        </w:rPr>
      </w:pPr>
      <w:r>
        <w:rPr>
          <w:rFonts w:cs="Arial"/>
          <w:szCs w:val="22"/>
        </w:rPr>
        <w:t>HCN</w:t>
      </w:r>
      <w:r>
        <w:rPr>
          <w:rFonts w:cs="Arial"/>
          <w:szCs w:val="22"/>
        </w:rPr>
        <w:tab/>
      </w:r>
      <w:r>
        <w:rPr>
          <w:rFonts w:cs="Arial"/>
          <w:szCs w:val="22"/>
        </w:rPr>
        <w:tab/>
      </w:r>
      <w:r w:rsidR="0093577A">
        <w:rPr>
          <w:rFonts w:cs="Arial"/>
          <w:szCs w:val="22"/>
        </w:rPr>
        <w:tab/>
      </w:r>
      <w:r>
        <w:rPr>
          <w:rFonts w:cs="Arial"/>
          <w:szCs w:val="22"/>
        </w:rPr>
        <w:t>Hydrocyanic acid</w:t>
      </w:r>
    </w:p>
    <w:p w:rsidR="00622700" w:rsidRDefault="00622700" w:rsidP="00CE321D">
      <w:pPr>
        <w:spacing w:line="480" w:lineRule="auto"/>
        <w:rPr>
          <w:rFonts w:cs="Arial"/>
          <w:szCs w:val="22"/>
        </w:rPr>
      </w:pPr>
      <w:r>
        <w:rPr>
          <w:rFonts w:cs="Arial"/>
          <w:szCs w:val="22"/>
        </w:rPr>
        <w:t>HPLC</w:t>
      </w:r>
      <w:r>
        <w:rPr>
          <w:rFonts w:cs="Arial"/>
          <w:szCs w:val="22"/>
        </w:rPr>
        <w:tab/>
      </w:r>
      <w:r>
        <w:rPr>
          <w:rFonts w:cs="Arial"/>
          <w:szCs w:val="22"/>
        </w:rPr>
        <w:tab/>
      </w:r>
      <w:r w:rsidRPr="00622700">
        <w:rPr>
          <w:rFonts w:cs="Arial"/>
          <w:szCs w:val="22"/>
        </w:rPr>
        <w:t>High-performance liquid chromatography</w:t>
      </w:r>
    </w:p>
    <w:p w:rsidR="00622700" w:rsidRPr="00CE321D" w:rsidRDefault="00622700" w:rsidP="00CE321D">
      <w:pPr>
        <w:spacing w:line="480" w:lineRule="auto"/>
        <w:rPr>
          <w:rFonts w:cs="Arial"/>
          <w:b/>
          <w:i/>
          <w:szCs w:val="22"/>
        </w:rPr>
      </w:pPr>
      <w:r>
        <w:rPr>
          <w:rFonts w:cs="Arial"/>
          <w:szCs w:val="22"/>
        </w:rPr>
        <w:t>ISFR</w:t>
      </w:r>
      <w:r>
        <w:rPr>
          <w:rFonts w:cs="Arial"/>
          <w:szCs w:val="22"/>
        </w:rPr>
        <w:tab/>
      </w:r>
      <w:r>
        <w:rPr>
          <w:rFonts w:cs="Arial"/>
          <w:szCs w:val="22"/>
        </w:rPr>
        <w:tab/>
      </w:r>
      <w:r>
        <w:rPr>
          <w:rFonts w:cs="Arial"/>
          <w:szCs w:val="22"/>
        </w:rPr>
        <w:tab/>
      </w:r>
      <w:r w:rsidRPr="00622700">
        <w:rPr>
          <w:rFonts w:cs="Arial"/>
          <w:szCs w:val="22"/>
        </w:rPr>
        <w:t>Implementation Sub-Committee for Food Regulation</w:t>
      </w:r>
    </w:p>
    <w:p w:rsidR="000E0465" w:rsidRDefault="000E0465" w:rsidP="00CE321D">
      <w:pPr>
        <w:spacing w:line="480" w:lineRule="auto"/>
        <w:rPr>
          <w:rFonts w:cs="Arial"/>
          <w:szCs w:val="22"/>
        </w:rPr>
      </w:pPr>
      <w:r w:rsidRPr="00CE321D">
        <w:rPr>
          <w:rFonts w:cs="Arial"/>
          <w:szCs w:val="22"/>
        </w:rPr>
        <w:t xml:space="preserve">JECFA </w:t>
      </w:r>
      <w:r w:rsidRPr="00CE321D">
        <w:rPr>
          <w:rFonts w:cs="Arial"/>
          <w:szCs w:val="22"/>
        </w:rPr>
        <w:tab/>
      </w:r>
      <w:r w:rsidR="0093577A">
        <w:rPr>
          <w:rFonts w:cs="Arial"/>
          <w:szCs w:val="22"/>
        </w:rPr>
        <w:tab/>
      </w:r>
      <w:r w:rsidRPr="00CE321D">
        <w:rPr>
          <w:rFonts w:cs="Arial"/>
          <w:szCs w:val="22"/>
        </w:rPr>
        <w:t>Joint FAO/WHO Expert Committee on Food Additives</w:t>
      </w:r>
    </w:p>
    <w:p w:rsidR="00BE6D07" w:rsidRDefault="00BE6D07" w:rsidP="00CE321D">
      <w:pPr>
        <w:spacing w:line="480" w:lineRule="auto"/>
        <w:rPr>
          <w:rFonts w:cs="Arial"/>
          <w:szCs w:val="22"/>
        </w:rPr>
      </w:pPr>
      <w:r>
        <w:rPr>
          <w:rFonts w:cs="Arial"/>
          <w:szCs w:val="22"/>
        </w:rPr>
        <w:t>LB</w:t>
      </w:r>
      <w:r>
        <w:rPr>
          <w:rFonts w:cs="Arial"/>
          <w:szCs w:val="22"/>
        </w:rPr>
        <w:tab/>
      </w:r>
      <w:r>
        <w:rPr>
          <w:rFonts w:cs="Arial"/>
          <w:szCs w:val="22"/>
        </w:rPr>
        <w:tab/>
      </w:r>
      <w:r>
        <w:rPr>
          <w:rFonts w:cs="Arial"/>
          <w:szCs w:val="22"/>
        </w:rPr>
        <w:tab/>
        <w:t>Lower bound</w:t>
      </w:r>
    </w:p>
    <w:p w:rsidR="000E0465" w:rsidRDefault="000E0465" w:rsidP="00CE321D">
      <w:pPr>
        <w:spacing w:line="480" w:lineRule="auto"/>
        <w:rPr>
          <w:rFonts w:cs="Arial"/>
          <w:szCs w:val="22"/>
        </w:rPr>
      </w:pPr>
      <w:r w:rsidRPr="00CE321D">
        <w:rPr>
          <w:rFonts w:cs="Arial"/>
          <w:szCs w:val="22"/>
        </w:rPr>
        <w:t xml:space="preserve">LoD </w:t>
      </w:r>
      <w:r w:rsidRPr="00CE321D">
        <w:rPr>
          <w:rFonts w:cs="Arial"/>
          <w:szCs w:val="22"/>
        </w:rPr>
        <w:tab/>
      </w:r>
      <w:r w:rsidRPr="00CE321D">
        <w:rPr>
          <w:rFonts w:cs="Arial"/>
          <w:szCs w:val="22"/>
        </w:rPr>
        <w:tab/>
      </w:r>
      <w:r w:rsidR="0093577A">
        <w:rPr>
          <w:rFonts w:cs="Arial"/>
          <w:szCs w:val="22"/>
        </w:rPr>
        <w:tab/>
      </w:r>
      <w:r w:rsidRPr="00CE321D">
        <w:rPr>
          <w:rFonts w:cs="Arial"/>
          <w:szCs w:val="22"/>
        </w:rPr>
        <w:t>Limit of Detection</w:t>
      </w:r>
    </w:p>
    <w:p w:rsidR="00E33E47" w:rsidRPr="00E33E47" w:rsidRDefault="00E33E47" w:rsidP="00CE321D">
      <w:pPr>
        <w:spacing w:line="480" w:lineRule="auto"/>
        <w:rPr>
          <w:rFonts w:cs="Arial"/>
          <w:szCs w:val="22"/>
        </w:rPr>
      </w:pPr>
      <w:r w:rsidRPr="00E33E47">
        <w:rPr>
          <w:rFonts w:cs="Arial"/>
          <w:szCs w:val="22"/>
        </w:rPr>
        <w:t>LSA</w:t>
      </w:r>
      <w:r>
        <w:rPr>
          <w:rFonts w:cs="Arial"/>
          <w:szCs w:val="22"/>
        </w:rPr>
        <w:t xml:space="preserve"> </w:t>
      </w:r>
      <w:r>
        <w:rPr>
          <w:rFonts w:cs="Arial"/>
          <w:szCs w:val="22"/>
        </w:rPr>
        <w:tab/>
      </w:r>
      <w:r>
        <w:rPr>
          <w:rFonts w:cs="Arial"/>
          <w:szCs w:val="22"/>
        </w:rPr>
        <w:tab/>
      </w:r>
      <w:r w:rsidR="0093577A">
        <w:rPr>
          <w:rFonts w:cs="Arial"/>
          <w:szCs w:val="22"/>
        </w:rPr>
        <w:tab/>
      </w:r>
      <w:r>
        <w:rPr>
          <w:rFonts w:cs="Arial"/>
          <w:szCs w:val="22"/>
        </w:rPr>
        <w:t>L</w:t>
      </w:r>
      <w:r w:rsidRPr="00E33E47">
        <w:rPr>
          <w:rFonts w:cs="Arial"/>
          <w:szCs w:val="22"/>
        </w:rPr>
        <w:t>inseed, sunflower seeds and almonds</w:t>
      </w:r>
    </w:p>
    <w:p w:rsidR="000E0465" w:rsidRDefault="000E0465" w:rsidP="00CE321D">
      <w:pPr>
        <w:spacing w:line="480" w:lineRule="auto"/>
        <w:rPr>
          <w:rFonts w:cs="Arial"/>
          <w:szCs w:val="22"/>
        </w:rPr>
      </w:pPr>
      <w:r w:rsidRPr="00CE321D">
        <w:rPr>
          <w:rFonts w:cs="Arial"/>
          <w:szCs w:val="22"/>
        </w:rPr>
        <w:t xml:space="preserve">mg/kg </w:t>
      </w:r>
      <w:r w:rsidRPr="00CE321D">
        <w:rPr>
          <w:rFonts w:cs="Arial"/>
          <w:szCs w:val="22"/>
        </w:rPr>
        <w:tab/>
      </w:r>
      <w:r w:rsidR="0093577A">
        <w:rPr>
          <w:rFonts w:cs="Arial"/>
          <w:szCs w:val="22"/>
        </w:rPr>
        <w:tab/>
      </w:r>
      <w:r w:rsidRPr="00CE321D">
        <w:rPr>
          <w:rFonts w:cs="Arial"/>
          <w:szCs w:val="22"/>
        </w:rPr>
        <w:t>Milligrams per kilogram</w:t>
      </w:r>
    </w:p>
    <w:p w:rsidR="00BE6D07" w:rsidRPr="00CE321D" w:rsidRDefault="00BE6D07" w:rsidP="00CE321D">
      <w:pPr>
        <w:spacing w:line="480" w:lineRule="auto"/>
        <w:rPr>
          <w:rFonts w:cs="Arial"/>
          <w:b/>
          <w:i/>
          <w:szCs w:val="22"/>
        </w:rPr>
      </w:pPr>
      <w:r w:rsidRPr="001C7C12">
        <w:rPr>
          <w:rFonts w:cs="Arial"/>
          <w:szCs w:val="22"/>
        </w:rPr>
        <w:t>µg/kg</w:t>
      </w:r>
      <w:r>
        <w:rPr>
          <w:rFonts w:cs="Arial"/>
          <w:szCs w:val="22"/>
        </w:rPr>
        <w:tab/>
      </w:r>
      <w:r>
        <w:rPr>
          <w:rFonts w:cs="Arial"/>
          <w:szCs w:val="22"/>
        </w:rPr>
        <w:tab/>
      </w:r>
      <w:r>
        <w:rPr>
          <w:rFonts w:cs="Arial"/>
          <w:szCs w:val="22"/>
        </w:rPr>
        <w:tab/>
        <w:t>Micrograms per kilogram</w:t>
      </w:r>
    </w:p>
    <w:p w:rsidR="000E0465" w:rsidRDefault="000E0465" w:rsidP="00CE321D">
      <w:pPr>
        <w:spacing w:line="480" w:lineRule="auto"/>
        <w:rPr>
          <w:rFonts w:cs="Arial"/>
          <w:szCs w:val="22"/>
        </w:rPr>
      </w:pPr>
      <w:r w:rsidRPr="00CE321D">
        <w:rPr>
          <w:rFonts w:cs="Arial"/>
          <w:szCs w:val="22"/>
        </w:rPr>
        <w:t>ML</w:t>
      </w:r>
      <w:r w:rsidRPr="00CE321D">
        <w:rPr>
          <w:rFonts w:cs="Arial"/>
          <w:szCs w:val="22"/>
        </w:rPr>
        <w:tab/>
      </w:r>
      <w:r w:rsidRPr="00CE321D">
        <w:rPr>
          <w:rFonts w:cs="Arial"/>
          <w:szCs w:val="22"/>
        </w:rPr>
        <w:tab/>
      </w:r>
      <w:r w:rsidR="0093577A">
        <w:rPr>
          <w:rFonts w:cs="Arial"/>
          <w:szCs w:val="22"/>
        </w:rPr>
        <w:tab/>
      </w:r>
      <w:r w:rsidRPr="00CE321D">
        <w:rPr>
          <w:rFonts w:cs="Arial"/>
          <w:szCs w:val="22"/>
        </w:rPr>
        <w:t xml:space="preserve">Maximum </w:t>
      </w:r>
      <w:r w:rsidR="004D7A78">
        <w:rPr>
          <w:rFonts w:cs="Arial"/>
          <w:szCs w:val="22"/>
        </w:rPr>
        <w:t>L</w:t>
      </w:r>
      <w:r w:rsidRPr="00CE321D">
        <w:rPr>
          <w:rFonts w:cs="Arial"/>
          <w:szCs w:val="22"/>
        </w:rPr>
        <w:t>evel</w:t>
      </w:r>
    </w:p>
    <w:p w:rsidR="0093577A" w:rsidRDefault="0093577A" w:rsidP="00CE321D">
      <w:pPr>
        <w:spacing w:line="480" w:lineRule="auto"/>
        <w:rPr>
          <w:rFonts w:cs="Arial"/>
          <w:szCs w:val="22"/>
        </w:rPr>
      </w:pPr>
      <w:r>
        <w:rPr>
          <w:rFonts w:cs="Arial"/>
          <w:szCs w:val="22"/>
        </w:rPr>
        <w:t>NNS</w:t>
      </w:r>
      <w:r>
        <w:rPr>
          <w:rFonts w:cs="Arial"/>
          <w:szCs w:val="22"/>
        </w:rPr>
        <w:tab/>
      </w:r>
      <w:r>
        <w:rPr>
          <w:rFonts w:cs="Arial"/>
          <w:szCs w:val="22"/>
        </w:rPr>
        <w:tab/>
      </w:r>
      <w:r>
        <w:rPr>
          <w:rFonts w:cs="Arial"/>
          <w:szCs w:val="22"/>
        </w:rPr>
        <w:tab/>
        <w:t>National Nutrition Survey</w:t>
      </w:r>
    </w:p>
    <w:p w:rsidR="0093577A" w:rsidRDefault="0093577A" w:rsidP="00E774D8">
      <w:pPr>
        <w:tabs>
          <w:tab w:val="left" w:pos="567"/>
          <w:tab w:val="left" w:pos="1134"/>
          <w:tab w:val="left" w:pos="1701"/>
          <w:tab w:val="left" w:pos="2268"/>
          <w:tab w:val="left" w:pos="2835"/>
          <w:tab w:val="left" w:pos="3402"/>
          <w:tab w:val="left" w:pos="3969"/>
          <w:tab w:val="left" w:pos="4536"/>
          <w:tab w:val="left" w:pos="5103"/>
          <w:tab w:val="left" w:pos="5475"/>
        </w:tabs>
        <w:spacing w:line="480" w:lineRule="auto"/>
        <w:rPr>
          <w:rFonts w:cs="Arial"/>
          <w:szCs w:val="22"/>
        </w:rPr>
      </w:pPr>
      <w:r w:rsidRPr="0093577A">
        <w:rPr>
          <w:rFonts w:cs="Arial"/>
          <w:szCs w:val="22"/>
        </w:rPr>
        <w:t>NOAEL</w:t>
      </w:r>
      <w:r>
        <w:rPr>
          <w:rFonts w:cs="Arial"/>
          <w:szCs w:val="22"/>
        </w:rPr>
        <w:tab/>
      </w:r>
      <w:r>
        <w:rPr>
          <w:rFonts w:cs="Arial"/>
          <w:szCs w:val="22"/>
        </w:rPr>
        <w:tab/>
        <w:t>N</w:t>
      </w:r>
      <w:r w:rsidRPr="0093577A">
        <w:rPr>
          <w:rFonts w:cs="Arial"/>
          <w:szCs w:val="22"/>
        </w:rPr>
        <w:t xml:space="preserve">o-observed-adverse-effect level </w:t>
      </w:r>
      <w:r w:rsidR="00E774D8">
        <w:rPr>
          <w:rFonts w:cs="Arial"/>
          <w:szCs w:val="22"/>
        </w:rPr>
        <w:tab/>
      </w:r>
    </w:p>
    <w:p w:rsidR="00E774D8" w:rsidRDefault="00E774D8" w:rsidP="00E774D8">
      <w:pPr>
        <w:tabs>
          <w:tab w:val="left" w:pos="567"/>
          <w:tab w:val="left" w:pos="1134"/>
          <w:tab w:val="left" w:pos="1701"/>
          <w:tab w:val="left" w:pos="2268"/>
          <w:tab w:val="left" w:pos="2835"/>
          <w:tab w:val="left" w:pos="3402"/>
          <w:tab w:val="left" w:pos="3969"/>
          <w:tab w:val="left" w:pos="4536"/>
          <w:tab w:val="left" w:pos="5103"/>
          <w:tab w:val="left" w:pos="5475"/>
        </w:tabs>
        <w:spacing w:line="480" w:lineRule="auto"/>
        <w:rPr>
          <w:rFonts w:cs="Arial"/>
          <w:szCs w:val="22"/>
        </w:rPr>
      </w:pPr>
      <w:r>
        <w:rPr>
          <w:rFonts w:cs="Arial"/>
          <w:szCs w:val="22"/>
        </w:rPr>
        <w:lastRenderedPageBreak/>
        <w:t>NSW FA</w:t>
      </w:r>
      <w:r>
        <w:rPr>
          <w:rFonts w:cs="Arial"/>
          <w:szCs w:val="22"/>
        </w:rPr>
        <w:tab/>
      </w:r>
      <w:r>
        <w:rPr>
          <w:rFonts w:cs="Arial"/>
          <w:szCs w:val="22"/>
        </w:rPr>
        <w:tab/>
        <w:t>NSW Food Authority</w:t>
      </w:r>
    </w:p>
    <w:p w:rsidR="0093577A" w:rsidRDefault="0093577A" w:rsidP="00CE321D">
      <w:pPr>
        <w:spacing w:line="480" w:lineRule="auto"/>
        <w:rPr>
          <w:rFonts w:cs="Arial"/>
          <w:szCs w:val="22"/>
        </w:rPr>
      </w:pPr>
      <w:r w:rsidRPr="0093577A">
        <w:rPr>
          <w:rFonts w:cs="Arial"/>
          <w:szCs w:val="22"/>
        </w:rPr>
        <w:t>NZCNS</w:t>
      </w:r>
      <w:r>
        <w:rPr>
          <w:rFonts w:cs="Arial"/>
          <w:szCs w:val="22"/>
        </w:rPr>
        <w:tab/>
      </w:r>
      <w:r>
        <w:rPr>
          <w:rFonts w:cs="Arial"/>
          <w:szCs w:val="22"/>
        </w:rPr>
        <w:tab/>
      </w:r>
      <w:r w:rsidR="00622700">
        <w:rPr>
          <w:rFonts w:cs="Arial"/>
          <w:szCs w:val="22"/>
        </w:rPr>
        <w:t xml:space="preserve">New Zealand </w:t>
      </w:r>
      <w:r w:rsidRPr="0093577A">
        <w:rPr>
          <w:rFonts w:cs="Arial"/>
          <w:szCs w:val="22"/>
        </w:rPr>
        <w:t>National Children’s Nutrition Survey</w:t>
      </w:r>
      <w:r>
        <w:rPr>
          <w:rFonts w:cs="Arial"/>
          <w:szCs w:val="22"/>
        </w:rPr>
        <w:t xml:space="preserve"> (2002)</w:t>
      </w:r>
    </w:p>
    <w:p w:rsidR="00622700" w:rsidRDefault="00622700" w:rsidP="00CE321D">
      <w:pPr>
        <w:spacing w:line="480" w:lineRule="auto"/>
        <w:rPr>
          <w:rFonts w:cs="Arial"/>
          <w:szCs w:val="22"/>
        </w:rPr>
      </w:pPr>
      <w:r>
        <w:rPr>
          <w:rFonts w:cs="Arial"/>
          <w:szCs w:val="22"/>
        </w:rPr>
        <w:t>NZ MPI</w:t>
      </w:r>
      <w:r>
        <w:rPr>
          <w:rFonts w:cs="Arial"/>
          <w:szCs w:val="22"/>
        </w:rPr>
        <w:tab/>
      </w:r>
      <w:r>
        <w:rPr>
          <w:rFonts w:cs="Arial"/>
          <w:szCs w:val="22"/>
        </w:rPr>
        <w:tab/>
        <w:t>New Zealand Ministry for Primary Industries</w:t>
      </w:r>
    </w:p>
    <w:p w:rsidR="00E33E47" w:rsidRDefault="00E33E47" w:rsidP="00CE321D">
      <w:pPr>
        <w:spacing w:line="480" w:lineRule="auto"/>
        <w:rPr>
          <w:rFonts w:cs="Arial"/>
          <w:szCs w:val="22"/>
        </w:rPr>
      </w:pPr>
      <w:r>
        <w:rPr>
          <w:rFonts w:cs="Arial"/>
          <w:szCs w:val="22"/>
        </w:rPr>
        <w:t>PMTDI</w:t>
      </w:r>
      <w:r>
        <w:rPr>
          <w:rFonts w:cs="Arial"/>
          <w:szCs w:val="22"/>
        </w:rPr>
        <w:tab/>
      </w:r>
      <w:r w:rsidR="0093577A">
        <w:rPr>
          <w:rFonts w:cs="Arial"/>
          <w:szCs w:val="22"/>
        </w:rPr>
        <w:tab/>
      </w:r>
      <w:r>
        <w:rPr>
          <w:rFonts w:cs="Arial"/>
          <w:szCs w:val="22"/>
        </w:rPr>
        <w:t xml:space="preserve">Provisional </w:t>
      </w:r>
      <w:r w:rsidR="004D7A78">
        <w:rPr>
          <w:rFonts w:cs="Arial"/>
          <w:szCs w:val="22"/>
        </w:rPr>
        <w:t>M</w:t>
      </w:r>
      <w:r>
        <w:rPr>
          <w:rFonts w:cs="Arial"/>
          <w:szCs w:val="22"/>
        </w:rPr>
        <w:t xml:space="preserve">aximum </w:t>
      </w:r>
      <w:r w:rsidR="004D7A78">
        <w:rPr>
          <w:rFonts w:cs="Arial"/>
          <w:szCs w:val="22"/>
        </w:rPr>
        <w:t>T</w:t>
      </w:r>
      <w:r>
        <w:rPr>
          <w:rFonts w:cs="Arial"/>
          <w:szCs w:val="22"/>
        </w:rPr>
        <w:t xml:space="preserve">olerable </w:t>
      </w:r>
      <w:r w:rsidR="004D7A78">
        <w:rPr>
          <w:rFonts w:cs="Arial"/>
          <w:szCs w:val="22"/>
        </w:rPr>
        <w:t>D</w:t>
      </w:r>
      <w:r>
        <w:rPr>
          <w:rFonts w:cs="Arial"/>
          <w:szCs w:val="22"/>
        </w:rPr>
        <w:t xml:space="preserve">aily </w:t>
      </w:r>
      <w:r w:rsidR="004D7A78">
        <w:rPr>
          <w:rFonts w:cs="Arial"/>
          <w:szCs w:val="22"/>
        </w:rPr>
        <w:t>I</w:t>
      </w:r>
      <w:r>
        <w:rPr>
          <w:rFonts w:cs="Arial"/>
          <w:szCs w:val="22"/>
        </w:rPr>
        <w:t>ntake</w:t>
      </w:r>
    </w:p>
    <w:p w:rsidR="00622700" w:rsidRDefault="00622700" w:rsidP="00CE321D">
      <w:pPr>
        <w:spacing w:line="480" w:lineRule="auto"/>
        <w:rPr>
          <w:rFonts w:cs="Arial"/>
          <w:szCs w:val="22"/>
        </w:rPr>
      </w:pPr>
      <w:r>
        <w:rPr>
          <w:rFonts w:cs="Arial"/>
          <w:szCs w:val="22"/>
        </w:rPr>
        <w:t>RTE</w:t>
      </w:r>
      <w:r>
        <w:rPr>
          <w:rFonts w:cs="Arial"/>
          <w:szCs w:val="22"/>
        </w:rPr>
        <w:tab/>
      </w:r>
      <w:r>
        <w:rPr>
          <w:rFonts w:cs="Arial"/>
          <w:szCs w:val="22"/>
        </w:rPr>
        <w:tab/>
      </w:r>
      <w:r>
        <w:rPr>
          <w:rFonts w:cs="Arial"/>
          <w:szCs w:val="22"/>
        </w:rPr>
        <w:tab/>
        <w:t>Ready-to-eat</w:t>
      </w:r>
    </w:p>
    <w:p w:rsidR="0093577A" w:rsidRDefault="0093577A" w:rsidP="00CE321D">
      <w:pPr>
        <w:spacing w:line="480" w:lineRule="auto"/>
        <w:rPr>
          <w:rFonts w:cs="Arial"/>
          <w:szCs w:val="22"/>
        </w:rPr>
      </w:pPr>
      <w:r>
        <w:rPr>
          <w:rFonts w:cs="Arial"/>
          <w:szCs w:val="22"/>
        </w:rPr>
        <w:t>the Code</w:t>
      </w:r>
      <w:r>
        <w:rPr>
          <w:rFonts w:cs="Arial"/>
          <w:szCs w:val="22"/>
        </w:rPr>
        <w:tab/>
      </w:r>
      <w:r>
        <w:rPr>
          <w:rFonts w:cs="Arial"/>
          <w:szCs w:val="22"/>
        </w:rPr>
        <w:tab/>
      </w:r>
      <w:r w:rsidRPr="0093577A">
        <w:rPr>
          <w:rFonts w:cs="Arial"/>
          <w:szCs w:val="22"/>
        </w:rPr>
        <w:t>Australia New Zealand Food Standards Code</w:t>
      </w:r>
    </w:p>
    <w:p w:rsidR="00BE6D07" w:rsidRPr="00CE321D" w:rsidRDefault="00BE6D07" w:rsidP="00CE321D">
      <w:pPr>
        <w:spacing w:line="480" w:lineRule="auto"/>
        <w:rPr>
          <w:rFonts w:cs="Arial"/>
          <w:b/>
          <w:i/>
          <w:szCs w:val="22"/>
        </w:rPr>
      </w:pPr>
      <w:r>
        <w:rPr>
          <w:rFonts w:cs="Arial"/>
          <w:szCs w:val="22"/>
        </w:rPr>
        <w:t>UB</w:t>
      </w:r>
      <w:r>
        <w:rPr>
          <w:rFonts w:cs="Arial"/>
          <w:szCs w:val="22"/>
        </w:rPr>
        <w:tab/>
      </w:r>
      <w:r>
        <w:rPr>
          <w:rFonts w:cs="Arial"/>
          <w:szCs w:val="22"/>
        </w:rPr>
        <w:tab/>
      </w:r>
      <w:r>
        <w:rPr>
          <w:rFonts w:cs="Arial"/>
          <w:szCs w:val="22"/>
        </w:rPr>
        <w:tab/>
        <w:t>Upper bound</w:t>
      </w:r>
    </w:p>
    <w:p w:rsidR="00C3449D" w:rsidRPr="00C3449D" w:rsidRDefault="000E0465" w:rsidP="00CE321D">
      <w:pPr>
        <w:spacing w:line="480" w:lineRule="auto"/>
        <w:rPr>
          <w:rFonts w:cs="Arial"/>
          <w:szCs w:val="22"/>
        </w:rPr>
      </w:pPr>
      <w:r w:rsidRPr="00C3449D">
        <w:rPr>
          <w:rFonts w:cs="Arial"/>
          <w:szCs w:val="22"/>
        </w:rPr>
        <w:t>WHO</w:t>
      </w:r>
      <w:r w:rsidRPr="00C3449D">
        <w:rPr>
          <w:rFonts w:cs="Arial"/>
          <w:szCs w:val="22"/>
        </w:rPr>
        <w:tab/>
      </w:r>
      <w:r w:rsidRPr="00C3449D">
        <w:rPr>
          <w:rFonts w:cs="Arial"/>
          <w:szCs w:val="22"/>
        </w:rPr>
        <w:tab/>
      </w:r>
      <w:r w:rsidR="0093577A">
        <w:rPr>
          <w:rFonts w:cs="Arial"/>
          <w:szCs w:val="22"/>
        </w:rPr>
        <w:tab/>
      </w:r>
      <w:r w:rsidRPr="00C3449D">
        <w:rPr>
          <w:rFonts w:cs="Arial"/>
          <w:szCs w:val="22"/>
        </w:rPr>
        <w:t>World Health Organi</w:t>
      </w:r>
      <w:r w:rsidR="003F4C79">
        <w:rPr>
          <w:rFonts w:cs="Arial"/>
          <w:szCs w:val="22"/>
        </w:rPr>
        <w:t>z</w:t>
      </w:r>
      <w:r w:rsidRPr="00C3449D">
        <w:rPr>
          <w:rFonts w:cs="Arial"/>
          <w:szCs w:val="22"/>
        </w:rPr>
        <w:t>ation</w:t>
      </w:r>
    </w:p>
    <w:p w:rsidR="00C3449D" w:rsidRPr="00C3449D" w:rsidRDefault="00C3449D" w:rsidP="00C3449D">
      <w:pPr>
        <w:keepNext/>
        <w:autoSpaceDE w:val="0"/>
        <w:autoSpaceDN w:val="0"/>
        <w:adjustRightInd w:val="0"/>
        <w:rPr>
          <w:rFonts w:cs="Arial"/>
          <w:b/>
          <w:szCs w:val="22"/>
          <w:u w:val="single"/>
        </w:rPr>
      </w:pPr>
    </w:p>
    <w:p w:rsidR="00C3449D" w:rsidRPr="00C3449D" w:rsidRDefault="00C3449D" w:rsidP="00C3449D">
      <w:pPr>
        <w:keepNext/>
        <w:autoSpaceDE w:val="0"/>
        <w:autoSpaceDN w:val="0"/>
        <w:adjustRightInd w:val="0"/>
        <w:rPr>
          <w:rFonts w:cs="Arial"/>
          <w:szCs w:val="22"/>
        </w:rPr>
      </w:pPr>
      <w:r w:rsidRPr="00C3449D">
        <w:rPr>
          <w:rFonts w:cs="Arial"/>
          <w:b/>
          <w:szCs w:val="22"/>
          <w:u w:val="single"/>
        </w:rPr>
        <w:t>Note:</w:t>
      </w:r>
      <w:r w:rsidRPr="00C3449D">
        <w:rPr>
          <w:rFonts w:cs="Arial"/>
          <w:szCs w:val="22"/>
        </w:rPr>
        <w:t xml:space="preserve"> A glossary of terms can be found in Appendix 1</w:t>
      </w:r>
      <w:r w:rsidR="00117FDB">
        <w:rPr>
          <w:rFonts w:cs="Arial"/>
          <w:szCs w:val="22"/>
        </w:rPr>
        <w:t>.</w:t>
      </w:r>
    </w:p>
    <w:p w:rsidR="00162628" w:rsidRPr="000C175B" w:rsidRDefault="00162628" w:rsidP="00CE321D">
      <w:pPr>
        <w:spacing w:line="480" w:lineRule="auto"/>
        <w:rPr>
          <w:rFonts w:cs="Arial"/>
        </w:rPr>
      </w:pPr>
      <w:r w:rsidRPr="000C175B">
        <w:rPr>
          <w:rFonts w:cs="Arial"/>
        </w:rPr>
        <w:br w:type="page"/>
      </w:r>
    </w:p>
    <w:p w:rsidR="0043135C" w:rsidRPr="000C175B" w:rsidRDefault="0043135C" w:rsidP="000C175B">
      <w:pPr>
        <w:pStyle w:val="Heading1"/>
        <w:numPr>
          <w:ilvl w:val="0"/>
          <w:numId w:val="22"/>
        </w:numPr>
        <w:ind w:hanging="720"/>
      </w:pPr>
      <w:bookmarkStart w:id="10" w:name="_Toc338160496"/>
      <w:bookmarkStart w:id="11" w:name="_Toc338160869"/>
      <w:bookmarkStart w:id="12" w:name="_Toc338161484"/>
      <w:bookmarkStart w:id="13" w:name="_Toc338161740"/>
      <w:bookmarkStart w:id="14" w:name="_Toc367957636"/>
      <w:bookmarkStart w:id="15" w:name="_Toc367957735"/>
      <w:bookmarkStart w:id="16" w:name="_Toc384293479"/>
      <w:bookmarkStart w:id="17" w:name="_Toc338160495"/>
      <w:bookmarkStart w:id="18" w:name="_Toc338160868"/>
      <w:bookmarkStart w:id="19" w:name="_Toc338161483"/>
      <w:bookmarkStart w:id="20" w:name="_Toc338161739"/>
      <w:r w:rsidRPr="000C175B">
        <w:lastRenderedPageBreak/>
        <w:t>OBJECTIVE</w:t>
      </w:r>
      <w:bookmarkEnd w:id="10"/>
      <w:bookmarkEnd w:id="11"/>
      <w:bookmarkEnd w:id="12"/>
      <w:bookmarkEnd w:id="13"/>
      <w:r w:rsidR="00885EF0" w:rsidRPr="000C175B">
        <w:t>S</w:t>
      </w:r>
      <w:bookmarkEnd w:id="14"/>
      <w:bookmarkEnd w:id="15"/>
      <w:bookmarkEnd w:id="16"/>
    </w:p>
    <w:p w:rsidR="0043135C" w:rsidRPr="00B05B51" w:rsidRDefault="0043135C" w:rsidP="0043135C">
      <w:pPr>
        <w:rPr>
          <w:rFonts w:cs="Arial"/>
          <w:szCs w:val="22"/>
        </w:rPr>
      </w:pPr>
    </w:p>
    <w:p w:rsidR="0043135C" w:rsidRDefault="0043135C" w:rsidP="0043135C">
      <w:pPr>
        <w:spacing w:after="200"/>
        <w:rPr>
          <w:rFonts w:cs="Arial"/>
          <w:szCs w:val="22"/>
        </w:rPr>
      </w:pPr>
      <w:r w:rsidRPr="00B05B51">
        <w:rPr>
          <w:rFonts w:cs="Arial"/>
          <w:szCs w:val="22"/>
        </w:rPr>
        <w:t xml:space="preserve">The objectives of </w:t>
      </w:r>
      <w:r>
        <w:rPr>
          <w:rFonts w:cs="Arial"/>
          <w:szCs w:val="22"/>
        </w:rPr>
        <w:t xml:space="preserve">the </w:t>
      </w:r>
      <w:r w:rsidR="00381884">
        <w:rPr>
          <w:rFonts w:cs="Arial"/>
          <w:szCs w:val="22"/>
        </w:rPr>
        <w:t xml:space="preserve">ISFR </w:t>
      </w:r>
      <w:r>
        <w:rPr>
          <w:rFonts w:cs="Arial"/>
          <w:szCs w:val="22"/>
        </w:rPr>
        <w:t>survey</w:t>
      </w:r>
      <w:r w:rsidR="00381884">
        <w:rPr>
          <w:rFonts w:cs="Arial"/>
          <w:szCs w:val="22"/>
        </w:rPr>
        <w:t xml:space="preserve"> </w:t>
      </w:r>
      <w:r w:rsidR="002F6FA0">
        <w:rPr>
          <w:rFonts w:cs="Arial"/>
          <w:szCs w:val="22"/>
        </w:rPr>
        <w:t xml:space="preserve">on cyanogenic glycosides </w:t>
      </w:r>
      <w:r w:rsidR="00AC771E">
        <w:rPr>
          <w:rFonts w:cs="Arial"/>
          <w:szCs w:val="22"/>
        </w:rPr>
        <w:t>were</w:t>
      </w:r>
      <w:r>
        <w:rPr>
          <w:rFonts w:cs="Arial"/>
          <w:szCs w:val="22"/>
        </w:rPr>
        <w:t xml:space="preserve"> to</w:t>
      </w:r>
      <w:r w:rsidRPr="00B05B51">
        <w:rPr>
          <w:rFonts w:cs="Arial"/>
          <w:szCs w:val="22"/>
        </w:rPr>
        <w:t>:</w:t>
      </w:r>
    </w:p>
    <w:p w:rsidR="0043135C" w:rsidRDefault="0043135C" w:rsidP="0043135C">
      <w:pPr>
        <w:pStyle w:val="ListParagraph"/>
        <w:numPr>
          <w:ilvl w:val="0"/>
          <w:numId w:val="5"/>
        </w:numPr>
        <w:spacing w:after="200"/>
        <w:rPr>
          <w:rFonts w:ascii="Arial" w:hAnsi="Arial" w:cs="Arial"/>
        </w:rPr>
      </w:pPr>
      <w:r w:rsidRPr="00DB31EC">
        <w:rPr>
          <w:rFonts w:ascii="Arial" w:hAnsi="Arial" w:cs="Arial"/>
        </w:rPr>
        <w:t xml:space="preserve">collect data on levels of </w:t>
      </w:r>
      <w:r>
        <w:rPr>
          <w:rFonts w:ascii="Arial" w:hAnsi="Arial" w:cs="Arial"/>
        </w:rPr>
        <w:t>HCN</w:t>
      </w:r>
      <w:r w:rsidRPr="00DB31EC">
        <w:rPr>
          <w:rFonts w:ascii="Arial" w:hAnsi="Arial" w:cs="Arial"/>
        </w:rPr>
        <w:t xml:space="preserve"> in plant</w:t>
      </w:r>
      <w:r>
        <w:rPr>
          <w:rFonts w:ascii="Arial" w:hAnsi="Arial" w:cs="Arial"/>
        </w:rPr>
        <w:t>-</w:t>
      </w:r>
      <w:r w:rsidRPr="00DB31EC">
        <w:rPr>
          <w:rFonts w:ascii="Arial" w:hAnsi="Arial" w:cs="Arial"/>
        </w:rPr>
        <w:t>based foods, including cassava containing foods other than</w:t>
      </w:r>
      <w:r w:rsidR="008405AF">
        <w:rPr>
          <w:rFonts w:ascii="Arial" w:hAnsi="Arial" w:cs="Arial"/>
        </w:rPr>
        <w:t xml:space="preserve"> ready-to-eat</w:t>
      </w:r>
      <w:r w:rsidRPr="00DB31EC">
        <w:rPr>
          <w:rFonts w:ascii="Arial" w:hAnsi="Arial" w:cs="Arial"/>
        </w:rPr>
        <w:t xml:space="preserve"> </w:t>
      </w:r>
      <w:r w:rsidR="008405AF">
        <w:rPr>
          <w:rFonts w:ascii="Arial" w:hAnsi="Arial" w:cs="Arial"/>
        </w:rPr>
        <w:t>(</w:t>
      </w:r>
      <w:r>
        <w:rPr>
          <w:rFonts w:ascii="Arial" w:hAnsi="Arial" w:cs="Arial"/>
        </w:rPr>
        <w:t>RTE</w:t>
      </w:r>
      <w:r w:rsidR="008405AF">
        <w:rPr>
          <w:rFonts w:ascii="Arial" w:hAnsi="Arial" w:cs="Arial"/>
        </w:rPr>
        <w:t>)</w:t>
      </w:r>
      <w:r w:rsidRPr="00DB31EC">
        <w:rPr>
          <w:rFonts w:ascii="Arial" w:hAnsi="Arial" w:cs="Arial"/>
        </w:rPr>
        <w:t xml:space="preserve"> cassava chips, in the Australian and New Zealand food supply</w:t>
      </w:r>
    </w:p>
    <w:p w:rsidR="0043135C" w:rsidRPr="00DB31EC" w:rsidRDefault="0043135C" w:rsidP="0043135C">
      <w:pPr>
        <w:pStyle w:val="ListParagraph"/>
        <w:numPr>
          <w:ilvl w:val="0"/>
          <w:numId w:val="5"/>
        </w:numPr>
        <w:spacing w:after="200"/>
        <w:rPr>
          <w:rFonts w:ascii="Arial" w:hAnsi="Arial" w:cs="Arial"/>
        </w:rPr>
      </w:pPr>
      <w:r w:rsidRPr="00DB31EC">
        <w:rPr>
          <w:rFonts w:ascii="Arial" w:hAnsi="Arial" w:cs="Arial"/>
        </w:rPr>
        <w:t xml:space="preserve">estimate dietary exposure and assess if there are any health and safety concerns </w:t>
      </w:r>
      <w:r>
        <w:rPr>
          <w:rFonts w:ascii="Arial" w:hAnsi="Arial" w:cs="Arial"/>
        </w:rPr>
        <w:t xml:space="preserve">from </w:t>
      </w:r>
      <w:r w:rsidRPr="00DB31EC">
        <w:rPr>
          <w:rFonts w:ascii="Arial" w:hAnsi="Arial" w:cs="Arial"/>
        </w:rPr>
        <w:t xml:space="preserve">potential exposure to </w:t>
      </w:r>
      <w:r>
        <w:rPr>
          <w:rFonts w:ascii="Arial" w:hAnsi="Arial" w:cs="Arial"/>
        </w:rPr>
        <w:t>HCN from a range of foods</w:t>
      </w:r>
      <w:r w:rsidRPr="00DB31EC">
        <w:rPr>
          <w:rFonts w:ascii="Arial" w:hAnsi="Arial" w:cs="Arial"/>
        </w:rPr>
        <w:t>, as well as inform any future standards development in Australia and New Zealand.</w:t>
      </w:r>
    </w:p>
    <w:p w:rsidR="00E8674B" w:rsidRDefault="00E8674B">
      <w:pPr>
        <w:spacing w:after="200" w:line="276" w:lineRule="auto"/>
        <w:rPr>
          <w:b/>
          <w:bCs/>
        </w:rPr>
      </w:pPr>
      <w:r>
        <w:br w:type="page"/>
      </w:r>
    </w:p>
    <w:p w:rsidR="00EE4365" w:rsidRPr="00B05B51" w:rsidRDefault="00EE4365" w:rsidP="000C175B">
      <w:pPr>
        <w:pStyle w:val="Heading1"/>
        <w:numPr>
          <w:ilvl w:val="0"/>
          <w:numId w:val="22"/>
        </w:numPr>
        <w:ind w:hanging="720"/>
      </w:pPr>
      <w:bookmarkStart w:id="21" w:name="_Toc367957637"/>
      <w:bookmarkStart w:id="22" w:name="_Toc367957736"/>
      <w:bookmarkStart w:id="23" w:name="_Toc384293480"/>
      <w:r w:rsidRPr="00B05B51">
        <w:lastRenderedPageBreak/>
        <w:t>BACKGROUND</w:t>
      </w:r>
      <w:bookmarkEnd w:id="17"/>
      <w:bookmarkEnd w:id="18"/>
      <w:bookmarkEnd w:id="19"/>
      <w:bookmarkEnd w:id="20"/>
      <w:bookmarkEnd w:id="21"/>
      <w:bookmarkEnd w:id="22"/>
      <w:bookmarkEnd w:id="23"/>
    </w:p>
    <w:p w:rsidR="00E17F1B" w:rsidRDefault="00E17F1B" w:rsidP="00D958B1">
      <w:pPr>
        <w:rPr>
          <w:rFonts w:cs="Arial"/>
          <w:szCs w:val="22"/>
        </w:rPr>
      </w:pPr>
    </w:p>
    <w:p w:rsidR="0031561C" w:rsidRDefault="00E17F1B" w:rsidP="0031561C">
      <w:pPr>
        <w:rPr>
          <w:rFonts w:cs="Arial"/>
          <w:szCs w:val="22"/>
        </w:rPr>
      </w:pPr>
      <w:r w:rsidRPr="00563634">
        <w:rPr>
          <w:rFonts w:cs="Arial"/>
          <w:szCs w:val="22"/>
        </w:rPr>
        <w:t>Plants contain many substances that can pose potential risks to consumers, and one of these types of substances is cyanogenic glycosides.</w:t>
      </w:r>
      <w:r w:rsidR="0031561C">
        <w:rPr>
          <w:rFonts w:cs="Arial"/>
          <w:szCs w:val="22"/>
        </w:rPr>
        <w:t xml:space="preserve"> </w:t>
      </w:r>
      <w:r w:rsidR="0031561C" w:rsidRPr="0031561C">
        <w:rPr>
          <w:rFonts w:cs="Arial"/>
          <w:szCs w:val="22"/>
        </w:rPr>
        <w:t xml:space="preserve">There are approximately 25 </w:t>
      </w:r>
      <w:r w:rsidR="0031561C">
        <w:rPr>
          <w:rFonts w:cs="Arial"/>
          <w:szCs w:val="22"/>
        </w:rPr>
        <w:t xml:space="preserve">known </w:t>
      </w:r>
      <w:r w:rsidR="0031561C" w:rsidRPr="0031561C">
        <w:rPr>
          <w:rFonts w:cs="Arial"/>
          <w:szCs w:val="22"/>
        </w:rPr>
        <w:t>cyanogenic glycosides</w:t>
      </w:r>
      <w:r w:rsidR="0031561C">
        <w:rPr>
          <w:rFonts w:cs="Arial"/>
          <w:szCs w:val="22"/>
        </w:rPr>
        <w:t xml:space="preserve"> and these are generally found in the edible parts of plants, including </w:t>
      </w:r>
      <w:r w:rsidR="0031561C" w:rsidRPr="0031561C">
        <w:rPr>
          <w:rFonts w:cs="Arial"/>
          <w:szCs w:val="22"/>
        </w:rPr>
        <w:t xml:space="preserve">almonds, stone fruit, pome fruit, </w:t>
      </w:r>
      <w:r w:rsidR="0031561C">
        <w:rPr>
          <w:rFonts w:cs="Arial"/>
          <w:szCs w:val="22"/>
        </w:rPr>
        <w:t xml:space="preserve">cassava, bamboo shoots, linseed/flaxseed and lima beans </w:t>
      </w:r>
      <w:r w:rsidR="0031561C" w:rsidRPr="0031561C">
        <w:rPr>
          <w:rFonts w:cs="Arial"/>
          <w:szCs w:val="22"/>
        </w:rPr>
        <w:t>(</w:t>
      </w:r>
      <w:r w:rsidR="0031561C" w:rsidRPr="00EE75F2">
        <w:rPr>
          <w:rFonts w:cs="Arial"/>
          <w:szCs w:val="22"/>
        </w:rPr>
        <w:t>Codex Committee on Contaminants in Foods, 2008; Haque and Bradbury, 2002).</w:t>
      </w:r>
      <w:r w:rsidR="0031561C" w:rsidRPr="0031561C">
        <w:rPr>
          <w:rFonts w:cs="Arial"/>
          <w:szCs w:val="22"/>
        </w:rPr>
        <w:t xml:space="preserve"> </w:t>
      </w:r>
    </w:p>
    <w:p w:rsidR="0031561C" w:rsidRDefault="0031561C" w:rsidP="0031561C">
      <w:pPr>
        <w:rPr>
          <w:rFonts w:cs="Arial"/>
          <w:szCs w:val="22"/>
        </w:rPr>
      </w:pPr>
    </w:p>
    <w:p w:rsidR="0031561C" w:rsidRDefault="0031561C" w:rsidP="00710641">
      <w:pPr>
        <w:pStyle w:val="Heading2"/>
      </w:pPr>
      <w:bookmarkStart w:id="24" w:name="_Toc367957737"/>
      <w:bookmarkStart w:id="25" w:name="_Toc384293481"/>
      <w:r>
        <w:t>2.1</w:t>
      </w:r>
      <w:r w:rsidR="00391DE3">
        <w:tab/>
      </w:r>
      <w:r>
        <w:t>Structure</w:t>
      </w:r>
      <w:r w:rsidR="00AC103B">
        <w:t>, breakdown and mechanism of toxicity</w:t>
      </w:r>
      <w:bookmarkEnd w:id="24"/>
      <w:bookmarkEnd w:id="25"/>
      <w:r w:rsidR="00AC103B">
        <w:t xml:space="preserve"> </w:t>
      </w:r>
    </w:p>
    <w:p w:rsidR="0031561C" w:rsidRDefault="0031561C" w:rsidP="0031561C">
      <w:pPr>
        <w:rPr>
          <w:rFonts w:cs="Arial"/>
          <w:szCs w:val="22"/>
        </w:rPr>
      </w:pPr>
    </w:p>
    <w:p w:rsidR="0031561C" w:rsidRDefault="0031561C" w:rsidP="0031561C">
      <w:pPr>
        <w:rPr>
          <w:rFonts w:cs="Arial"/>
          <w:szCs w:val="22"/>
        </w:rPr>
      </w:pPr>
      <w:r>
        <w:rPr>
          <w:rFonts w:cs="Arial"/>
          <w:szCs w:val="22"/>
        </w:rPr>
        <w:t xml:space="preserve">Cyanogenic glycosides </w:t>
      </w:r>
      <w:r w:rsidR="00E17F1B" w:rsidRPr="00563634">
        <w:rPr>
          <w:rFonts w:cs="Arial"/>
          <w:szCs w:val="22"/>
        </w:rPr>
        <w:t xml:space="preserve">are naturally occurring sugars that have the cyanide moiety in their structure. </w:t>
      </w:r>
      <w:r w:rsidRPr="0031561C">
        <w:rPr>
          <w:rFonts w:cs="Arial"/>
          <w:szCs w:val="22"/>
        </w:rPr>
        <w:t xml:space="preserve">The basic structure </w:t>
      </w:r>
      <w:r w:rsidR="00940C40">
        <w:rPr>
          <w:rFonts w:cs="Arial"/>
          <w:szCs w:val="22"/>
        </w:rPr>
        <w:t xml:space="preserve">and two examples of common cyanogenic glycosides </w:t>
      </w:r>
      <w:r w:rsidR="00CB0AE4">
        <w:rPr>
          <w:rFonts w:cs="Arial"/>
          <w:szCs w:val="22"/>
        </w:rPr>
        <w:t>are</w:t>
      </w:r>
      <w:r w:rsidR="00940C40">
        <w:rPr>
          <w:rFonts w:cs="Arial"/>
          <w:szCs w:val="22"/>
        </w:rPr>
        <w:t xml:space="preserve"> shown</w:t>
      </w:r>
      <w:r w:rsidRPr="0031561C">
        <w:rPr>
          <w:rFonts w:cs="Arial"/>
          <w:szCs w:val="22"/>
        </w:rPr>
        <w:t xml:space="preserve"> in </w:t>
      </w:r>
      <w:r w:rsidR="00C331D9">
        <w:rPr>
          <w:rFonts w:cs="Arial"/>
          <w:szCs w:val="22"/>
        </w:rPr>
        <w:t>Figure 1</w:t>
      </w:r>
      <w:r w:rsidRPr="0031561C">
        <w:rPr>
          <w:rFonts w:cs="Arial"/>
          <w:szCs w:val="22"/>
        </w:rPr>
        <w:t xml:space="preserve">. </w:t>
      </w:r>
    </w:p>
    <w:p w:rsidR="00CB0AE4" w:rsidRDefault="00CB0AE4" w:rsidP="0031561C">
      <w:pPr>
        <w:rPr>
          <w:rFonts w:cs="Arial"/>
          <w:szCs w:val="22"/>
        </w:rPr>
      </w:pPr>
    </w:p>
    <w:p w:rsidR="00CB0AE4" w:rsidRDefault="00CB0AE4" w:rsidP="00CB0AE4">
      <w:pPr>
        <w:jc w:val="center"/>
        <w:rPr>
          <w:rFonts w:cs="Arial"/>
          <w:szCs w:val="22"/>
        </w:rPr>
      </w:pPr>
      <w:r w:rsidRPr="00AA55ED">
        <w:rPr>
          <w:color w:val="000000"/>
          <w:lang w:val="en-NZ"/>
        </w:rPr>
        <w:object w:dxaOrig="3000" w:dyaOrig="1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84.75pt" o:ole="">
            <v:imagedata r:id="rId12" o:title=""/>
          </v:shape>
          <o:OLEObject Type="Embed" ProgID="ISISServer" ShapeID="_x0000_i1025" DrawAspect="Content" ObjectID="_1458993351" r:id="rId13"/>
        </w:object>
      </w:r>
    </w:p>
    <w:p w:rsidR="00CB0AE4" w:rsidRDefault="00CB0AE4" w:rsidP="0031561C">
      <w:pPr>
        <w:rPr>
          <w:rFonts w:cs="Arial"/>
          <w:szCs w:val="22"/>
        </w:rPr>
      </w:pPr>
      <w:r>
        <w:rPr>
          <w:noProof/>
          <w:lang w:val="en-GB" w:eastAsia="en-GB"/>
        </w:rPr>
        <mc:AlternateContent>
          <mc:Choice Requires="wps">
            <w:drawing>
              <wp:anchor distT="0" distB="0" distL="114300" distR="114300" simplePos="0" relativeHeight="251682816" behindDoc="0" locked="0" layoutInCell="1" allowOverlap="1" wp14:anchorId="7D9FFD96" wp14:editId="7DD05CE0">
                <wp:simplePos x="0" y="0"/>
                <wp:positionH relativeFrom="column">
                  <wp:posOffset>1842135</wp:posOffset>
                </wp:positionH>
                <wp:positionV relativeFrom="paragraph">
                  <wp:posOffset>108585</wp:posOffset>
                </wp:positionV>
                <wp:extent cx="2552700" cy="304800"/>
                <wp:effectExtent l="0" t="0" r="0" b="0"/>
                <wp:wrapSquare wrapText="bothSides"/>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9B2" w:rsidRPr="00CB0AE4" w:rsidRDefault="00EB39B2" w:rsidP="00CB0AE4">
                            <w:pPr>
                              <w:pStyle w:val="Header"/>
                              <w:tabs>
                                <w:tab w:val="clear" w:pos="4153"/>
                                <w:tab w:val="clear" w:pos="8306"/>
                              </w:tabs>
                              <w:rPr>
                                <w:rFonts w:cs="Arial"/>
                                <w:sz w:val="20"/>
                                <w:szCs w:val="20"/>
                              </w:rPr>
                            </w:pPr>
                            <w:r w:rsidRPr="00CB0AE4">
                              <w:rPr>
                                <w:rFonts w:cs="Arial"/>
                                <w:sz w:val="20"/>
                                <w:szCs w:val="20"/>
                              </w:rPr>
                              <w:t>cyanogenic glycoside basic structure</w:t>
                            </w:r>
                          </w:p>
                          <w:p w:rsidR="00EB39B2" w:rsidRDefault="00EB39B2" w:rsidP="00CB0AE4">
                            <w:pPr>
                              <w:pStyle w:val="Header"/>
                              <w:tabs>
                                <w:tab w:val="clear" w:pos="4153"/>
                                <w:tab w:val="clear" w:pos="8306"/>
                              </w:tabs>
                            </w:pPr>
                          </w:p>
                          <w:p w:rsidR="00EB39B2" w:rsidRDefault="00EB39B2" w:rsidP="00CB0A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45.05pt;margin-top:8.55pt;width:201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dMgQ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" stroked="f">
                <v:textbox>
                  <w:txbxContent>
                    <w:p w:rsidR="00EB39B2" w:rsidRPr="00CB0AE4" w:rsidRDefault="00EB39B2" w:rsidP="00CB0AE4">
                      <w:pPr>
                        <w:pStyle w:val="Header"/>
                        <w:tabs>
                          <w:tab w:val="clear" w:pos="4153"/>
                          <w:tab w:val="clear" w:pos="8306"/>
                        </w:tabs>
                        <w:rPr>
                          <w:rFonts w:cs="Arial"/>
                          <w:sz w:val="20"/>
                          <w:szCs w:val="20"/>
                        </w:rPr>
                      </w:pPr>
                      <w:proofErr w:type="gramStart"/>
                      <w:r w:rsidRPr="00CB0AE4">
                        <w:rPr>
                          <w:rFonts w:cs="Arial"/>
                          <w:sz w:val="20"/>
                          <w:szCs w:val="20"/>
                        </w:rPr>
                        <w:t>cyanogenic</w:t>
                      </w:r>
                      <w:proofErr w:type="gramEnd"/>
                      <w:r w:rsidRPr="00CB0AE4">
                        <w:rPr>
                          <w:rFonts w:cs="Arial"/>
                          <w:sz w:val="20"/>
                          <w:szCs w:val="20"/>
                        </w:rPr>
                        <w:t xml:space="preserve"> glycoside basic structure</w:t>
                      </w:r>
                    </w:p>
                    <w:p w:rsidR="00EB39B2" w:rsidRDefault="00EB39B2" w:rsidP="00CB0AE4">
                      <w:pPr>
                        <w:pStyle w:val="Header"/>
                        <w:tabs>
                          <w:tab w:val="clear" w:pos="4153"/>
                          <w:tab w:val="clear" w:pos="8306"/>
                        </w:tabs>
                      </w:pPr>
                    </w:p>
                    <w:p w:rsidR="00EB39B2" w:rsidRDefault="00EB39B2" w:rsidP="00CB0AE4"/>
                  </w:txbxContent>
                </v:textbox>
                <w10:wrap type="square"/>
              </v:shape>
            </w:pict>
          </mc:Fallback>
        </mc:AlternateContent>
      </w:r>
    </w:p>
    <w:p w:rsidR="00940C40" w:rsidRPr="00940C40" w:rsidRDefault="00940C40" w:rsidP="00940C40">
      <w:pPr>
        <w:pStyle w:val="BodyText"/>
        <w:rPr>
          <w:color w:val="auto"/>
        </w:rPr>
      </w:pPr>
    </w:p>
    <w:p w:rsidR="00940C40" w:rsidRPr="00940C40" w:rsidRDefault="00940C40" w:rsidP="00940C40">
      <w:pPr>
        <w:pStyle w:val="Header"/>
        <w:tabs>
          <w:tab w:val="clear" w:pos="4153"/>
          <w:tab w:val="clear" w:pos="8306"/>
        </w:tabs>
      </w:pPr>
    </w:p>
    <w:p w:rsidR="00940C40" w:rsidRPr="00940C40" w:rsidRDefault="00940C40" w:rsidP="00940C40">
      <w:pPr>
        <w:pStyle w:val="Header"/>
        <w:tabs>
          <w:tab w:val="clear" w:pos="4153"/>
          <w:tab w:val="clear" w:pos="8306"/>
        </w:tabs>
      </w:pPr>
    </w:p>
    <w:p w:rsidR="00940C40" w:rsidRPr="008C2EE2" w:rsidRDefault="00940C40" w:rsidP="00940C40">
      <w:pPr>
        <w:pStyle w:val="Header"/>
        <w:tabs>
          <w:tab w:val="clear" w:pos="4153"/>
          <w:tab w:val="clear" w:pos="8306"/>
        </w:tabs>
        <w:rPr>
          <w:highlight w:val="yellow"/>
        </w:rPr>
      </w:pPr>
      <w:r>
        <w:rPr>
          <w:noProof/>
          <w:lang w:val="en-GB" w:eastAsia="en-GB"/>
        </w:rPr>
        <mc:AlternateContent>
          <mc:Choice Requires="wps">
            <w:drawing>
              <wp:anchor distT="0" distB="0" distL="114300" distR="114300" simplePos="0" relativeHeight="251667456" behindDoc="0" locked="0" layoutInCell="1" allowOverlap="1" wp14:anchorId="3D87ECA5" wp14:editId="228E45BE">
                <wp:simplePos x="0" y="0"/>
                <wp:positionH relativeFrom="column">
                  <wp:posOffset>685165</wp:posOffset>
                </wp:positionH>
                <wp:positionV relativeFrom="paragraph">
                  <wp:posOffset>24130</wp:posOffset>
                </wp:positionV>
                <wp:extent cx="2828925" cy="1511935"/>
                <wp:effectExtent l="0" t="0" r="9525"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51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9B2" w:rsidRDefault="00EB39B2" w:rsidP="00940C40">
                            <w:r>
                              <w:object w:dxaOrig="4170" w:dyaOrig="2235">
                                <v:shape id="_x0000_i1027" type="#_x0000_t75" style="width:201.75pt;height:109.5pt" o:ole="">
                                  <v:imagedata r:id="rId14" o:title=""/>
                                </v:shape>
                                <o:OLEObject Type="Embed" ProgID="ISISServer" ShapeID="_x0000_i1027" DrawAspect="Content" ObjectID="_1458993352" r:id="rId15"/>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3.95pt;margin-top:1.9pt;width:222.75pt;height:11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" stroked="f">
                <v:textbox>
                  <w:txbxContent>
                    <w:p w:rsidR="00EB39B2" w:rsidRDefault="00EB39B2" w:rsidP="00940C40">
                      <w:r>
                        <w:object w:dxaOrig="4170" w:dyaOrig="2235">
                          <v:shape id="_x0000_i1027" type="#_x0000_t75" style="width:201.75pt;height:109.5pt" o:ole="">
                            <v:imagedata r:id="rId16" o:title=""/>
                          </v:shape>
                          <o:OLEObject Type="Embed" ProgID="ISISServer" ShapeID="_x0000_i1027" DrawAspect="Content" ObjectID="_1458110601" r:id="rId17"/>
                        </w:object>
                      </w:r>
                    </w:p>
                  </w:txbxContent>
                </v:textbox>
              </v:shape>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47164EA8" wp14:editId="3DD46B8F">
                <wp:simplePos x="0" y="0"/>
                <wp:positionH relativeFrom="column">
                  <wp:posOffset>51435</wp:posOffset>
                </wp:positionH>
                <wp:positionV relativeFrom="paragraph">
                  <wp:posOffset>52705</wp:posOffset>
                </wp:positionV>
                <wp:extent cx="2400300" cy="1257300"/>
                <wp:effectExtent l="0" t="0" r="0" b="0"/>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9B2" w:rsidRDefault="00EB39B2" w:rsidP="00940C40">
                            <w:r>
                              <w:object w:dxaOrig="3105" w:dyaOrig="1725">
                                <v:shape id="_x0000_i1029" type="#_x0000_t75" style="width:156.75pt;height:84pt" o:ole="">
                                  <v:imagedata r:id="rId18" o:title=""/>
                                </v:shape>
                                <o:OLEObject Type="Embed" ProgID="ISISServer" ShapeID="_x0000_i1029" DrawAspect="Content" ObjectID="_1458993353" r:id="rId19"/>
                              </w:object>
                            </w:r>
                          </w:p>
                          <w:p w:rsidR="00EB39B2" w:rsidRDefault="00EB39B2" w:rsidP="00940C40"/>
                          <w:p w:rsidR="00EB39B2" w:rsidRDefault="00EB39B2" w:rsidP="00940C40"/>
                          <w:p w:rsidR="00EB39B2" w:rsidRDefault="00EB39B2" w:rsidP="00940C40"/>
                          <w:p w:rsidR="00EB39B2" w:rsidRDefault="00EB39B2" w:rsidP="00940C40"/>
                          <w:p w:rsidR="00EB39B2" w:rsidRDefault="00EB39B2" w:rsidP="00940C40"/>
                          <w:p w:rsidR="00EB39B2" w:rsidRDefault="00EB39B2" w:rsidP="00940C40"/>
                          <w:p w:rsidR="00EB39B2" w:rsidRDefault="00EB39B2" w:rsidP="00940C40"/>
                          <w:p w:rsidR="00EB39B2" w:rsidRDefault="00EB39B2" w:rsidP="00940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05pt;margin-top:4.15pt;width:189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" stroked="f">
                <v:textbox>
                  <w:txbxContent>
                    <w:p w:rsidR="00EB39B2" w:rsidRDefault="00EB39B2" w:rsidP="00940C40">
                      <w:r>
                        <w:object w:dxaOrig="3105" w:dyaOrig="1725">
                          <v:shape id="_x0000_i1029" type="#_x0000_t75" style="width:156.75pt;height:84pt" o:ole="">
                            <v:imagedata r:id="rId20" o:title=""/>
                          </v:shape>
                          <o:OLEObject Type="Embed" ProgID="ISISServer" ShapeID="_x0000_i1029" DrawAspect="Content" ObjectID="_1458110602" r:id="rId21"/>
                        </w:object>
                      </w:r>
                    </w:p>
                    <w:p w:rsidR="00EB39B2" w:rsidRDefault="00EB39B2" w:rsidP="00940C40"/>
                    <w:p w:rsidR="00EB39B2" w:rsidRDefault="00EB39B2" w:rsidP="00940C40"/>
                    <w:p w:rsidR="00EB39B2" w:rsidRDefault="00EB39B2" w:rsidP="00940C40"/>
                    <w:p w:rsidR="00EB39B2" w:rsidRDefault="00EB39B2" w:rsidP="00940C40"/>
                    <w:p w:rsidR="00EB39B2" w:rsidRDefault="00EB39B2" w:rsidP="00940C40"/>
                    <w:p w:rsidR="00EB39B2" w:rsidRDefault="00EB39B2" w:rsidP="00940C40"/>
                    <w:p w:rsidR="00EB39B2" w:rsidRDefault="00EB39B2" w:rsidP="00940C40"/>
                    <w:p w:rsidR="00EB39B2" w:rsidRDefault="00EB39B2" w:rsidP="00940C40"/>
                  </w:txbxContent>
                </v:textbox>
                <w10:wrap type="square"/>
              </v:shape>
            </w:pict>
          </mc:Fallback>
        </mc:AlternateContent>
      </w:r>
    </w:p>
    <w:p w:rsidR="00940C40" w:rsidRPr="008C2EE2" w:rsidRDefault="00940C40" w:rsidP="00940C40">
      <w:pPr>
        <w:pStyle w:val="Header"/>
        <w:tabs>
          <w:tab w:val="clear" w:pos="4153"/>
          <w:tab w:val="clear" w:pos="8306"/>
        </w:tabs>
        <w:rPr>
          <w:highlight w:val="yellow"/>
        </w:rPr>
      </w:pPr>
    </w:p>
    <w:p w:rsidR="00940C40" w:rsidRPr="008C2EE2" w:rsidRDefault="00940C40" w:rsidP="00940C40">
      <w:pPr>
        <w:pStyle w:val="Header"/>
        <w:tabs>
          <w:tab w:val="clear" w:pos="4153"/>
          <w:tab w:val="clear" w:pos="8306"/>
        </w:tabs>
        <w:rPr>
          <w:highlight w:val="yellow"/>
        </w:rPr>
      </w:pPr>
    </w:p>
    <w:p w:rsidR="00940C40" w:rsidRPr="008C2EE2" w:rsidRDefault="00940C40" w:rsidP="00940C40">
      <w:pPr>
        <w:pStyle w:val="Header"/>
        <w:tabs>
          <w:tab w:val="clear" w:pos="4153"/>
          <w:tab w:val="clear" w:pos="8306"/>
        </w:tabs>
        <w:rPr>
          <w:highlight w:val="yellow"/>
        </w:rPr>
      </w:pPr>
    </w:p>
    <w:p w:rsidR="00940C40" w:rsidRPr="008C2EE2" w:rsidRDefault="00940C40" w:rsidP="00940C40">
      <w:pPr>
        <w:pStyle w:val="Header"/>
        <w:tabs>
          <w:tab w:val="clear" w:pos="4153"/>
          <w:tab w:val="clear" w:pos="8306"/>
        </w:tabs>
        <w:rPr>
          <w:highlight w:val="yellow"/>
        </w:rPr>
      </w:pPr>
    </w:p>
    <w:p w:rsidR="00940C40" w:rsidRPr="008C2EE2" w:rsidRDefault="00940C40" w:rsidP="00940C40">
      <w:pPr>
        <w:pStyle w:val="Header"/>
        <w:tabs>
          <w:tab w:val="clear" w:pos="4153"/>
          <w:tab w:val="clear" w:pos="8306"/>
        </w:tabs>
        <w:rPr>
          <w:highlight w:val="yellow"/>
        </w:rPr>
      </w:pPr>
    </w:p>
    <w:p w:rsidR="00940C40" w:rsidRPr="008C2EE2" w:rsidRDefault="00940C40" w:rsidP="00940C40">
      <w:pPr>
        <w:pStyle w:val="Header"/>
        <w:tabs>
          <w:tab w:val="clear" w:pos="4153"/>
          <w:tab w:val="clear" w:pos="8306"/>
        </w:tabs>
        <w:rPr>
          <w:highlight w:val="yellow"/>
        </w:rPr>
      </w:pPr>
      <w:r>
        <w:rPr>
          <w:noProof/>
          <w:lang w:val="en-GB" w:eastAsia="en-GB"/>
        </w:rPr>
        <mc:AlternateContent>
          <mc:Choice Requires="wps">
            <w:drawing>
              <wp:anchor distT="0" distB="0" distL="114300" distR="114300" simplePos="0" relativeHeight="251668480" behindDoc="0" locked="0" layoutInCell="1" allowOverlap="1" wp14:anchorId="192F0F57" wp14:editId="3D6C2D89">
                <wp:simplePos x="0" y="0"/>
                <wp:positionH relativeFrom="column">
                  <wp:posOffset>-1943735</wp:posOffset>
                </wp:positionH>
                <wp:positionV relativeFrom="paragraph">
                  <wp:posOffset>165735</wp:posOffset>
                </wp:positionV>
                <wp:extent cx="1028700" cy="228600"/>
                <wp:effectExtent l="0" t="0" r="0" b="0"/>
                <wp:wrapSquare wrapText="bothSides"/>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9B2" w:rsidRPr="00CB0AE4" w:rsidRDefault="00EB39B2" w:rsidP="00940C40">
                            <w:pPr>
                              <w:pStyle w:val="Header"/>
                              <w:tabs>
                                <w:tab w:val="clear" w:pos="4153"/>
                                <w:tab w:val="clear" w:pos="8306"/>
                              </w:tabs>
                              <w:rPr>
                                <w:rFonts w:cs="Arial"/>
                                <w:sz w:val="20"/>
                                <w:szCs w:val="20"/>
                              </w:rPr>
                            </w:pPr>
                            <w:r w:rsidRPr="00CB0AE4">
                              <w:rPr>
                                <w:rFonts w:cs="Arial"/>
                                <w:sz w:val="20"/>
                                <w:szCs w:val="20"/>
                              </w:rPr>
                              <w:t>linamarin</w:t>
                            </w:r>
                          </w:p>
                          <w:p w:rsidR="00EB39B2" w:rsidRPr="00CB0AE4" w:rsidRDefault="00EB39B2" w:rsidP="00940C40">
                            <w:pPr>
                              <w:pStyle w:val="Header"/>
                              <w:tabs>
                                <w:tab w:val="clear" w:pos="4153"/>
                                <w:tab w:val="clear" w:pos="8306"/>
                              </w:tabs>
                              <w:rPr>
                                <w:rFonts w:cs="Arial"/>
                                <w:sz w:val="20"/>
                                <w:szCs w:val="20"/>
                              </w:rPr>
                            </w:pPr>
                          </w:p>
                          <w:p w:rsidR="00EB39B2" w:rsidRPr="00CB0AE4" w:rsidRDefault="00EB39B2" w:rsidP="00940C4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53.05pt;margin-top:13.05pt;width:81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2QggIAABc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" stroked="f">
                <v:textbox>
                  <w:txbxContent>
                    <w:p w:rsidR="00EB39B2" w:rsidRPr="00CB0AE4" w:rsidRDefault="00EB39B2" w:rsidP="00940C40">
                      <w:pPr>
                        <w:pStyle w:val="Header"/>
                        <w:tabs>
                          <w:tab w:val="clear" w:pos="4153"/>
                          <w:tab w:val="clear" w:pos="8306"/>
                        </w:tabs>
                        <w:rPr>
                          <w:rFonts w:cs="Arial"/>
                          <w:sz w:val="20"/>
                          <w:szCs w:val="20"/>
                        </w:rPr>
                      </w:pPr>
                      <w:proofErr w:type="gramStart"/>
                      <w:r w:rsidRPr="00CB0AE4">
                        <w:rPr>
                          <w:rFonts w:cs="Arial"/>
                          <w:sz w:val="20"/>
                          <w:szCs w:val="20"/>
                        </w:rPr>
                        <w:t>linamarin</w:t>
                      </w:r>
                      <w:proofErr w:type="gramEnd"/>
                    </w:p>
                    <w:p w:rsidR="00EB39B2" w:rsidRPr="00CB0AE4" w:rsidRDefault="00EB39B2" w:rsidP="00940C40">
                      <w:pPr>
                        <w:pStyle w:val="Header"/>
                        <w:tabs>
                          <w:tab w:val="clear" w:pos="4153"/>
                          <w:tab w:val="clear" w:pos="8306"/>
                        </w:tabs>
                        <w:rPr>
                          <w:rFonts w:cs="Arial"/>
                          <w:sz w:val="20"/>
                          <w:szCs w:val="20"/>
                        </w:rPr>
                      </w:pPr>
                    </w:p>
                    <w:p w:rsidR="00EB39B2" w:rsidRPr="00CB0AE4" w:rsidRDefault="00EB39B2" w:rsidP="00940C40">
                      <w:pPr>
                        <w:rPr>
                          <w:rFonts w:cs="Arial"/>
                          <w:sz w:val="20"/>
                          <w:szCs w:val="20"/>
                        </w:rPr>
                      </w:pPr>
                    </w:p>
                  </w:txbxContent>
                </v:textbox>
                <w10:wrap type="square"/>
              </v:shape>
            </w:pict>
          </mc:Fallback>
        </mc:AlternateContent>
      </w:r>
      <w:r>
        <w:rPr>
          <w:noProof/>
          <w:lang w:val="en-GB" w:eastAsia="en-GB"/>
        </w:rPr>
        <mc:AlternateContent>
          <mc:Choice Requires="wps">
            <w:drawing>
              <wp:anchor distT="0" distB="0" distL="114300" distR="114300" simplePos="0" relativeHeight="251669504" behindDoc="0" locked="0" layoutInCell="1" allowOverlap="1" wp14:anchorId="7A1BABB2" wp14:editId="1296BE15">
                <wp:simplePos x="0" y="0"/>
                <wp:positionH relativeFrom="column">
                  <wp:posOffset>1485265</wp:posOffset>
                </wp:positionH>
                <wp:positionV relativeFrom="paragraph">
                  <wp:posOffset>165735</wp:posOffset>
                </wp:positionV>
                <wp:extent cx="1028700" cy="342900"/>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9B2" w:rsidRPr="00BC320E" w:rsidRDefault="00EB39B2" w:rsidP="00940C40">
                            <w:pPr>
                              <w:rPr>
                                <w:rFonts w:cs="Arial"/>
                                <w:sz w:val="20"/>
                                <w:szCs w:val="20"/>
                              </w:rPr>
                            </w:pPr>
                            <w:r w:rsidRPr="00BC320E">
                              <w:rPr>
                                <w:rFonts w:cs="Arial"/>
                                <w:sz w:val="20"/>
                                <w:szCs w:val="20"/>
                              </w:rPr>
                              <w:t>amygdalin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116.95pt;margin-top:13.05pt;width:81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0pGggIAABc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" stroked="f">
                <v:textbox>
                  <w:txbxContent>
                    <w:p w:rsidR="00EB39B2" w:rsidRPr="00BC320E" w:rsidRDefault="00EB39B2" w:rsidP="00940C40">
                      <w:pPr>
                        <w:rPr>
                          <w:rFonts w:cs="Arial"/>
                          <w:sz w:val="20"/>
                          <w:szCs w:val="20"/>
                        </w:rPr>
                      </w:pPr>
                      <w:proofErr w:type="gramStart"/>
                      <w:r w:rsidRPr="00BC320E">
                        <w:rPr>
                          <w:rFonts w:cs="Arial"/>
                          <w:sz w:val="20"/>
                          <w:szCs w:val="20"/>
                        </w:rPr>
                        <w:t>amygdalin</w:t>
                      </w:r>
                      <w:proofErr w:type="gramEnd"/>
                    </w:p>
                  </w:txbxContent>
                </v:textbox>
              </v:shape>
            </w:pict>
          </mc:Fallback>
        </mc:AlternateContent>
      </w:r>
    </w:p>
    <w:p w:rsidR="0031561C" w:rsidRPr="008C2EE2" w:rsidRDefault="0031561C" w:rsidP="0031561C">
      <w:pPr>
        <w:pStyle w:val="Header"/>
        <w:tabs>
          <w:tab w:val="clear" w:pos="4153"/>
          <w:tab w:val="clear" w:pos="8306"/>
        </w:tabs>
        <w:rPr>
          <w:highlight w:val="yellow"/>
        </w:rPr>
      </w:pPr>
    </w:p>
    <w:p w:rsidR="00940C40" w:rsidRDefault="00940C40" w:rsidP="00BC320E">
      <w:pPr>
        <w:pStyle w:val="Caption"/>
        <w:jc w:val="center"/>
      </w:pPr>
      <w:bookmarkStart w:id="26" w:name="_Ref159045468"/>
      <w:bookmarkStart w:id="27" w:name="_Toc162425021"/>
      <w:bookmarkStart w:id="28" w:name="_Toc357780701"/>
    </w:p>
    <w:bookmarkEnd w:id="26"/>
    <w:bookmarkEnd w:id="27"/>
    <w:bookmarkEnd w:id="28"/>
    <w:p w:rsidR="0031561C" w:rsidRPr="00BC320E" w:rsidRDefault="0031561C" w:rsidP="0031561C">
      <w:pPr>
        <w:jc w:val="both"/>
        <w:rPr>
          <w:rFonts w:cs="Arial"/>
          <w:sz w:val="16"/>
          <w:szCs w:val="16"/>
          <w:highlight w:val="yellow"/>
        </w:rPr>
      </w:pPr>
      <w:r w:rsidRPr="00BC320E">
        <w:rPr>
          <w:rFonts w:cs="Arial"/>
          <w:sz w:val="16"/>
          <w:szCs w:val="16"/>
        </w:rPr>
        <w:t xml:space="preserve">R1 may be a methyl group, a phenyl or </w:t>
      </w:r>
      <w:r w:rsidRPr="00BC320E">
        <w:rPr>
          <w:rFonts w:cs="Arial"/>
          <w:i/>
          <w:sz w:val="16"/>
          <w:szCs w:val="16"/>
        </w:rPr>
        <w:t>p</w:t>
      </w:r>
      <w:r w:rsidRPr="00BC320E">
        <w:rPr>
          <w:rFonts w:cs="Arial"/>
          <w:sz w:val="16"/>
          <w:szCs w:val="16"/>
        </w:rPr>
        <w:t>-hydroxyphenyl group. R2 is most commonly hydrogen, but may also be a methyl or ethyl group. The sugar moiety may be either glucose (monosaccharide) or gentiobiose (disaccharide).</w:t>
      </w:r>
    </w:p>
    <w:p w:rsidR="0031561C" w:rsidRDefault="0031561C" w:rsidP="0031561C">
      <w:pPr>
        <w:rPr>
          <w:lang w:val="en-GB" w:eastAsia="en-US" w:bidi="en-US"/>
        </w:rPr>
      </w:pPr>
    </w:p>
    <w:p w:rsidR="0031561C" w:rsidRPr="00BC320E" w:rsidRDefault="0031561C" w:rsidP="0031561C">
      <w:pPr>
        <w:rPr>
          <w:rFonts w:cs="Arial"/>
          <w:sz w:val="20"/>
          <w:szCs w:val="20"/>
          <w:lang w:val="en-GB" w:eastAsia="en-US" w:bidi="en-US"/>
        </w:rPr>
      </w:pPr>
      <w:r w:rsidRPr="00BC320E">
        <w:rPr>
          <w:rFonts w:cs="Arial"/>
          <w:sz w:val="20"/>
          <w:szCs w:val="20"/>
          <w:lang w:val="en-GB" w:eastAsia="en-US" w:bidi="en-US"/>
        </w:rPr>
        <w:t>Source: ESR, 2013</w:t>
      </w:r>
      <w:r w:rsidR="002E0D2E">
        <w:rPr>
          <w:rFonts w:cs="Arial"/>
          <w:sz w:val="20"/>
          <w:szCs w:val="20"/>
          <w:lang w:val="en-GB" w:eastAsia="en-US" w:bidi="en-US"/>
        </w:rPr>
        <w:t>a</w:t>
      </w:r>
      <w:r w:rsidR="005850B7">
        <w:rPr>
          <w:rFonts w:cs="Arial"/>
          <w:sz w:val="20"/>
          <w:szCs w:val="20"/>
          <w:lang w:val="en-GB" w:eastAsia="en-US" w:bidi="en-US"/>
        </w:rPr>
        <w:t>.</w:t>
      </w:r>
    </w:p>
    <w:p w:rsidR="00AC103B" w:rsidRPr="00BC320E" w:rsidRDefault="00AC103B" w:rsidP="00AC103B">
      <w:pPr>
        <w:jc w:val="center"/>
        <w:rPr>
          <w:rFonts w:asciiTheme="minorHAnsi" w:hAnsiTheme="minorHAnsi"/>
          <w:b/>
          <w:i/>
          <w:szCs w:val="22"/>
        </w:rPr>
      </w:pPr>
      <w:r w:rsidRPr="00BC320E">
        <w:rPr>
          <w:rFonts w:asciiTheme="minorHAnsi" w:hAnsiTheme="minorHAnsi"/>
          <w:b/>
          <w:i/>
          <w:szCs w:val="22"/>
        </w:rPr>
        <w:t xml:space="preserve">Figure </w:t>
      </w:r>
      <w:r w:rsidRPr="00BC320E">
        <w:rPr>
          <w:rFonts w:asciiTheme="minorHAnsi" w:hAnsiTheme="minorHAnsi"/>
          <w:b/>
          <w:i/>
          <w:szCs w:val="22"/>
        </w:rPr>
        <w:fldChar w:fldCharType="begin"/>
      </w:r>
      <w:r w:rsidRPr="00BC320E">
        <w:rPr>
          <w:rFonts w:asciiTheme="minorHAnsi" w:hAnsiTheme="minorHAnsi"/>
          <w:b/>
          <w:i/>
          <w:szCs w:val="22"/>
        </w:rPr>
        <w:instrText xml:space="preserve"> SEQ Figure \* ARABIC </w:instrText>
      </w:r>
      <w:r w:rsidRPr="00BC320E">
        <w:rPr>
          <w:rFonts w:asciiTheme="minorHAnsi" w:hAnsiTheme="minorHAnsi"/>
          <w:b/>
          <w:i/>
          <w:szCs w:val="22"/>
        </w:rPr>
        <w:fldChar w:fldCharType="separate"/>
      </w:r>
      <w:r w:rsidR="00794D8F">
        <w:rPr>
          <w:rFonts w:asciiTheme="minorHAnsi" w:hAnsiTheme="minorHAnsi"/>
          <w:b/>
          <w:i/>
          <w:noProof/>
          <w:szCs w:val="22"/>
        </w:rPr>
        <w:t>1</w:t>
      </w:r>
      <w:r w:rsidRPr="00BC320E">
        <w:rPr>
          <w:rFonts w:asciiTheme="minorHAnsi" w:hAnsiTheme="minorHAnsi"/>
          <w:b/>
          <w:i/>
          <w:noProof/>
          <w:szCs w:val="22"/>
        </w:rPr>
        <w:fldChar w:fldCharType="end"/>
      </w:r>
      <w:r w:rsidRPr="00BC320E">
        <w:rPr>
          <w:rFonts w:asciiTheme="minorHAnsi" w:hAnsiTheme="minorHAnsi"/>
          <w:b/>
          <w:i/>
          <w:szCs w:val="22"/>
        </w:rPr>
        <w:t>:</w:t>
      </w:r>
      <w:r>
        <w:rPr>
          <w:rFonts w:asciiTheme="minorHAnsi" w:hAnsiTheme="minorHAnsi"/>
          <w:b/>
          <w:i/>
          <w:szCs w:val="22"/>
        </w:rPr>
        <w:t xml:space="preserve"> </w:t>
      </w:r>
      <w:r w:rsidRPr="00BC320E">
        <w:rPr>
          <w:rFonts w:asciiTheme="minorHAnsi" w:hAnsiTheme="minorHAnsi"/>
          <w:b/>
          <w:i/>
          <w:szCs w:val="22"/>
        </w:rPr>
        <w:t>Cyanogenic glycoside general structure and examples</w:t>
      </w:r>
    </w:p>
    <w:p w:rsidR="0031561C" w:rsidRPr="008C2EE2" w:rsidRDefault="0031561C" w:rsidP="0031561C">
      <w:pPr>
        <w:pStyle w:val="Header"/>
        <w:tabs>
          <w:tab w:val="clear" w:pos="4153"/>
          <w:tab w:val="clear" w:pos="8306"/>
        </w:tabs>
        <w:rPr>
          <w:highlight w:val="yellow"/>
        </w:rPr>
      </w:pPr>
    </w:p>
    <w:p w:rsidR="00AC103B" w:rsidRDefault="00AC103B" w:rsidP="00D958B1">
      <w:pPr>
        <w:rPr>
          <w:rFonts w:cs="Arial"/>
          <w:szCs w:val="22"/>
        </w:rPr>
      </w:pPr>
      <w:r>
        <w:rPr>
          <w:rFonts w:cs="Arial"/>
          <w:szCs w:val="22"/>
        </w:rPr>
        <w:t xml:space="preserve">Cyanogenic glycosides are converted to the intermediate breakdown product cyanohydrins and hydrogen cyanide as a result of enzymatic action on plant tissue (through damage to the plant) or the action of gut </w:t>
      </w:r>
      <w:r w:rsidRPr="00563634">
        <w:rPr>
          <w:rFonts w:cs="Arial"/>
          <w:szCs w:val="22"/>
        </w:rPr>
        <w:t>microflora in animals or humans (at variable rates) after enzyme activity in the gut.</w:t>
      </w:r>
    </w:p>
    <w:p w:rsidR="000C26F1" w:rsidRDefault="000C26F1" w:rsidP="00D958B1">
      <w:pPr>
        <w:rPr>
          <w:rFonts w:cs="Arial"/>
          <w:szCs w:val="22"/>
        </w:rPr>
      </w:pPr>
    </w:p>
    <w:p w:rsidR="00AC103B" w:rsidRDefault="00DF5799" w:rsidP="00D958B1">
      <w:pPr>
        <w:rPr>
          <w:rFonts w:cs="Arial"/>
          <w:szCs w:val="22"/>
        </w:rPr>
      </w:pPr>
      <w:r>
        <w:rPr>
          <w:rFonts w:cs="Arial"/>
          <w:szCs w:val="22"/>
        </w:rPr>
        <w:t xml:space="preserve">The </w:t>
      </w:r>
      <w:r w:rsidR="000753DC">
        <w:rPr>
          <w:rFonts w:cs="Arial"/>
          <w:szCs w:val="22"/>
        </w:rPr>
        <w:t xml:space="preserve">cyanogenic glycoside content of a food </w:t>
      </w:r>
      <w:r w:rsidR="002D3372">
        <w:rPr>
          <w:rFonts w:cs="Arial"/>
          <w:szCs w:val="22"/>
        </w:rPr>
        <w:t xml:space="preserve">is </w:t>
      </w:r>
      <w:r>
        <w:rPr>
          <w:rFonts w:cs="Arial"/>
          <w:szCs w:val="22"/>
        </w:rPr>
        <w:t xml:space="preserve">determined by measuring the </w:t>
      </w:r>
      <w:r w:rsidR="00F156B2">
        <w:rPr>
          <w:rFonts w:cs="Arial"/>
          <w:szCs w:val="22"/>
        </w:rPr>
        <w:t xml:space="preserve">free HCN and </w:t>
      </w:r>
      <w:r>
        <w:rPr>
          <w:rFonts w:cs="Arial"/>
          <w:szCs w:val="22"/>
        </w:rPr>
        <w:t>HCN evolved following enzyme or acid hydrolysis of</w:t>
      </w:r>
      <w:r w:rsidR="000753DC">
        <w:rPr>
          <w:rFonts w:cs="Arial"/>
          <w:szCs w:val="22"/>
        </w:rPr>
        <w:t xml:space="preserve"> the </w:t>
      </w:r>
      <w:r w:rsidR="00AC103B">
        <w:rPr>
          <w:rFonts w:cs="Arial"/>
          <w:szCs w:val="22"/>
        </w:rPr>
        <w:t xml:space="preserve">cyanogenic glycosides themselves </w:t>
      </w:r>
      <w:r w:rsidR="00AC103B" w:rsidRPr="00CF2F9A">
        <w:rPr>
          <w:rFonts w:cs="Arial"/>
          <w:szCs w:val="22"/>
        </w:rPr>
        <w:t>(e.g. linamarin in cassava)</w:t>
      </w:r>
      <w:r w:rsidR="002D3372">
        <w:rPr>
          <w:rFonts w:cs="Arial"/>
          <w:szCs w:val="22"/>
        </w:rPr>
        <w:t xml:space="preserve"> and</w:t>
      </w:r>
      <w:r w:rsidR="00AC103B" w:rsidRPr="00CF2F9A">
        <w:rPr>
          <w:rFonts w:cs="Arial"/>
          <w:szCs w:val="22"/>
        </w:rPr>
        <w:t xml:space="preserve"> the intermediate breakdown product cyanohydrins</w:t>
      </w:r>
      <w:r w:rsidR="00237D6D">
        <w:rPr>
          <w:rFonts w:cs="Arial"/>
          <w:szCs w:val="22"/>
        </w:rPr>
        <w:t>.</w:t>
      </w:r>
      <w:r w:rsidR="002D3372">
        <w:rPr>
          <w:rFonts w:cs="Arial"/>
          <w:szCs w:val="22"/>
        </w:rPr>
        <w:t xml:space="preserve"> </w:t>
      </w:r>
      <w:r w:rsidR="004F0510">
        <w:rPr>
          <w:rFonts w:cs="Arial"/>
          <w:szCs w:val="22"/>
        </w:rPr>
        <w:t>Together</w:t>
      </w:r>
      <w:r w:rsidR="00AC103B">
        <w:rPr>
          <w:rFonts w:cs="Arial"/>
          <w:szCs w:val="22"/>
        </w:rPr>
        <w:t xml:space="preserve"> </w:t>
      </w:r>
      <w:r w:rsidR="004D6D56">
        <w:rPr>
          <w:rFonts w:cs="Arial"/>
          <w:szCs w:val="22"/>
        </w:rPr>
        <w:t xml:space="preserve">these </w:t>
      </w:r>
      <w:r w:rsidR="00BF69FC">
        <w:rPr>
          <w:rFonts w:cs="Arial"/>
          <w:szCs w:val="22"/>
        </w:rPr>
        <w:t>two</w:t>
      </w:r>
      <w:r w:rsidR="004F0510">
        <w:rPr>
          <w:rFonts w:cs="Arial"/>
          <w:szCs w:val="22"/>
        </w:rPr>
        <w:t xml:space="preserve"> sources of HCN </w:t>
      </w:r>
      <w:r w:rsidR="00AC103B">
        <w:rPr>
          <w:rFonts w:cs="Arial"/>
          <w:szCs w:val="22"/>
        </w:rPr>
        <w:t>are expressed as ‘total’ HCN</w:t>
      </w:r>
      <w:r w:rsidR="00A65413">
        <w:rPr>
          <w:rFonts w:cs="Arial"/>
          <w:szCs w:val="22"/>
        </w:rPr>
        <w:t xml:space="preserve"> in this report</w:t>
      </w:r>
      <w:r w:rsidR="002D3372">
        <w:rPr>
          <w:rFonts w:cs="Arial"/>
          <w:szCs w:val="22"/>
        </w:rPr>
        <w:t xml:space="preserve"> (</w:t>
      </w:r>
      <w:r w:rsidR="008405AF" w:rsidRPr="00EE75F2">
        <w:rPr>
          <w:rFonts w:cs="Arial"/>
          <w:szCs w:val="22"/>
        </w:rPr>
        <w:t>Codex Committee on Contaminants in Foods,</w:t>
      </w:r>
      <w:r w:rsidR="002D3372">
        <w:rPr>
          <w:rFonts w:cs="Arial"/>
          <w:szCs w:val="22"/>
        </w:rPr>
        <w:t xml:space="preserve"> 2013)</w:t>
      </w:r>
      <w:r w:rsidR="00AC103B">
        <w:rPr>
          <w:rFonts w:cs="Arial"/>
          <w:szCs w:val="22"/>
        </w:rPr>
        <w:t xml:space="preserve">. The breakdown of cyanogenic glycosides to hydrogen cyanide is shown in Figure 2. </w:t>
      </w:r>
    </w:p>
    <w:p w:rsidR="00AC103B" w:rsidRDefault="00AC103B" w:rsidP="00D958B1">
      <w:pPr>
        <w:rPr>
          <w:rFonts w:cs="Arial"/>
          <w:szCs w:val="22"/>
        </w:rPr>
      </w:pPr>
      <w:r>
        <w:rPr>
          <w:noProof/>
          <w:lang w:val="en-GB" w:eastAsia="en-GB"/>
        </w:rPr>
        <w:lastRenderedPageBreak/>
        <w:drawing>
          <wp:inline distT="0" distB="0" distL="0" distR="0" wp14:anchorId="3C06ED31" wp14:editId="70C6482A">
            <wp:extent cx="5731510" cy="159821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5731510" cy="1598210"/>
                    </a:xfrm>
                    <a:prstGeom prst="rect">
                      <a:avLst/>
                    </a:prstGeom>
                  </pic:spPr>
                </pic:pic>
              </a:graphicData>
            </a:graphic>
          </wp:inline>
        </w:drawing>
      </w:r>
    </w:p>
    <w:p w:rsidR="00AC103B" w:rsidRPr="00AC103B" w:rsidRDefault="00AC103B" w:rsidP="00AC103B">
      <w:pPr>
        <w:keepNext/>
        <w:rPr>
          <w:rFonts w:cs="Arial"/>
          <w:sz w:val="20"/>
          <w:szCs w:val="20"/>
        </w:rPr>
      </w:pPr>
      <w:r w:rsidRPr="00AC103B">
        <w:rPr>
          <w:rFonts w:cs="Arial"/>
          <w:sz w:val="20"/>
          <w:szCs w:val="20"/>
        </w:rPr>
        <w:t>Source: FAO/WHO, 2012</w:t>
      </w:r>
      <w:r w:rsidR="005850B7">
        <w:rPr>
          <w:rFonts w:cs="Arial"/>
          <w:sz w:val="20"/>
          <w:szCs w:val="20"/>
        </w:rPr>
        <w:t>.</w:t>
      </w:r>
    </w:p>
    <w:p w:rsidR="00AC103B" w:rsidRDefault="00AC103B" w:rsidP="00AC103B">
      <w:pPr>
        <w:pStyle w:val="FSTableTitle"/>
        <w:keepNext/>
        <w:rPr>
          <w:rFonts w:asciiTheme="minorHAnsi" w:hAnsiTheme="minorHAnsi"/>
          <w:i/>
        </w:rPr>
      </w:pPr>
    </w:p>
    <w:p w:rsidR="00AC103B" w:rsidRDefault="00AC103B" w:rsidP="00AC103B">
      <w:pPr>
        <w:pStyle w:val="FSTableTitle"/>
        <w:keepNext/>
        <w:jc w:val="center"/>
        <w:rPr>
          <w:rFonts w:asciiTheme="minorHAnsi" w:hAnsiTheme="minorHAnsi"/>
          <w:i/>
        </w:rPr>
      </w:pPr>
      <w:r w:rsidRPr="00AC103B">
        <w:rPr>
          <w:rFonts w:asciiTheme="minorHAnsi" w:hAnsiTheme="minorHAnsi"/>
          <w:i/>
        </w:rPr>
        <w:t>Figure 2: Breakdown of cyanogenic glycosides to hydro</w:t>
      </w:r>
      <w:r>
        <w:rPr>
          <w:rFonts w:asciiTheme="minorHAnsi" w:hAnsiTheme="minorHAnsi"/>
          <w:i/>
        </w:rPr>
        <w:t>gen cyanide [or hydro</w:t>
      </w:r>
      <w:r w:rsidRPr="00AC103B">
        <w:rPr>
          <w:rFonts w:asciiTheme="minorHAnsi" w:hAnsiTheme="minorHAnsi"/>
          <w:i/>
        </w:rPr>
        <w:t>cyanic acid (HCN)</w:t>
      </w:r>
      <w:r>
        <w:rPr>
          <w:rFonts w:asciiTheme="minorHAnsi" w:hAnsiTheme="minorHAnsi"/>
          <w:i/>
        </w:rPr>
        <w:t>]</w:t>
      </w:r>
    </w:p>
    <w:p w:rsidR="00AC103B" w:rsidRDefault="00AC103B" w:rsidP="00D958B1">
      <w:pPr>
        <w:rPr>
          <w:rFonts w:cs="Arial"/>
          <w:szCs w:val="22"/>
        </w:rPr>
      </w:pPr>
    </w:p>
    <w:p w:rsidR="00BC320E" w:rsidRDefault="00AC103B" w:rsidP="00D958B1">
      <w:pPr>
        <w:rPr>
          <w:rFonts w:cs="Arial"/>
          <w:szCs w:val="22"/>
        </w:rPr>
      </w:pPr>
      <w:r>
        <w:rPr>
          <w:rFonts w:cs="Arial"/>
          <w:szCs w:val="22"/>
        </w:rPr>
        <w:t>T</w:t>
      </w:r>
      <w:r w:rsidR="00E17F1B" w:rsidRPr="00563634">
        <w:rPr>
          <w:rFonts w:cs="Arial"/>
          <w:szCs w:val="22"/>
        </w:rPr>
        <w:t>he toxicity of cyanogenic glycosides and their derivatives is dependent on</w:t>
      </w:r>
      <w:r>
        <w:rPr>
          <w:rFonts w:cs="Arial"/>
          <w:szCs w:val="22"/>
        </w:rPr>
        <w:t xml:space="preserve"> the</w:t>
      </w:r>
      <w:r w:rsidR="00E17F1B" w:rsidRPr="00563634">
        <w:rPr>
          <w:rFonts w:cs="Arial"/>
          <w:szCs w:val="22"/>
        </w:rPr>
        <w:t xml:space="preserve"> release of hydrogen cyanide</w:t>
      </w:r>
      <w:r>
        <w:rPr>
          <w:rFonts w:cs="Arial"/>
          <w:szCs w:val="22"/>
        </w:rPr>
        <w:t xml:space="preserve">. </w:t>
      </w:r>
      <w:r w:rsidR="00BC320E">
        <w:rPr>
          <w:rFonts w:cs="Arial"/>
          <w:szCs w:val="22"/>
        </w:rPr>
        <w:t xml:space="preserve">Toxicity </w:t>
      </w:r>
      <w:r w:rsidR="00BC320E" w:rsidRPr="00D958B1">
        <w:rPr>
          <w:rFonts w:cs="Arial"/>
          <w:szCs w:val="22"/>
        </w:rPr>
        <w:t>may result in acute cyanide poisoning and has also been implicated in the aetiology of several chronic diseases (</w:t>
      </w:r>
      <w:r w:rsidR="00BC320E" w:rsidRPr="00900D1D">
        <w:rPr>
          <w:rFonts w:cs="Arial"/>
          <w:szCs w:val="22"/>
        </w:rPr>
        <w:t>ESR, 2010</w:t>
      </w:r>
      <w:r w:rsidR="00BC320E">
        <w:rPr>
          <w:rFonts w:cs="Arial"/>
          <w:szCs w:val="22"/>
        </w:rPr>
        <w:t xml:space="preserve"> </w:t>
      </w:r>
      <w:r w:rsidR="000753DC">
        <w:rPr>
          <w:rFonts w:cs="Arial"/>
          <w:szCs w:val="22"/>
        </w:rPr>
        <w:t>–</w:t>
      </w:r>
      <w:r w:rsidR="00BC320E">
        <w:rPr>
          <w:rFonts w:cs="Arial"/>
          <w:szCs w:val="22"/>
        </w:rPr>
        <w:t xml:space="preserve"> unpublished</w:t>
      </w:r>
      <w:r w:rsidR="000753DC">
        <w:rPr>
          <w:rFonts w:cs="Arial"/>
          <w:szCs w:val="22"/>
        </w:rPr>
        <w:t xml:space="preserve">; </w:t>
      </w:r>
      <w:r w:rsidR="000753DC" w:rsidRPr="000753DC">
        <w:rPr>
          <w:rFonts w:cs="Arial"/>
          <w:szCs w:val="22"/>
        </w:rPr>
        <w:t>FAO/WHO, 2012)</w:t>
      </w:r>
      <w:r w:rsidR="00BC320E" w:rsidRPr="00530857">
        <w:rPr>
          <w:rFonts w:cs="Arial"/>
          <w:szCs w:val="22"/>
        </w:rPr>
        <w:t>.</w:t>
      </w:r>
      <w:r w:rsidR="00BC320E">
        <w:rPr>
          <w:rFonts w:cs="Arial"/>
          <w:szCs w:val="22"/>
        </w:rPr>
        <w:t xml:space="preserve"> </w:t>
      </w:r>
    </w:p>
    <w:p w:rsidR="00927AC1" w:rsidRDefault="00927AC1" w:rsidP="00927AC1">
      <w:pPr>
        <w:rPr>
          <w:rFonts w:cs="Arial"/>
          <w:szCs w:val="22"/>
        </w:rPr>
      </w:pPr>
    </w:p>
    <w:p w:rsidR="00E739E9" w:rsidRDefault="00EA08D9" w:rsidP="00710641">
      <w:pPr>
        <w:pStyle w:val="Heading2"/>
      </w:pPr>
      <w:bookmarkStart w:id="29" w:name="_Toc367957738"/>
      <w:bookmarkStart w:id="30" w:name="_Toc384293482"/>
      <w:r>
        <w:t>2</w:t>
      </w:r>
      <w:r w:rsidR="00C90DC0">
        <w:t>.</w:t>
      </w:r>
      <w:r w:rsidR="00391DE3">
        <w:t>2</w:t>
      </w:r>
      <w:r w:rsidR="00C90DC0">
        <w:tab/>
      </w:r>
      <w:r w:rsidR="007E6BB9">
        <w:t xml:space="preserve">Regulation </w:t>
      </w:r>
      <w:r w:rsidR="000C26F1">
        <w:t>of</w:t>
      </w:r>
      <w:r w:rsidR="007E6BB9">
        <w:t xml:space="preserve"> cyanogenic glycosides in Australia and New Zealand</w:t>
      </w:r>
      <w:bookmarkEnd w:id="29"/>
      <w:bookmarkEnd w:id="30"/>
    </w:p>
    <w:p w:rsidR="00E739E9" w:rsidRDefault="00E739E9" w:rsidP="00927AC1">
      <w:pPr>
        <w:rPr>
          <w:rFonts w:cs="Arial"/>
          <w:szCs w:val="22"/>
        </w:rPr>
      </w:pPr>
    </w:p>
    <w:p w:rsidR="00927AC1" w:rsidRDefault="00927AC1" w:rsidP="00927AC1">
      <w:pPr>
        <w:rPr>
          <w:rFonts w:cs="Arial"/>
          <w:szCs w:val="22"/>
        </w:rPr>
      </w:pPr>
      <w:r>
        <w:rPr>
          <w:rFonts w:cs="Arial"/>
          <w:szCs w:val="22"/>
        </w:rPr>
        <w:t xml:space="preserve">Proposal P257 – </w:t>
      </w:r>
      <w:r w:rsidRPr="008D3A13">
        <w:rPr>
          <w:rFonts w:cs="Arial"/>
          <w:szCs w:val="22"/>
        </w:rPr>
        <w:t>Advice on the preparation of cassava and bamboo shoots</w:t>
      </w:r>
      <w:r>
        <w:rPr>
          <w:rFonts w:cs="Arial"/>
          <w:szCs w:val="22"/>
        </w:rPr>
        <w:t xml:space="preserve"> (FSANZ, 2004</w:t>
      </w:r>
      <w:r w:rsidR="004D789B">
        <w:rPr>
          <w:rFonts w:cs="Arial"/>
          <w:szCs w:val="22"/>
        </w:rPr>
        <w:t>a</w:t>
      </w:r>
      <w:r>
        <w:rPr>
          <w:rFonts w:cs="Arial"/>
          <w:szCs w:val="22"/>
        </w:rPr>
        <w:t>)</w:t>
      </w:r>
      <w:r w:rsidR="00600B15">
        <w:rPr>
          <w:rFonts w:cs="Arial"/>
          <w:szCs w:val="22"/>
        </w:rPr>
        <w:t xml:space="preserve"> </w:t>
      </w:r>
      <w:r>
        <w:rPr>
          <w:rFonts w:cs="Arial"/>
          <w:szCs w:val="22"/>
        </w:rPr>
        <w:t xml:space="preserve">examined the potential public health and safety risks associated with consumption of inadequately prepared cassava and/or bamboo shoots and determined whether risk management measures were necessary. </w:t>
      </w:r>
      <w:r w:rsidR="004F0510">
        <w:rPr>
          <w:rFonts w:cs="Arial"/>
          <w:szCs w:val="22"/>
        </w:rPr>
        <w:t>This</w:t>
      </w:r>
      <w:r>
        <w:rPr>
          <w:rFonts w:cs="Arial"/>
          <w:szCs w:val="22"/>
        </w:rPr>
        <w:t xml:space="preserve"> proposal indicated that there </w:t>
      </w:r>
      <w:r w:rsidR="00395391">
        <w:rPr>
          <w:rFonts w:cs="Arial"/>
          <w:szCs w:val="22"/>
        </w:rPr>
        <w:t>are</w:t>
      </w:r>
      <w:r>
        <w:rPr>
          <w:rFonts w:cs="Arial"/>
          <w:szCs w:val="22"/>
        </w:rPr>
        <w:t xml:space="preserve"> public health and safety risks if these foods are not prepared properly, and that there </w:t>
      </w:r>
      <w:r w:rsidR="00A25BA5">
        <w:rPr>
          <w:rFonts w:cs="Arial"/>
          <w:szCs w:val="22"/>
        </w:rPr>
        <w:t xml:space="preserve">may be </w:t>
      </w:r>
      <w:r>
        <w:rPr>
          <w:rFonts w:cs="Arial"/>
          <w:szCs w:val="22"/>
        </w:rPr>
        <w:t xml:space="preserve">insufficient knowledge in the </w:t>
      </w:r>
      <w:r w:rsidR="00A25BA5">
        <w:rPr>
          <w:rFonts w:cs="Arial"/>
          <w:szCs w:val="22"/>
        </w:rPr>
        <w:t xml:space="preserve">general </w:t>
      </w:r>
      <w:r>
        <w:rPr>
          <w:rFonts w:cs="Arial"/>
          <w:szCs w:val="22"/>
        </w:rPr>
        <w:t xml:space="preserve">community of safe preparation techniques. As a result of this proposal, a number of changes were made to the </w:t>
      </w:r>
      <w:r w:rsidR="004D6D56">
        <w:rPr>
          <w:rFonts w:cs="Arial"/>
          <w:szCs w:val="22"/>
        </w:rPr>
        <w:t xml:space="preserve">Australia New Zealand Food Standards Code (the </w:t>
      </w:r>
      <w:r w:rsidR="00304769">
        <w:rPr>
          <w:rFonts w:cs="Arial"/>
          <w:szCs w:val="22"/>
        </w:rPr>
        <w:t>Code</w:t>
      </w:r>
      <w:r w:rsidR="004D6D56">
        <w:rPr>
          <w:rFonts w:cs="Arial"/>
          <w:szCs w:val="22"/>
        </w:rPr>
        <w:t>)</w:t>
      </w:r>
      <w:r w:rsidR="00304769">
        <w:rPr>
          <w:rFonts w:cs="Arial"/>
          <w:szCs w:val="22"/>
        </w:rPr>
        <w:t xml:space="preserve"> </w:t>
      </w:r>
      <w:r>
        <w:rPr>
          <w:rFonts w:cs="Arial"/>
          <w:szCs w:val="22"/>
        </w:rPr>
        <w:t>as follows:</w:t>
      </w:r>
    </w:p>
    <w:p w:rsidR="00927AC1" w:rsidRDefault="00927AC1" w:rsidP="00927AC1">
      <w:pPr>
        <w:rPr>
          <w:rFonts w:cs="Arial"/>
          <w:szCs w:val="22"/>
        </w:rPr>
      </w:pPr>
    </w:p>
    <w:p w:rsidR="00927AC1" w:rsidRDefault="00927AC1" w:rsidP="00D33562">
      <w:pPr>
        <w:pStyle w:val="ListParagraph"/>
        <w:numPr>
          <w:ilvl w:val="0"/>
          <w:numId w:val="4"/>
        </w:numPr>
        <w:rPr>
          <w:rFonts w:ascii="Arial" w:hAnsi="Arial" w:cs="Arial"/>
        </w:rPr>
      </w:pPr>
      <w:r w:rsidRPr="008D3A13">
        <w:rPr>
          <w:rFonts w:ascii="Arial" w:hAnsi="Arial" w:cs="Arial"/>
        </w:rPr>
        <w:t>Standard 1.4.4 – Prohibited and restricted plants and fungi:</w:t>
      </w:r>
      <w:r>
        <w:rPr>
          <w:rFonts w:ascii="Arial" w:hAnsi="Arial" w:cs="Arial"/>
        </w:rPr>
        <w:t xml:space="preserve"> the sale of cassava</w:t>
      </w:r>
      <w:r w:rsidR="00771592">
        <w:rPr>
          <w:rFonts w:ascii="Arial" w:hAnsi="Arial" w:cs="Arial"/>
        </w:rPr>
        <w:t>, other than ‘sweet cassava’</w:t>
      </w:r>
      <w:r>
        <w:rPr>
          <w:rFonts w:ascii="Arial" w:hAnsi="Arial" w:cs="Arial"/>
        </w:rPr>
        <w:t xml:space="preserve"> or its intentional addition to foods is prohibited</w:t>
      </w:r>
    </w:p>
    <w:p w:rsidR="005D6020" w:rsidRDefault="005D6020" w:rsidP="005D6020">
      <w:pPr>
        <w:pStyle w:val="ListParagraph"/>
        <w:rPr>
          <w:rFonts w:ascii="Arial" w:hAnsi="Arial" w:cs="Arial"/>
        </w:rPr>
      </w:pPr>
    </w:p>
    <w:p w:rsidR="00927AC1" w:rsidRDefault="00927AC1" w:rsidP="00D33562">
      <w:pPr>
        <w:pStyle w:val="ListParagraph"/>
        <w:numPr>
          <w:ilvl w:val="0"/>
          <w:numId w:val="4"/>
        </w:numPr>
        <w:rPr>
          <w:rFonts w:ascii="Arial" w:hAnsi="Arial" w:cs="Arial"/>
        </w:rPr>
      </w:pPr>
      <w:r>
        <w:rPr>
          <w:rFonts w:ascii="Arial" w:hAnsi="Arial" w:cs="Arial"/>
        </w:rPr>
        <w:t xml:space="preserve">Standard 1.1.2 – Supplementary definitions of food: ‘sweet cassava’ is defined as those </w:t>
      </w:r>
      <w:r w:rsidRPr="001C790A">
        <w:rPr>
          <w:rFonts w:ascii="Arial" w:hAnsi="Arial" w:cs="Arial"/>
        </w:rPr>
        <w:t>varieties that contain less than 50 mg</w:t>
      </w:r>
      <w:r>
        <w:rPr>
          <w:rFonts w:ascii="Arial" w:hAnsi="Arial" w:cs="Arial"/>
        </w:rPr>
        <w:t>/</w:t>
      </w:r>
      <w:r w:rsidRPr="001C790A">
        <w:rPr>
          <w:rFonts w:ascii="Arial" w:hAnsi="Arial" w:cs="Arial"/>
        </w:rPr>
        <w:t xml:space="preserve">kg of </w:t>
      </w:r>
      <w:r w:rsidR="007E6BB9">
        <w:rPr>
          <w:rFonts w:ascii="Arial" w:hAnsi="Arial" w:cs="Arial"/>
        </w:rPr>
        <w:t>HCN</w:t>
      </w:r>
      <w:r w:rsidRPr="001C790A">
        <w:rPr>
          <w:rFonts w:ascii="Arial" w:hAnsi="Arial" w:cs="Arial"/>
        </w:rPr>
        <w:t xml:space="preserve"> (fresh weight basis)</w:t>
      </w:r>
    </w:p>
    <w:p w:rsidR="005D6020" w:rsidRPr="005D6020" w:rsidRDefault="005D6020" w:rsidP="005D6020">
      <w:pPr>
        <w:pStyle w:val="ListParagraph"/>
        <w:rPr>
          <w:rFonts w:ascii="Arial" w:hAnsi="Arial" w:cs="Arial"/>
        </w:rPr>
      </w:pPr>
    </w:p>
    <w:p w:rsidR="00927AC1" w:rsidRDefault="00927AC1" w:rsidP="00D33562">
      <w:pPr>
        <w:pStyle w:val="ListParagraph"/>
        <w:numPr>
          <w:ilvl w:val="0"/>
          <w:numId w:val="4"/>
        </w:numPr>
        <w:rPr>
          <w:rFonts w:ascii="Arial" w:hAnsi="Arial" w:cs="Arial"/>
        </w:rPr>
      </w:pPr>
      <w:r>
        <w:rPr>
          <w:rFonts w:ascii="Arial" w:hAnsi="Arial" w:cs="Arial"/>
        </w:rPr>
        <w:t xml:space="preserve">Standard 1.2.6 – Directions for use and storage: the food </w:t>
      </w:r>
      <w:r w:rsidR="004154E3">
        <w:rPr>
          <w:rFonts w:ascii="Arial" w:hAnsi="Arial" w:cs="Arial"/>
        </w:rPr>
        <w:t>(</w:t>
      </w:r>
      <w:r w:rsidR="00CC4511">
        <w:rPr>
          <w:rFonts w:ascii="Arial" w:hAnsi="Arial" w:cs="Arial"/>
        </w:rPr>
        <w:t>sweet cassava, bamboo shoots</w:t>
      </w:r>
      <w:r w:rsidR="004154E3">
        <w:rPr>
          <w:rFonts w:ascii="Arial" w:hAnsi="Arial" w:cs="Arial"/>
        </w:rPr>
        <w:t>)</w:t>
      </w:r>
      <w:r w:rsidR="00CC4511">
        <w:rPr>
          <w:rFonts w:ascii="Arial" w:hAnsi="Arial" w:cs="Arial"/>
        </w:rPr>
        <w:t xml:space="preserve"> </w:t>
      </w:r>
      <w:r>
        <w:rPr>
          <w:rFonts w:ascii="Arial" w:hAnsi="Arial" w:cs="Arial"/>
        </w:rPr>
        <w:t xml:space="preserve">must be labelled with, or accompanied by a statement indicating that they must be </w:t>
      </w:r>
      <w:r w:rsidR="00A273D2">
        <w:rPr>
          <w:rFonts w:ascii="Arial" w:hAnsi="Arial" w:cs="Arial"/>
        </w:rPr>
        <w:t xml:space="preserve">peeled and </w:t>
      </w:r>
      <w:r>
        <w:rPr>
          <w:rFonts w:ascii="Arial" w:hAnsi="Arial" w:cs="Arial"/>
        </w:rPr>
        <w:t>fully cooked before consumption (FSANZ, 2012</w:t>
      </w:r>
      <w:r w:rsidR="006E2000">
        <w:rPr>
          <w:rFonts w:ascii="Arial" w:hAnsi="Arial" w:cs="Arial"/>
        </w:rPr>
        <w:t>a</w:t>
      </w:r>
      <w:r>
        <w:rPr>
          <w:rFonts w:ascii="Arial" w:hAnsi="Arial" w:cs="Arial"/>
        </w:rPr>
        <w:t>).</w:t>
      </w:r>
    </w:p>
    <w:p w:rsidR="00927AC1" w:rsidRDefault="00927AC1" w:rsidP="00927AC1">
      <w:pPr>
        <w:rPr>
          <w:rFonts w:cs="Arial"/>
          <w:szCs w:val="22"/>
        </w:rPr>
      </w:pPr>
    </w:p>
    <w:p w:rsidR="00BF69FC" w:rsidRDefault="00BF69FC" w:rsidP="00BF69FC">
      <w:pPr>
        <w:autoSpaceDE w:val="0"/>
        <w:autoSpaceDN w:val="0"/>
        <w:adjustRightInd w:val="0"/>
        <w:rPr>
          <w:rFonts w:cs="Arial"/>
          <w:szCs w:val="22"/>
        </w:rPr>
      </w:pPr>
      <w:r>
        <w:rPr>
          <w:rFonts w:cs="Arial"/>
          <w:szCs w:val="22"/>
        </w:rPr>
        <w:t xml:space="preserve">There are no provisions for bitter cassava in the Code. </w:t>
      </w:r>
      <w:r w:rsidR="00616CA9">
        <w:rPr>
          <w:rFonts w:cs="Arial"/>
          <w:szCs w:val="22"/>
        </w:rPr>
        <w:t xml:space="preserve">A report on the human health risk assessment undertaken as part of </w:t>
      </w:r>
      <w:r w:rsidR="00364645">
        <w:rPr>
          <w:rFonts w:cs="Arial"/>
          <w:szCs w:val="22"/>
        </w:rPr>
        <w:t xml:space="preserve">Proposal </w:t>
      </w:r>
      <w:r w:rsidR="00616CA9">
        <w:rPr>
          <w:rFonts w:cs="Arial"/>
          <w:szCs w:val="22"/>
        </w:rPr>
        <w:t xml:space="preserve">P257 </w:t>
      </w:r>
      <w:r w:rsidR="004D789B">
        <w:rPr>
          <w:rFonts w:cs="Arial"/>
          <w:szCs w:val="22"/>
        </w:rPr>
        <w:t xml:space="preserve">was published under </w:t>
      </w:r>
      <w:r w:rsidR="00616CA9">
        <w:rPr>
          <w:rFonts w:cs="Arial"/>
          <w:szCs w:val="22"/>
        </w:rPr>
        <w:t>FSANZ</w:t>
      </w:r>
      <w:r w:rsidR="004D789B">
        <w:rPr>
          <w:rFonts w:cs="Arial"/>
          <w:szCs w:val="22"/>
        </w:rPr>
        <w:t>’s</w:t>
      </w:r>
      <w:r w:rsidR="00616CA9">
        <w:rPr>
          <w:rFonts w:cs="Arial"/>
          <w:szCs w:val="22"/>
        </w:rPr>
        <w:t xml:space="preserve"> technical report series (FSANZ, 2004</w:t>
      </w:r>
      <w:r w:rsidR="004D789B">
        <w:rPr>
          <w:rFonts w:cs="Arial"/>
          <w:szCs w:val="22"/>
        </w:rPr>
        <w:t>b</w:t>
      </w:r>
      <w:r w:rsidR="00616CA9">
        <w:rPr>
          <w:rFonts w:cs="Arial"/>
          <w:szCs w:val="22"/>
        </w:rPr>
        <w:t>).</w:t>
      </w:r>
      <w:r w:rsidRPr="00BF69FC">
        <w:rPr>
          <w:rFonts w:cs="Arial"/>
          <w:szCs w:val="22"/>
        </w:rPr>
        <w:t xml:space="preserve"> </w:t>
      </w:r>
    </w:p>
    <w:p w:rsidR="00616CA9" w:rsidRDefault="00616CA9" w:rsidP="00927AC1">
      <w:pPr>
        <w:rPr>
          <w:rFonts w:cs="Arial"/>
          <w:szCs w:val="22"/>
        </w:rPr>
      </w:pPr>
    </w:p>
    <w:p w:rsidR="00927AC1" w:rsidRDefault="00927AC1" w:rsidP="00927AC1">
      <w:pPr>
        <w:rPr>
          <w:rFonts w:cs="Arial"/>
          <w:szCs w:val="22"/>
        </w:rPr>
      </w:pPr>
      <w:r>
        <w:rPr>
          <w:rFonts w:cs="Arial"/>
          <w:szCs w:val="22"/>
        </w:rPr>
        <w:t>Standard 1.4.1</w:t>
      </w:r>
      <w:r w:rsidRPr="00927AC1">
        <w:rPr>
          <w:rFonts w:cs="Arial"/>
          <w:szCs w:val="22"/>
        </w:rPr>
        <w:t xml:space="preserve"> </w:t>
      </w:r>
      <w:r w:rsidR="00B63BFE">
        <w:rPr>
          <w:rFonts w:cs="Arial"/>
          <w:szCs w:val="22"/>
        </w:rPr>
        <w:t xml:space="preserve">– </w:t>
      </w:r>
      <w:r w:rsidRPr="008D3A13">
        <w:rPr>
          <w:rFonts w:cs="Arial"/>
          <w:szCs w:val="22"/>
        </w:rPr>
        <w:t xml:space="preserve">Contaminants and </w:t>
      </w:r>
      <w:r w:rsidR="00395391">
        <w:rPr>
          <w:rFonts w:cs="Arial"/>
          <w:szCs w:val="22"/>
        </w:rPr>
        <w:t>n</w:t>
      </w:r>
      <w:r w:rsidRPr="008D3A13">
        <w:rPr>
          <w:rFonts w:cs="Arial"/>
          <w:szCs w:val="22"/>
        </w:rPr>
        <w:t xml:space="preserve">atural </w:t>
      </w:r>
      <w:r w:rsidR="00395391">
        <w:rPr>
          <w:rFonts w:cs="Arial"/>
          <w:szCs w:val="22"/>
        </w:rPr>
        <w:t>t</w:t>
      </w:r>
      <w:r w:rsidRPr="008D3A13">
        <w:rPr>
          <w:rFonts w:cs="Arial"/>
          <w:szCs w:val="22"/>
        </w:rPr>
        <w:t>oxicants</w:t>
      </w:r>
      <w:r w:rsidRPr="007233DC">
        <w:rPr>
          <w:rFonts w:cs="Arial"/>
          <w:szCs w:val="22"/>
        </w:rPr>
        <w:t xml:space="preserve"> </w:t>
      </w:r>
      <w:r>
        <w:rPr>
          <w:rFonts w:cs="Arial"/>
          <w:szCs w:val="22"/>
        </w:rPr>
        <w:t>of the Code</w:t>
      </w:r>
      <w:r w:rsidR="005242BE" w:rsidRPr="005242BE">
        <w:rPr>
          <w:rFonts w:cs="Arial"/>
        </w:rPr>
        <w:t xml:space="preserve"> </w:t>
      </w:r>
      <w:r w:rsidR="005242BE">
        <w:rPr>
          <w:rFonts w:cs="Arial"/>
        </w:rPr>
        <w:t>(FSANZ, 2012a)</w:t>
      </w:r>
      <w:r w:rsidR="004D6D56">
        <w:rPr>
          <w:rFonts w:cs="Arial"/>
        </w:rPr>
        <w:t xml:space="preserve"> specifies</w:t>
      </w:r>
      <w:r>
        <w:rPr>
          <w:rFonts w:cs="Arial"/>
          <w:szCs w:val="22"/>
        </w:rPr>
        <w:t xml:space="preserve"> </w:t>
      </w:r>
      <w:r w:rsidR="00CC4511">
        <w:rPr>
          <w:rFonts w:cs="Arial"/>
          <w:szCs w:val="22"/>
        </w:rPr>
        <w:t>Maximum Levels (</w:t>
      </w:r>
      <w:r>
        <w:rPr>
          <w:rFonts w:cs="Arial"/>
          <w:szCs w:val="22"/>
        </w:rPr>
        <w:t>MLs</w:t>
      </w:r>
      <w:r w:rsidR="00CC4511">
        <w:rPr>
          <w:rFonts w:cs="Arial"/>
          <w:szCs w:val="22"/>
        </w:rPr>
        <w:t>)</w:t>
      </w:r>
      <w:r>
        <w:rPr>
          <w:rFonts w:cs="Arial"/>
          <w:szCs w:val="22"/>
        </w:rPr>
        <w:t xml:space="preserve"> for </w:t>
      </w:r>
      <w:r w:rsidR="00A9243E">
        <w:rPr>
          <w:rFonts w:cs="Arial"/>
          <w:szCs w:val="22"/>
        </w:rPr>
        <w:t>hydrocyanic acid</w:t>
      </w:r>
      <w:r>
        <w:rPr>
          <w:rFonts w:cs="Arial"/>
          <w:szCs w:val="22"/>
        </w:rPr>
        <w:t xml:space="preserve"> </w:t>
      </w:r>
      <w:r w:rsidR="00A25BA5">
        <w:rPr>
          <w:rFonts w:cs="Arial"/>
          <w:szCs w:val="22"/>
        </w:rPr>
        <w:t xml:space="preserve">from the addition of flavouring substances to food </w:t>
      </w:r>
      <w:r>
        <w:rPr>
          <w:rFonts w:cs="Arial"/>
          <w:szCs w:val="22"/>
        </w:rPr>
        <w:t>for the following foods:</w:t>
      </w:r>
    </w:p>
    <w:p w:rsidR="00927AC1" w:rsidRDefault="00927AC1" w:rsidP="00927AC1">
      <w:pPr>
        <w:rPr>
          <w:rFonts w:cs="Arial"/>
          <w:szCs w:val="22"/>
        </w:rPr>
      </w:pPr>
    </w:p>
    <w:p w:rsidR="00927AC1" w:rsidRDefault="00927AC1" w:rsidP="00D33562">
      <w:pPr>
        <w:pStyle w:val="ListParagraph"/>
        <w:numPr>
          <w:ilvl w:val="0"/>
          <w:numId w:val="3"/>
        </w:numPr>
        <w:rPr>
          <w:rFonts w:ascii="Arial" w:hAnsi="Arial" w:cs="Arial"/>
        </w:rPr>
      </w:pPr>
      <w:r>
        <w:rPr>
          <w:rFonts w:ascii="Arial" w:hAnsi="Arial" w:cs="Arial"/>
        </w:rPr>
        <w:t>Confectionery</w:t>
      </w:r>
      <w:r>
        <w:rPr>
          <w:rFonts w:ascii="Arial" w:hAnsi="Arial" w:cs="Arial"/>
        </w:rPr>
        <w:tab/>
      </w:r>
      <w:r>
        <w:rPr>
          <w:rFonts w:ascii="Arial" w:hAnsi="Arial" w:cs="Arial"/>
        </w:rPr>
        <w:tab/>
      </w:r>
      <w:r>
        <w:rPr>
          <w:rFonts w:ascii="Arial" w:hAnsi="Arial" w:cs="Arial"/>
        </w:rPr>
        <w:tab/>
        <w:t>25 mg/kg</w:t>
      </w:r>
    </w:p>
    <w:p w:rsidR="00927AC1" w:rsidRDefault="00927AC1" w:rsidP="00D33562">
      <w:pPr>
        <w:pStyle w:val="ListParagraph"/>
        <w:numPr>
          <w:ilvl w:val="0"/>
          <w:numId w:val="3"/>
        </w:numPr>
        <w:rPr>
          <w:rFonts w:ascii="Arial" w:hAnsi="Arial" w:cs="Arial"/>
        </w:rPr>
      </w:pPr>
      <w:r>
        <w:rPr>
          <w:rFonts w:ascii="Arial" w:hAnsi="Arial" w:cs="Arial"/>
        </w:rPr>
        <w:t>Stone fruit juices</w:t>
      </w:r>
      <w:r>
        <w:rPr>
          <w:rFonts w:ascii="Arial" w:hAnsi="Arial" w:cs="Arial"/>
        </w:rPr>
        <w:tab/>
      </w:r>
      <w:r>
        <w:rPr>
          <w:rFonts w:ascii="Arial" w:hAnsi="Arial" w:cs="Arial"/>
        </w:rPr>
        <w:tab/>
        <w:t>5 mg/kg</w:t>
      </w:r>
    </w:p>
    <w:p w:rsidR="00927AC1" w:rsidRDefault="00927AC1" w:rsidP="00D33562">
      <w:pPr>
        <w:pStyle w:val="ListParagraph"/>
        <w:numPr>
          <w:ilvl w:val="0"/>
          <w:numId w:val="3"/>
        </w:numPr>
        <w:rPr>
          <w:rFonts w:ascii="Arial" w:hAnsi="Arial" w:cs="Arial"/>
        </w:rPr>
      </w:pPr>
      <w:r>
        <w:rPr>
          <w:rFonts w:ascii="Arial" w:hAnsi="Arial" w:cs="Arial"/>
        </w:rPr>
        <w:t>Marzipan</w:t>
      </w:r>
      <w:r>
        <w:rPr>
          <w:rFonts w:ascii="Arial" w:hAnsi="Arial" w:cs="Arial"/>
        </w:rPr>
        <w:tab/>
      </w:r>
      <w:r>
        <w:rPr>
          <w:rFonts w:ascii="Arial" w:hAnsi="Arial" w:cs="Arial"/>
        </w:rPr>
        <w:tab/>
      </w:r>
      <w:r>
        <w:rPr>
          <w:rFonts w:ascii="Arial" w:hAnsi="Arial" w:cs="Arial"/>
        </w:rPr>
        <w:tab/>
      </w:r>
      <w:r>
        <w:rPr>
          <w:rFonts w:ascii="Arial" w:hAnsi="Arial" w:cs="Arial"/>
        </w:rPr>
        <w:tab/>
        <w:t>50 mg/kg</w:t>
      </w:r>
    </w:p>
    <w:p w:rsidR="00927AC1" w:rsidRPr="00987709" w:rsidRDefault="00927AC1" w:rsidP="00D33562">
      <w:pPr>
        <w:pStyle w:val="ListParagraph"/>
        <w:numPr>
          <w:ilvl w:val="0"/>
          <w:numId w:val="3"/>
        </w:numPr>
        <w:rPr>
          <w:rFonts w:ascii="Arial" w:hAnsi="Arial" w:cs="Arial"/>
        </w:rPr>
      </w:pPr>
      <w:r>
        <w:rPr>
          <w:rFonts w:ascii="Arial" w:hAnsi="Arial" w:cs="Arial"/>
        </w:rPr>
        <w:t xml:space="preserve">Alcoholic beverages </w:t>
      </w:r>
      <w:r>
        <w:rPr>
          <w:rFonts w:ascii="Arial" w:hAnsi="Arial" w:cs="Arial"/>
        </w:rPr>
        <w:tab/>
      </w:r>
      <w:r>
        <w:rPr>
          <w:rFonts w:ascii="Arial" w:hAnsi="Arial" w:cs="Arial"/>
        </w:rPr>
        <w:tab/>
        <w:t xml:space="preserve">1 mg/kg per 1% alcohol content </w:t>
      </w:r>
    </w:p>
    <w:p w:rsidR="00D958B1" w:rsidRPr="00D958B1" w:rsidRDefault="00D958B1" w:rsidP="00D958B1">
      <w:pPr>
        <w:rPr>
          <w:rFonts w:cs="Arial"/>
          <w:szCs w:val="22"/>
        </w:rPr>
      </w:pPr>
    </w:p>
    <w:p w:rsidR="00927AC1" w:rsidRDefault="00771592" w:rsidP="005100CF">
      <w:pPr>
        <w:rPr>
          <w:rFonts w:cs="Arial"/>
          <w:szCs w:val="22"/>
        </w:rPr>
      </w:pPr>
      <w:r>
        <w:rPr>
          <w:rFonts w:cs="Arial"/>
          <w:szCs w:val="22"/>
        </w:rPr>
        <w:lastRenderedPageBreak/>
        <w:t>I</w:t>
      </w:r>
      <w:r w:rsidR="001F2B92">
        <w:rPr>
          <w:rFonts w:cs="Arial"/>
          <w:szCs w:val="22"/>
        </w:rPr>
        <w:t xml:space="preserve">n 2008, FSANZ was </w:t>
      </w:r>
      <w:r w:rsidR="00A9243E">
        <w:rPr>
          <w:rFonts w:cs="Arial"/>
          <w:szCs w:val="22"/>
        </w:rPr>
        <w:t>advised that</w:t>
      </w:r>
      <w:r w:rsidR="005B4347">
        <w:rPr>
          <w:rFonts w:cs="Arial"/>
          <w:szCs w:val="22"/>
        </w:rPr>
        <w:t xml:space="preserve"> </w:t>
      </w:r>
      <w:r w:rsidR="00056F5C">
        <w:rPr>
          <w:rFonts w:cs="Arial"/>
          <w:szCs w:val="22"/>
        </w:rPr>
        <w:t>HCN l</w:t>
      </w:r>
      <w:r w:rsidR="007233DC">
        <w:rPr>
          <w:rFonts w:cs="Arial"/>
          <w:szCs w:val="22"/>
        </w:rPr>
        <w:t xml:space="preserve">evels </w:t>
      </w:r>
      <w:r w:rsidR="007233DC" w:rsidRPr="007233DC">
        <w:rPr>
          <w:rFonts w:cs="Arial"/>
          <w:szCs w:val="22"/>
        </w:rPr>
        <w:t>in</w:t>
      </w:r>
      <w:r w:rsidR="00600B15">
        <w:rPr>
          <w:rFonts w:cs="Arial"/>
          <w:szCs w:val="22"/>
        </w:rPr>
        <w:t xml:space="preserve"> </w:t>
      </w:r>
      <w:r w:rsidR="000C26F1">
        <w:rPr>
          <w:rFonts w:cs="Arial"/>
          <w:szCs w:val="22"/>
        </w:rPr>
        <w:t xml:space="preserve">some </w:t>
      </w:r>
      <w:r w:rsidR="00600B15">
        <w:rPr>
          <w:rFonts w:cs="Arial"/>
          <w:szCs w:val="22"/>
        </w:rPr>
        <w:t xml:space="preserve">RTE cassava chips </w:t>
      </w:r>
      <w:r w:rsidR="007233DC">
        <w:rPr>
          <w:rFonts w:cs="Arial"/>
          <w:szCs w:val="22"/>
        </w:rPr>
        <w:t xml:space="preserve">were </w:t>
      </w:r>
      <w:r w:rsidR="007233DC" w:rsidRPr="007233DC">
        <w:rPr>
          <w:rFonts w:cs="Arial"/>
          <w:szCs w:val="22"/>
        </w:rPr>
        <w:t xml:space="preserve">much higher than </w:t>
      </w:r>
      <w:r w:rsidR="00600B15">
        <w:rPr>
          <w:rFonts w:cs="Arial"/>
          <w:szCs w:val="22"/>
        </w:rPr>
        <w:t xml:space="preserve">what </w:t>
      </w:r>
      <w:r w:rsidR="008405AF">
        <w:rPr>
          <w:rFonts w:cs="Arial"/>
          <w:szCs w:val="22"/>
        </w:rPr>
        <w:t xml:space="preserve">would </w:t>
      </w:r>
      <w:r w:rsidR="000C26F1">
        <w:rPr>
          <w:rFonts w:cs="Arial"/>
          <w:szCs w:val="22"/>
        </w:rPr>
        <w:t>occur</w:t>
      </w:r>
      <w:r w:rsidR="00F11727">
        <w:rPr>
          <w:rFonts w:cs="Arial"/>
          <w:szCs w:val="22"/>
        </w:rPr>
        <w:t xml:space="preserve"> if sweet cassava had been used</w:t>
      </w:r>
      <w:r w:rsidR="000C26F1">
        <w:rPr>
          <w:rFonts w:cs="Arial"/>
          <w:szCs w:val="22"/>
        </w:rPr>
        <w:t>.</w:t>
      </w:r>
      <w:r w:rsidR="005100CF">
        <w:rPr>
          <w:rFonts w:cs="Arial"/>
          <w:szCs w:val="22"/>
        </w:rPr>
        <w:t xml:space="preserve"> In response, the National Food Incident Response Protocol was activated</w:t>
      </w:r>
      <w:r w:rsidR="00170213">
        <w:rPr>
          <w:rFonts w:cs="Arial"/>
          <w:szCs w:val="22"/>
        </w:rPr>
        <w:t>.</w:t>
      </w:r>
      <w:r w:rsidR="005100CF" w:rsidRPr="005100CF">
        <w:rPr>
          <w:rFonts w:cs="Arial"/>
          <w:szCs w:val="22"/>
        </w:rPr>
        <w:t xml:space="preserve"> </w:t>
      </w:r>
    </w:p>
    <w:p w:rsidR="00E17F1B" w:rsidRDefault="00E17F1B" w:rsidP="005100CF">
      <w:pPr>
        <w:rPr>
          <w:rFonts w:cs="Arial"/>
          <w:szCs w:val="22"/>
        </w:rPr>
      </w:pPr>
    </w:p>
    <w:p w:rsidR="007233DC" w:rsidRDefault="00E17F1B" w:rsidP="005100CF">
      <w:pPr>
        <w:rPr>
          <w:rFonts w:cs="Arial"/>
          <w:szCs w:val="22"/>
        </w:rPr>
      </w:pPr>
      <w:r w:rsidRPr="00055897">
        <w:rPr>
          <w:rFonts w:cs="Arial"/>
          <w:szCs w:val="22"/>
        </w:rPr>
        <w:t xml:space="preserve">FSANZ prepared a risk assessment in relation to </w:t>
      </w:r>
      <w:r w:rsidR="00F11727">
        <w:rPr>
          <w:rFonts w:cs="Arial"/>
          <w:szCs w:val="22"/>
        </w:rPr>
        <w:t xml:space="preserve">linamarin </w:t>
      </w:r>
      <w:r w:rsidRPr="00055897">
        <w:rPr>
          <w:rFonts w:cs="Arial"/>
          <w:szCs w:val="22"/>
        </w:rPr>
        <w:t xml:space="preserve">in </w:t>
      </w:r>
      <w:r>
        <w:rPr>
          <w:rFonts w:cs="Arial"/>
          <w:szCs w:val="22"/>
        </w:rPr>
        <w:t>RTE</w:t>
      </w:r>
      <w:r w:rsidRPr="007233DC">
        <w:rPr>
          <w:rFonts w:cs="Arial"/>
          <w:szCs w:val="22"/>
        </w:rPr>
        <w:t xml:space="preserve"> cassava chips</w:t>
      </w:r>
      <w:r>
        <w:rPr>
          <w:rFonts w:cs="Arial"/>
          <w:szCs w:val="22"/>
        </w:rPr>
        <w:t xml:space="preserve">. FSANZ then </w:t>
      </w:r>
      <w:r w:rsidRPr="00055897">
        <w:rPr>
          <w:rFonts w:cs="Arial"/>
          <w:szCs w:val="22"/>
        </w:rPr>
        <w:t>prepared Proposal P1002</w:t>
      </w:r>
      <w:r w:rsidR="00B5563E">
        <w:rPr>
          <w:rFonts w:cs="Arial"/>
          <w:szCs w:val="22"/>
        </w:rPr>
        <w:t xml:space="preserve"> </w:t>
      </w:r>
      <w:r w:rsidR="00B5563E" w:rsidRPr="00B5563E">
        <w:rPr>
          <w:rFonts w:cs="Arial"/>
          <w:szCs w:val="22"/>
        </w:rPr>
        <w:t xml:space="preserve">– Hydrocyanic acid in cassava chips </w:t>
      </w:r>
      <w:r w:rsidRPr="00055897">
        <w:rPr>
          <w:rFonts w:cs="Arial"/>
          <w:szCs w:val="22"/>
        </w:rPr>
        <w:t xml:space="preserve">to assess the public health risks associated with </w:t>
      </w:r>
      <w:r w:rsidR="00ED016C">
        <w:rPr>
          <w:rFonts w:cs="Arial"/>
          <w:szCs w:val="22"/>
        </w:rPr>
        <w:t>HCN</w:t>
      </w:r>
      <w:r w:rsidRPr="00055897">
        <w:rPr>
          <w:rFonts w:cs="Arial"/>
          <w:szCs w:val="22"/>
        </w:rPr>
        <w:t xml:space="preserve"> in </w:t>
      </w:r>
      <w:r w:rsidR="000C26F1">
        <w:rPr>
          <w:rFonts w:cs="Arial"/>
          <w:szCs w:val="22"/>
        </w:rPr>
        <w:t>RTE</w:t>
      </w:r>
      <w:r w:rsidRPr="00055897">
        <w:rPr>
          <w:rFonts w:cs="Arial"/>
          <w:szCs w:val="22"/>
        </w:rPr>
        <w:t xml:space="preserve"> cassava chips</w:t>
      </w:r>
      <w:r w:rsidR="00520C36">
        <w:rPr>
          <w:rFonts w:cs="Arial"/>
          <w:szCs w:val="22"/>
        </w:rPr>
        <w:t xml:space="preserve"> (FSANZ, 2008</w:t>
      </w:r>
      <w:r w:rsidR="00284E64">
        <w:rPr>
          <w:rFonts w:cs="Arial"/>
          <w:szCs w:val="22"/>
        </w:rPr>
        <w:t>a</w:t>
      </w:r>
      <w:r w:rsidR="00520C36">
        <w:rPr>
          <w:rFonts w:cs="Arial"/>
          <w:szCs w:val="22"/>
        </w:rPr>
        <w:t>)</w:t>
      </w:r>
      <w:r w:rsidR="005B4347" w:rsidRPr="008D3A13">
        <w:rPr>
          <w:rFonts w:cs="Arial"/>
          <w:szCs w:val="22"/>
        </w:rPr>
        <w:t>.</w:t>
      </w:r>
      <w:r w:rsidR="00C65C51">
        <w:rPr>
          <w:rFonts w:cs="Arial"/>
          <w:szCs w:val="22"/>
        </w:rPr>
        <w:t xml:space="preserve"> As a result of this assessment, FSANZ considered that regulatory measures in the Code were </w:t>
      </w:r>
      <w:r w:rsidR="00F646A5">
        <w:rPr>
          <w:rFonts w:cs="Arial"/>
          <w:szCs w:val="22"/>
        </w:rPr>
        <w:t xml:space="preserve">required to reduce levels of HCN in RTE cassava chips to protect public health and safety. </w:t>
      </w:r>
      <w:r w:rsidR="00A14E95">
        <w:rPr>
          <w:rFonts w:cs="Arial"/>
          <w:szCs w:val="22"/>
        </w:rPr>
        <w:t>I</w:t>
      </w:r>
      <w:r w:rsidR="007233DC">
        <w:rPr>
          <w:rFonts w:cs="Arial"/>
          <w:szCs w:val="22"/>
        </w:rPr>
        <w:t>n June 2009, a</w:t>
      </w:r>
      <w:r w:rsidR="00E739E9">
        <w:rPr>
          <w:rFonts w:cs="Arial"/>
          <w:szCs w:val="22"/>
        </w:rPr>
        <w:t>n</w:t>
      </w:r>
      <w:r w:rsidR="007233DC">
        <w:rPr>
          <w:rFonts w:cs="Arial"/>
          <w:szCs w:val="22"/>
        </w:rPr>
        <w:t xml:space="preserve"> </w:t>
      </w:r>
      <w:r w:rsidR="005100CF">
        <w:rPr>
          <w:rFonts w:cs="Arial"/>
          <w:szCs w:val="22"/>
        </w:rPr>
        <w:t xml:space="preserve">ML </w:t>
      </w:r>
      <w:r w:rsidR="007233DC">
        <w:rPr>
          <w:rFonts w:cs="Arial"/>
          <w:szCs w:val="22"/>
        </w:rPr>
        <w:t>of 10</w:t>
      </w:r>
      <w:r w:rsidR="00006EC5">
        <w:rPr>
          <w:rFonts w:cs="Arial"/>
          <w:szCs w:val="22"/>
        </w:rPr>
        <w:t> </w:t>
      </w:r>
      <w:r w:rsidR="007233DC">
        <w:rPr>
          <w:rFonts w:cs="Arial"/>
          <w:szCs w:val="22"/>
        </w:rPr>
        <w:t xml:space="preserve">mg/kg </w:t>
      </w:r>
      <w:r w:rsidR="005100CF">
        <w:rPr>
          <w:rFonts w:cs="Arial"/>
          <w:szCs w:val="22"/>
        </w:rPr>
        <w:t xml:space="preserve">for total </w:t>
      </w:r>
      <w:r w:rsidR="00ED016C">
        <w:rPr>
          <w:rFonts w:cs="Arial"/>
          <w:szCs w:val="22"/>
        </w:rPr>
        <w:t>HCN</w:t>
      </w:r>
      <w:r w:rsidR="005B4347">
        <w:rPr>
          <w:rStyle w:val="FootnoteReference"/>
          <w:rFonts w:cs="Arial"/>
          <w:szCs w:val="22"/>
        </w:rPr>
        <w:footnoteReference w:id="5"/>
      </w:r>
      <w:r w:rsidR="005100CF">
        <w:rPr>
          <w:rFonts w:cs="Arial"/>
          <w:szCs w:val="22"/>
        </w:rPr>
        <w:t xml:space="preserve"> </w:t>
      </w:r>
      <w:r w:rsidR="005B4347">
        <w:rPr>
          <w:rFonts w:cs="Arial"/>
          <w:szCs w:val="22"/>
        </w:rPr>
        <w:t xml:space="preserve">in RTE cassava chips </w:t>
      </w:r>
      <w:r w:rsidR="007233DC">
        <w:rPr>
          <w:rFonts w:cs="Arial"/>
          <w:szCs w:val="22"/>
        </w:rPr>
        <w:t>w</w:t>
      </w:r>
      <w:r w:rsidR="00927AC1">
        <w:rPr>
          <w:rFonts w:cs="Arial"/>
          <w:szCs w:val="22"/>
        </w:rPr>
        <w:t>as established in Standard 1.4.1.</w:t>
      </w:r>
      <w:r w:rsidR="007233DC">
        <w:rPr>
          <w:rFonts w:cs="Arial"/>
          <w:szCs w:val="22"/>
        </w:rPr>
        <w:t xml:space="preserve"> </w:t>
      </w:r>
    </w:p>
    <w:p w:rsidR="00E739E9" w:rsidRDefault="00E739E9" w:rsidP="00D958B1">
      <w:pPr>
        <w:rPr>
          <w:rFonts w:cs="Arial"/>
          <w:szCs w:val="22"/>
        </w:rPr>
      </w:pPr>
    </w:p>
    <w:p w:rsidR="00D958B1" w:rsidRDefault="00EA08D9" w:rsidP="00710641">
      <w:pPr>
        <w:pStyle w:val="Heading2"/>
      </w:pPr>
      <w:bookmarkStart w:id="31" w:name="_Toc367957739"/>
      <w:bookmarkStart w:id="32" w:name="_Toc384293483"/>
      <w:r>
        <w:t>2</w:t>
      </w:r>
      <w:r w:rsidR="00C90DC0">
        <w:t>.</w:t>
      </w:r>
      <w:r w:rsidR="00391DE3">
        <w:t>3</w:t>
      </w:r>
      <w:r w:rsidR="00C90DC0">
        <w:tab/>
      </w:r>
      <w:r w:rsidR="00E739E9">
        <w:t>International regulations</w:t>
      </w:r>
      <w:bookmarkEnd w:id="31"/>
      <w:bookmarkEnd w:id="32"/>
    </w:p>
    <w:p w:rsidR="00E739E9" w:rsidRDefault="00E739E9" w:rsidP="00B64E7B">
      <w:pPr>
        <w:keepNext/>
        <w:rPr>
          <w:rFonts w:cs="Arial"/>
          <w:szCs w:val="22"/>
        </w:rPr>
      </w:pPr>
    </w:p>
    <w:p w:rsidR="00E17F1B" w:rsidRPr="00213393" w:rsidRDefault="00E17F1B" w:rsidP="00B64E7B">
      <w:pPr>
        <w:keepNext/>
        <w:autoSpaceDE w:val="0"/>
        <w:autoSpaceDN w:val="0"/>
        <w:adjustRightInd w:val="0"/>
        <w:rPr>
          <w:rFonts w:cs="Arial"/>
          <w:szCs w:val="22"/>
        </w:rPr>
      </w:pPr>
      <w:r w:rsidRPr="00213393">
        <w:rPr>
          <w:rFonts w:cs="Arial"/>
          <w:szCs w:val="22"/>
        </w:rPr>
        <w:t xml:space="preserve">The Codex Alimentarius Commission </w:t>
      </w:r>
      <w:r w:rsidR="00622700">
        <w:rPr>
          <w:rFonts w:cs="Arial"/>
          <w:szCs w:val="22"/>
        </w:rPr>
        <w:t xml:space="preserve">(Codex) </w:t>
      </w:r>
      <w:r w:rsidRPr="00213393">
        <w:rPr>
          <w:rFonts w:cs="Arial"/>
          <w:szCs w:val="22"/>
        </w:rPr>
        <w:t>has developed and published standards for Sweet Cassava, Edible Cassava Flour and Gari (a product obtained from processing cassava tubers) (also spelt as ‘</w:t>
      </w:r>
      <w:r w:rsidR="00A5510B">
        <w:rPr>
          <w:rFonts w:cs="Arial"/>
          <w:szCs w:val="22"/>
        </w:rPr>
        <w:t>G</w:t>
      </w:r>
      <w:r w:rsidR="00A5510B" w:rsidRPr="00213393">
        <w:rPr>
          <w:rFonts w:cs="Arial"/>
          <w:szCs w:val="22"/>
        </w:rPr>
        <w:t>arri’</w:t>
      </w:r>
      <w:r w:rsidRPr="00213393">
        <w:rPr>
          <w:rFonts w:cs="Arial"/>
          <w:szCs w:val="22"/>
        </w:rPr>
        <w:t xml:space="preserve">). </w:t>
      </w:r>
    </w:p>
    <w:p w:rsidR="00E17F1B" w:rsidRPr="00213393" w:rsidRDefault="00E17F1B" w:rsidP="00E17F1B">
      <w:pPr>
        <w:autoSpaceDE w:val="0"/>
        <w:autoSpaceDN w:val="0"/>
        <w:adjustRightInd w:val="0"/>
        <w:rPr>
          <w:rFonts w:cs="Arial"/>
          <w:szCs w:val="22"/>
        </w:rPr>
      </w:pPr>
    </w:p>
    <w:p w:rsidR="00E17F1B" w:rsidRPr="00213393" w:rsidRDefault="00E17F1B" w:rsidP="00E17F1B">
      <w:pPr>
        <w:autoSpaceDE w:val="0"/>
        <w:autoSpaceDN w:val="0"/>
        <w:adjustRightInd w:val="0"/>
        <w:rPr>
          <w:rFonts w:cs="Arial"/>
          <w:szCs w:val="22"/>
        </w:rPr>
      </w:pPr>
      <w:r w:rsidRPr="00213393">
        <w:rPr>
          <w:rFonts w:cs="Arial"/>
          <w:szCs w:val="22"/>
        </w:rPr>
        <w:t>The key aspects of these standards are:</w:t>
      </w:r>
    </w:p>
    <w:p w:rsidR="00E17F1B" w:rsidRPr="00213393" w:rsidRDefault="00E17F1B" w:rsidP="00E17F1B">
      <w:pPr>
        <w:autoSpaceDE w:val="0"/>
        <w:autoSpaceDN w:val="0"/>
        <w:adjustRightInd w:val="0"/>
        <w:rPr>
          <w:rFonts w:cs="Arial"/>
          <w:szCs w:val="22"/>
        </w:rPr>
      </w:pPr>
    </w:p>
    <w:p w:rsidR="00E17F1B" w:rsidRDefault="00E17F1B" w:rsidP="00D33562">
      <w:pPr>
        <w:pStyle w:val="ListParagraph"/>
        <w:numPr>
          <w:ilvl w:val="0"/>
          <w:numId w:val="7"/>
        </w:numPr>
        <w:autoSpaceDE w:val="0"/>
        <w:autoSpaceDN w:val="0"/>
        <w:adjustRightInd w:val="0"/>
        <w:rPr>
          <w:rFonts w:ascii="Arial" w:hAnsi="Arial" w:cs="Arial"/>
        </w:rPr>
      </w:pPr>
      <w:r w:rsidRPr="00E17F1B">
        <w:rPr>
          <w:rFonts w:ascii="Arial" w:hAnsi="Arial" w:cs="Arial"/>
        </w:rPr>
        <w:t>Sweet cassava is defined as a raw product containing less than 50 mg/kg of ‘hydro</w:t>
      </w:r>
      <w:r w:rsidR="00D94577">
        <w:rPr>
          <w:rFonts w:ascii="Arial" w:hAnsi="Arial" w:cs="Arial"/>
        </w:rPr>
        <w:t>gen cyanide</w:t>
      </w:r>
      <w:r w:rsidR="00A5510B">
        <w:rPr>
          <w:rFonts w:ascii="Arial" w:hAnsi="Arial" w:cs="Arial"/>
        </w:rPr>
        <w:t>, fresh weight</w:t>
      </w:r>
      <w:r w:rsidRPr="00E17F1B">
        <w:rPr>
          <w:rFonts w:ascii="Arial" w:hAnsi="Arial" w:cs="Arial"/>
        </w:rPr>
        <w:t>’</w:t>
      </w:r>
      <w:r w:rsidR="00BE2D03">
        <w:rPr>
          <w:rFonts w:ascii="Arial" w:hAnsi="Arial" w:cs="Arial"/>
        </w:rPr>
        <w:t xml:space="preserve"> </w:t>
      </w:r>
      <w:r w:rsidR="00B64E7B">
        <w:rPr>
          <w:rFonts w:ascii="Arial" w:hAnsi="Arial" w:cs="Arial"/>
        </w:rPr>
        <w:t>and that cassava must be peeled and fully cooked before being consumed</w:t>
      </w:r>
      <w:r w:rsidR="003F0820">
        <w:rPr>
          <w:rFonts w:ascii="Arial" w:hAnsi="Arial" w:cs="Arial"/>
        </w:rPr>
        <w:t xml:space="preserve"> (Codex, 2005)</w:t>
      </w:r>
    </w:p>
    <w:p w:rsidR="00A3335E" w:rsidRDefault="00A3335E" w:rsidP="00A3335E">
      <w:pPr>
        <w:pStyle w:val="ListParagraph"/>
        <w:autoSpaceDE w:val="0"/>
        <w:autoSpaceDN w:val="0"/>
        <w:adjustRightInd w:val="0"/>
        <w:rPr>
          <w:rFonts w:ascii="Arial" w:hAnsi="Arial" w:cs="Arial"/>
        </w:rPr>
      </w:pPr>
    </w:p>
    <w:p w:rsidR="00E17F1B" w:rsidRDefault="00E17F1B" w:rsidP="00D33562">
      <w:pPr>
        <w:pStyle w:val="ListParagraph"/>
        <w:numPr>
          <w:ilvl w:val="0"/>
          <w:numId w:val="7"/>
        </w:numPr>
        <w:autoSpaceDE w:val="0"/>
        <w:autoSpaceDN w:val="0"/>
        <w:adjustRightInd w:val="0"/>
        <w:rPr>
          <w:rFonts w:ascii="Arial" w:hAnsi="Arial" w:cs="Arial"/>
        </w:rPr>
      </w:pPr>
      <w:r w:rsidRPr="00E17F1B">
        <w:rPr>
          <w:rFonts w:ascii="Arial" w:hAnsi="Arial" w:cs="Arial"/>
        </w:rPr>
        <w:t>Edible cassava flour is defined as a product suitable for direct human consumption and the level of ‘total hydrocyanic acid’ in the flour must not exceed 10 mg/kg</w:t>
      </w:r>
      <w:r w:rsidR="003F0820">
        <w:rPr>
          <w:rFonts w:ascii="Arial" w:hAnsi="Arial" w:cs="Arial"/>
        </w:rPr>
        <w:t xml:space="preserve"> (</w:t>
      </w:r>
      <w:r w:rsidR="003F0820" w:rsidRPr="00CB29A1">
        <w:rPr>
          <w:rFonts w:ascii="Arial" w:hAnsi="Arial" w:cs="Arial"/>
        </w:rPr>
        <w:t>Codex</w:t>
      </w:r>
      <w:r w:rsidR="003F0820">
        <w:rPr>
          <w:rFonts w:ascii="Arial" w:hAnsi="Arial" w:cs="Arial"/>
        </w:rPr>
        <w:t>,</w:t>
      </w:r>
      <w:r w:rsidR="00A3335E">
        <w:rPr>
          <w:rFonts w:ascii="Arial" w:hAnsi="Arial" w:cs="Arial"/>
        </w:rPr>
        <w:t xml:space="preserve"> 1995)</w:t>
      </w:r>
    </w:p>
    <w:p w:rsidR="00A3335E" w:rsidRPr="00A3335E" w:rsidRDefault="00A3335E" w:rsidP="00A3335E">
      <w:pPr>
        <w:pStyle w:val="ListParagraph"/>
        <w:rPr>
          <w:rFonts w:ascii="Arial" w:hAnsi="Arial" w:cs="Arial"/>
        </w:rPr>
      </w:pPr>
    </w:p>
    <w:p w:rsidR="00E17F1B" w:rsidRPr="00E17F1B" w:rsidRDefault="00E17F1B" w:rsidP="00D33562">
      <w:pPr>
        <w:pStyle w:val="ListParagraph"/>
        <w:numPr>
          <w:ilvl w:val="0"/>
          <w:numId w:val="7"/>
        </w:numPr>
        <w:autoSpaceDE w:val="0"/>
        <w:autoSpaceDN w:val="0"/>
        <w:adjustRightInd w:val="0"/>
        <w:rPr>
          <w:rFonts w:ascii="Arial" w:hAnsi="Arial" w:cs="Arial"/>
        </w:rPr>
      </w:pPr>
      <w:r>
        <w:rPr>
          <w:rFonts w:ascii="Arial" w:hAnsi="Arial" w:cs="Arial"/>
        </w:rPr>
        <w:t>F</w:t>
      </w:r>
      <w:r w:rsidRPr="00E17F1B">
        <w:rPr>
          <w:rFonts w:ascii="Arial" w:hAnsi="Arial" w:cs="Arial"/>
        </w:rPr>
        <w:t>or gari</w:t>
      </w:r>
      <w:r w:rsidR="00280E56">
        <w:rPr>
          <w:rFonts w:ascii="Arial" w:hAnsi="Arial" w:cs="Arial"/>
        </w:rPr>
        <w:t xml:space="preserve"> </w:t>
      </w:r>
      <w:r w:rsidRPr="00E17F1B">
        <w:rPr>
          <w:rFonts w:ascii="Arial" w:hAnsi="Arial" w:cs="Arial"/>
        </w:rPr>
        <w:t xml:space="preserve">the ‘total hydrocyanic acid’ must not exceed 2 mg/kg </w:t>
      </w:r>
      <w:r w:rsidR="000C26F1">
        <w:rPr>
          <w:rFonts w:ascii="Arial" w:hAnsi="Arial" w:cs="Arial"/>
        </w:rPr>
        <w:t xml:space="preserve">determined </w:t>
      </w:r>
      <w:r w:rsidRPr="00E17F1B">
        <w:rPr>
          <w:rFonts w:ascii="Arial" w:hAnsi="Arial" w:cs="Arial"/>
        </w:rPr>
        <w:t xml:space="preserve">as ‘free’ hydrocyanic acid </w:t>
      </w:r>
      <w:r w:rsidR="003F0820" w:rsidRPr="00213393">
        <w:rPr>
          <w:rFonts w:ascii="Arial" w:hAnsi="Arial" w:cs="Arial"/>
        </w:rPr>
        <w:t>(Codex, 1989)</w:t>
      </w:r>
      <w:r w:rsidR="003F0820">
        <w:rPr>
          <w:rFonts w:ascii="Arial" w:hAnsi="Arial" w:cs="Arial"/>
        </w:rPr>
        <w:t>.</w:t>
      </w:r>
    </w:p>
    <w:p w:rsidR="00E17F1B" w:rsidRPr="00213393" w:rsidRDefault="00E17F1B" w:rsidP="00E17F1B">
      <w:pPr>
        <w:autoSpaceDE w:val="0"/>
        <w:autoSpaceDN w:val="0"/>
        <w:adjustRightInd w:val="0"/>
        <w:rPr>
          <w:rFonts w:cs="Arial"/>
          <w:szCs w:val="22"/>
        </w:rPr>
      </w:pPr>
    </w:p>
    <w:p w:rsidR="00BC3893" w:rsidRDefault="00E17F1B" w:rsidP="00E17F1B">
      <w:pPr>
        <w:autoSpaceDE w:val="0"/>
        <w:autoSpaceDN w:val="0"/>
        <w:adjustRightInd w:val="0"/>
        <w:rPr>
          <w:rFonts w:cs="Arial"/>
          <w:szCs w:val="22"/>
        </w:rPr>
      </w:pPr>
      <w:r w:rsidRPr="00213393">
        <w:rPr>
          <w:rFonts w:cs="Arial"/>
          <w:szCs w:val="22"/>
        </w:rPr>
        <w:t>For bitter varieties of cassava</w:t>
      </w:r>
      <w:r w:rsidR="00A25BA5">
        <w:rPr>
          <w:rFonts w:cs="Arial"/>
          <w:szCs w:val="22"/>
        </w:rPr>
        <w:t xml:space="preserve"> (greater than 50 mg/kg HCN)</w:t>
      </w:r>
      <w:r w:rsidRPr="00213393">
        <w:rPr>
          <w:rFonts w:cs="Arial"/>
          <w:szCs w:val="22"/>
        </w:rPr>
        <w:t>, the Codex standard (Codex, 20</w:t>
      </w:r>
      <w:r w:rsidR="003F0820">
        <w:rPr>
          <w:rFonts w:cs="Arial"/>
          <w:szCs w:val="22"/>
        </w:rPr>
        <w:t>10</w:t>
      </w:r>
      <w:r w:rsidRPr="00213393">
        <w:rPr>
          <w:rFonts w:cs="Arial"/>
          <w:szCs w:val="22"/>
        </w:rPr>
        <w:t>) states that the following information must be made available to consumers at the point of sale</w:t>
      </w:r>
      <w:r w:rsidR="00BC3893">
        <w:rPr>
          <w:rFonts w:cs="Arial"/>
          <w:szCs w:val="22"/>
        </w:rPr>
        <w:t>:</w:t>
      </w:r>
    </w:p>
    <w:p w:rsidR="00E17F1B" w:rsidRPr="00213393" w:rsidRDefault="00E17F1B" w:rsidP="00E17F1B">
      <w:pPr>
        <w:autoSpaceDE w:val="0"/>
        <w:autoSpaceDN w:val="0"/>
        <w:adjustRightInd w:val="0"/>
        <w:rPr>
          <w:rFonts w:cs="Arial"/>
          <w:szCs w:val="22"/>
        </w:rPr>
      </w:pPr>
      <w:r w:rsidRPr="00213393">
        <w:rPr>
          <w:rFonts w:cs="Arial"/>
          <w:szCs w:val="22"/>
        </w:rPr>
        <w:t xml:space="preserve"> </w:t>
      </w:r>
    </w:p>
    <w:p w:rsidR="00ED016C" w:rsidRDefault="00ED016C" w:rsidP="00D33562">
      <w:pPr>
        <w:pStyle w:val="ListParagraph"/>
        <w:numPr>
          <w:ilvl w:val="0"/>
          <w:numId w:val="8"/>
        </w:numPr>
        <w:autoSpaceDE w:val="0"/>
        <w:autoSpaceDN w:val="0"/>
        <w:adjustRightInd w:val="0"/>
        <w:rPr>
          <w:rFonts w:ascii="Arial" w:hAnsi="Arial" w:cs="Arial"/>
        </w:rPr>
      </w:pPr>
      <w:r w:rsidRPr="00ED016C">
        <w:rPr>
          <w:rFonts w:ascii="Arial" w:hAnsi="Arial" w:cs="Arial"/>
        </w:rPr>
        <w:t>Cassava must not be eaten raw</w:t>
      </w:r>
    </w:p>
    <w:p w:rsidR="00A3335E" w:rsidRDefault="00A3335E" w:rsidP="00A3335E">
      <w:pPr>
        <w:pStyle w:val="ListParagraph"/>
        <w:autoSpaceDE w:val="0"/>
        <w:autoSpaceDN w:val="0"/>
        <w:adjustRightInd w:val="0"/>
        <w:rPr>
          <w:rFonts w:ascii="Arial" w:hAnsi="Arial" w:cs="Arial"/>
        </w:rPr>
      </w:pPr>
    </w:p>
    <w:p w:rsidR="00ED016C" w:rsidRDefault="00E17F1B" w:rsidP="00D33562">
      <w:pPr>
        <w:pStyle w:val="ListParagraph"/>
        <w:numPr>
          <w:ilvl w:val="0"/>
          <w:numId w:val="8"/>
        </w:numPr>
        <w:autoSpaceDE w:val="0"/>
        <w:autoSpaceDN w:val="0"/>
        <w:adjustRightInd w:val="0"/>
        <w:rPr>
          <w:rFonts w:ascii="Arial" w:hAnsi="Arial" w:cs="Arial"/>
        </w:rPr>
      </w:pPr>
      <w:r w:rsidRPr="00ED016C">
        <w:rPr>
          <w:rFonts w:ascii="Arial" w:hAnsi="Arial" w:cs="Arial"/>
        </w:rPr>
        <w:t>Cassava shall be peeled, de-pithed, cut into pieces, rinsed and fully c</w:t>
      </w:r>
      <w:r w:rsidR="00ED016C" w:rsidRPr="00ED016C">
        <w:rPr>
          <w:rFonts w:ascii="Arial" w:hAnsi="Arial" w:cs="Arial"/>
        </w:rPr>
        <w:t>ooked before consumption</w:t>
      </w:r>
    </w:p>
    <w:p w:rsidR="00A3335E" w:rsidRPr="00A3335E" w:rsidRDefault="00A3335E" w:rsidP="00A3335E">
      <w:pPr>
        <w:pStyle w:val="ListParagraph"/>
        <w:rPr>
          <w:rFonts w:ascii="Arial" w:hAnsi="Arial" w:cs="Arial"/>
        </w:rPr>
      </w:pPr>
    </w:p>
    <w:p w:rsidR="00E17F1B" w:rsidRDefault="00E17F1B" w:rsidP="00D33562">
      <w:pPr>
        <w:pStyle w:val="ListParagraph"/>
        <w:numPr>
          <w:ilvl w:val="0"/>
          <w:numId w:val="8"/>
        </w:numPr>
        <w:autoSpaceDE w:val="0"/>
        <w:autoSpaceDN w:val="0"/>
        <w:adjustRightInd w:val="0"/>
        <w:rPr>
          <w:rFonts w:ascii="Arial" w:hAnsi="Arial" w:cs="Arial"/>
        </w:rPr>
      </w:pPr>
      <w:r w:rsidRPr="00ED016C">
        <w:rPr>
          <w:rFonts w:ascii="Arial" w:hAnsi="Arial" w:cs="Arial"/>
        </w:rPr>
        <w:t>Cooking or rinsing water must not be consumed or used for other food preparation purposes.</w:t>
      </w:r>
    </w:p>
    <w:p w:rsidR="005D6020" w:rsidRDefault="005D6020">
      <w:pPr>
        <w:spacing w:after="200" w:line="276" w:lineRule="auto"/>
        <w:rPr>
          <w:rFonts w:cs="Arial"/>
          <w:szCs w:val="22"/>
        </w:rPr>
      </w:pPr>
      <w:r>
        <w:rPr>
          <w:rFonts w:cs="Arial"/>
          <w:szCs w:val="22"/>
        </w:rPr>
        <w:br w:type="page"/>
      </w:r>
    </w:p>
    <w:p w:rsidR="00C83DAD" w:rsidRDefault="00EA08D9" w:rsidP="00710641">
      <w:pPr>
        <w:pStyle w:val="Heading2"/>
      </w:pPr>
      <w:bookmarkStart w:id="33" w:name="_Toc384293484"/>
      <w:bookmarkStart w:id="34" w:name="_Toc367957740"/>
      <w:r>
        <w:lastRenderedPageBreak/>
        <w:t>2</w:t>
      </w:r>
      <w:r w:rsidR="00C90DC0">
        <w:t>.</w:t>
      </w:r>
      <w:r w:rsidR="00AF126A">
        <w:t>4</w:t>
      </w:r>
      <w:r w:rsidR="00C90DC0">
        <w:tab/>
      </w:r>
      <w:r w:rsidR="00A51BA1">
        <w:t>I</w:t>
      </w:r>
      <w:r w:rsidR="00C83DAD">
        <w:t>SFR</w:t>
      </w:r>
      <w:r w:rsidR="00A51BA1">
        <w:t xml:space="preserve"> coordinated food s</w:t>
      </w:r>
      <w:r w:rsidR="00E739E9">
        <w:t>urvey</w:t>
      </w:r>
      <w:r w:rsidR="00A51BA1">
        <w:t xml:space="preserve"> </w:t>
      </w:r>
      <w:r w:rsidR="00C83DAD">
        <w:t>o</w:t>
      </w:r>
      <w:r w:rsidR="00395391">
        <w:t>f</w:t>
      </w:r>
      <w:r w:rsidR="00C83DAD">
        <w:t xml:space="preserve"> cyanogenic glycosides in plant-based foods</w:t>
      </w:r>
      <w:bookmarkEnd w:id="33"/>
      <w:r w:rsidR="00C83DAD">
        <w:t xml:space="preserve"> </w:t>
      </w:r>
      <w:bookmarkEnd w:id="34"/>
    </w:p>
    <w:p w:rsidR="00E739E9" w:rsidRDefault="00E739E9" w:rsidP="00D958B1">
      <w:pPr>
        <w:rPr>
          <w:rFonts w:cs="Arial"/>
          <w:szCs w:val="22"/>
        </w:rPr>
      </w:pPr>
    </w:p>
    <w:p w:rsidR="006A2BE6" w:rsidRDefault="001A2723" w:rsidP="00D958B1">
      <w:pPr>
        <w:rPr>
          <w:rFonts w:cs="Arial"/>
          <w:szCs w:val="22"/>
        </w:rPr>
      </w:pPr>
      <w:r>
        <w:rPr>
          <w:rFonts w:cs="Arial"/>
          <w:szCs w:val="22"/>
        </w:rPr>
        <w:t xml:space="preserve">As a result of Proposal P1002 on RTE cassava chips, </w:t>
      </w:r>
      <w:r w:rsidR="00E739E9">
        <w:rPr>
          <w:rFonts w:cs="Arial"/>
          <w:szCs w:val="22"/>
        </w:rPr>
        <w:t xml:space="preserve">FSANZ </w:t>
      </w:r>
      <w:r>
        <w:rPr>
          <w:rFonts w:cs="Arial"/>
          <w:szCs w:val="22"/>
        </w:rPr>
        <w:t xml:space="preserve">recognised that a more thorough review of cyanogenic glycosides in food should be undertaken. </w:t>
      </w:r>
      <w:r w:rsidR="006A2BE6">
        <w:rPr>
          <w:rFonts w:cs="Arial"/>
          <w:szCs w:val="22"/>
        </w:rPr>
        <w:t xml:space="preserve">To support such a review, a strong scientific evidence base would be required. The collection of analytical data on levels of </w:t>
      </w:r>
      <w:r w:rsidR="00ED016C">
        <w:rPr>
          <w:rFonts w:cs="Arial"/>
          <w:szCs w:val="22"/>
        </w:rPr>
        <w:t>HCN</w:t>
      </w:r>
      <w:r w:rsidR="006A2BE6">
        <w:rPr>
          <w:rFonts w:cs="Arial"/>
          <w:szCs w:val="22"/>
        </w:rPr>
        <w:t xml:space="preserve"> in a range of plant</w:t>
      </w:r>
      <w:r w:rsidR="00DC4611">
        <w:rPr>
          <w:rFonts w:cs="Arial"/>
          <w:szCs w:val="22"/>
        </w:rPr>
        <w:t>-</w:t>
      </w:r>
      <w:r w:rsidR="006A2BE6">
        <w:rPr>
          <w:rFonts w:cs="Arial"/>
          <w:szCs w:val="22"/>
        </w:rPr>
        <w:t xml:space="preserve">based foods </w:t>
      </w:r>
      <w:r w:rsidR="005B7A20">
        <w:rPr>
          <w:rFonts w:cs="Arial"/>
          <w:szCs w:val="22"/>
        </w:rPr>
        <w:t xml:space="preserve">other than RTE cassava chips </w:t>
      </w:r>
      <w:r w:rsidR="006A2BE6">
        <w:rPr>
          <w:rFonts w:cs="Arial"/>
          <w:szCs w:val="22"/>
        </w:rPr>
        <w:t>contribute</w:t>
      </w:r>
      <w:r w:rsidR="00CC4511">
        <w:rPr>
          <w:rFonts w:cs="Arial"/>
          <w:szCs w:val="22"/>
        </w:rPr>
        <w:t>s</w:t>
      </w:r>
      <w:r w:rsidR="006A2BE6">
        <w:rPr>
          <w:rFonts w:cs="Arial"/>
          <w:szCs w:val="22"/>
        </w:rPr>
        <w:t xml:space="preserve"> to this evidence base. </w:t>
      </w:r>
    </w:p>
    <w:p w:rsidR="00885EF0" w:rsidRDefault="00885EF0" w:rsidP="00D958B1">
      <w:pPr>
        <w:rPr>
          <w:rFonts w:cs="Arial"/>
          <w:szCs w:val="22"/>
        </w:rPr>
      </w:pPr>
    </w:p>
    <w:p w:rsidR="00C944FE" w:rsidRDefault="00E3581E" w:rsidP="00C944FE">
      <w:pPr>
        <w:rPr>
          <w:rFonts w:cs="Arial"/>
          <w:szCs w:val="22"/>
        </w:rPr>
      </w:pPr>
      <w:r>
        <w:rPr>
          <w:rFonts w:cs="Arial"/>
          <w:szCs w:val="22"/>
        </w:rPr>
        <w:t>I</w:t>
      </w:r>
      <w:r w:rsidR="00ED5FB7">
        <w:rPr>
          <w:rFonts w:cs="Arial"/>
          <w:szCs w:val="22"/>
        </w:rPr>
        <w:t>n 20</w:t>
      </w:r>
      <w:r w:rsidR="006A2BE6">
        <w:rPr>
          <w:rFonts w:cs="Arial"/>
          <w:szCs w:val="22"/>
        </w:rPr>
        <w:t>0</w:t>
      </w:r>
      <w:r w:rsidR="00ED5FB7">
        <w:rPr>
          <w:rFonts w:cs="Arial"/>
          <w:szCs w:val="22"/>
        </w:rPr>
        <w:t>9</w:t>
      </w:r>
      <w:r w:rsidR="006A2BE6">
        <w:rPr>
          <w:rFonts w:cs="Arial"/>
          <w:szCs w:val="22"/>
        </w:rPr>
        <w:t xml:space="preserve">, </w:t>
      </w:r>
      <w:r w:rsidR="00ED5FB7">
        <w:rPr>
          <w:rFonts w:cs="Arial"/>
          <w:szCs w:val="22"/>
        </w:rPr>
        <w:t>a survey o</w:t>
      </w:r>
      <w:r w:rsidR="00395391">
        <w:rPr>
          <w:rFonts w:cs="Arial"/>
          <w:szCs w:val="22"/>
        </w:rPr>
        <w:t>f</w:t>
      </w:r>
      <w:r w:rsidR="00ED5FB7">
        <w:rPr>
          <w:rFonts w:cs="Arial"/>
          <w:szCs w:val="22"/>
        </w:rPr>
        <w:t xml:space="preserve"> cyanogenic glycosides in </w:t>
      </w:r>
      <w:r w:rsidR="007233ED">
        <w:rPr>
          <w:rFonts w:cs="Arial"/>
          <w:szCs w:val="22"/>
        </w:rPr>
        <w:t xml:space="preserve">plant-based </w:t>
      </w:r>
      <w:r w:rsidR="00ED5FB7">
        <w:rPr>
          <w:rFonts w:cs="Arial"/>
          <w:szCs w:val="22"/>
        </w:rPr>
        <w:t>foods</w:t>
      </w:r>
      <w:r w:rsidR="007233ED">
        <w:rPr>
          <w:rFonts w:cs="Arial"/>
          <w:szCs w:val="22"/>
        </w:rPr>
        <w:t xml:space="preserve"> </w:t>
      </w:r>
      <w:r w:rsidR="00ED5FB7">
        <w:rPr>
          <w:rFonts w:cs="Arial"/>
          <w:szCs w:val="22"/>
        </w:rPr>
        <w:t xml:space="preserve">was included on the </w:t>
      </w:r>
      <w:r w:rsidR="00C83DAD">
        <w:rPr>
          <w:rFonts w:cs="Arial"/>
          <w:szCs w:val="22"/>
        </w:rPr>
        <w:t>ISFR</w:t>
      </w:r>
      <w:r w:rsidR="00ED5FB7">
        <w:rPr>
          <w:rFonts w:cs="Arial"/>
          <w:szCs w:val="22"/>
        </w:rPr>
        <w:t xml:space="preserve"> Coordinated Food Survey Plan (CFSP), </w:t>
      </w:r>
      <w:r w:rsidR="00C944FE">
        <w:rPr>
          <w:rFonts w:cs="Arial"/>
          <w:szCs w:val="22"/>
        </w:rPr>
        <w:t xml:space="preserve">to be </w:t>
      </w:r>
      <w:r w:rsidR="00954ABD">
        <w:rPr>
          <w:rFonts w:cs="Arial"/>
          <w:szCs w:val="22"/>
        </w:rPr>
        <w:t>led</w:t>
      </w:r>
      <w:r w:rsidR="00C944FE">
        <w:rPr>
          <w:rFonts w:cs="Arial"/>
          <w:szCs w:val="22"/>
        </w:rPr>
        <w:t xml:space="preserve"> by FSANZ and the New Zealand Food Safety Authority [now New Zealand Ministry for Primary Industries (NZ MPI)]. T</w:t>
      </w:r>
      <w:r w:rsidR="00ED5FB7">
        <w:rPr>
          <w:rFonts w:cs="Arial"/>
          <w:szCs w:val="22"/>
        </w:rPr>
        <w:t xml:space="preserve">his approach would ensure </w:t>
      </w:r>
      <w:r w:rsidR="00221DB5">
        <w:rPr>
          <w:rFonts w:cs="Arial"/>
          <w:szCs w:val="22"/>
        </w:rPr>
        <w:t xml:space="preserve">input </w:t>
      </w:r>
      <w:r w:rsidR="00170213">
        <w:rPr>
          <w:rFonts w:cs="Arial"/>
          <w:szCs w:val="22"/>
        </w:rPr>
        <w:t xml:space="preserve">from Australian states and territories </w:t>
      </w:r>
      <w:r w:rsidR="00ED5FB7">
        <w:rPr>
          <w:rFonts w:cs="Arial"/>
          <w:szCs w:val="22"/>
        </w:rPr>
        <w:t xml:space="preserve">on sampling and methodology. </w:t>
      </w:r>
      <w:r w:rsidR="00C944FE">
        <w:rPr>
          <w:rFonts w:cs="Arial"/>
          <w:szCs w:val="22"/>
        </w:rPr>
        <w:t xml:space="preserve">This survey is termed the ISFR </w:t>
      </w:r>
      <w:r w:rsidR="007F449F">
        <w:rPr>
          <w:rFonts w:cs="Arial"/>
          <w:szCs w:val="22"/>
        </w:rPr>
        <w:t>s</w:t>
      </w:r>
      <w:r w:rsidR="00C944FE">
        <w:rPr>
          <w:rFonts w:cs="Arial"/>
          <w:szCs w:val="22"/>
        </w:rPr>
        <w:t xml:space="preserve">urvey and consists of </w:t>
      </w:r>
      <w:r w:rsidR="007F449F">
        <w:rPr>
          <w:rFonts w:cs="Arial"/>
          <w:szCs w:val="22"/>
        </w:rPr>
        <w:t>three</w:t>
      </w:r>
      <w:r w:rsidR="00C944FE">
        <w:rPr>
          <w:rFonts w:cs="Arial"/>
          <w:szCs w:val="22"/>
        </w:rPr>
        <w:t xml:space="preserve"> separate surveys. Each of these surveys were planned and implemented separately and therefore in this report they are referred to as Surveys 1, 2 and 3.</w:t>
      </w:r>
    </w:p>
    <w:p w:rsidR="006A2BE6" w:rsidRDefault="006A2BE6" w:rsidP="00D958B1">
      <w:pPr>
        <w:rPr>
          <w:rFonts w:cs="Arial"/>
          <w:szCs w:val="22"/>
        </w:rPr>
      </w:pPr>
    </w:p>
    <w:p w:rsidR="00221DB5" w:rsidRPr="00056F5C" w:rsidRDefault="00056F5C" w:rsidP="00056F5C">
      <w:pPr>
        <w:pStyle w:val="Heading3"/>
      </w:pPr>
      <w:bookmarkStart w:id="35" w:name="_Toc384293485"/>
      <w:r>
        <w:t>2.4.1 Survey 1</w:t>
      </w:r>
      <w:bookmarkEnd w:id="35"/>
    </w:p>
    <w:p w:rsidR="00221DB5" w:rsidRDefault="00221DB5" w:rsidP="009A03FD">
      <w:pPr>
        <w:rPr>
          <w:rFonts w:cs="Arial"/>
          <w:szCs w:val="22"/>
        </w:rPr>
      </w:pPr>
    </w:p>
    <w:p w:rsidR="00A418CA" w:rsidRDefault="006773C4" w:rsidP="009A03FD">
      <w:pPr>
        <w:rPr>
          <w:rFonts w:cs="Arial"/>
          <w:szCs w:val="22"/>
        </w:rPr>
      </w:pPr>
      <w:r>
        <w:rPr>
          <w:rFonts w:cs="Arial"/>
          <w:szCs w:val="22"/>
        </w:rPr>
        <w:t>Survey 1</w:t>
      </w:r>
      <w:r w:rsidR="00D97DEE">
        <w:rPr>
          <w:rFonts w:cs="Arial"/>
          <w:szCs w:val="22"/>
        </w:rPr>
        <w:t xml:space="preserve"> </w:t>
      </w:r>
      <w:r w:rsidR="00ED5FB7">
        <w:rPr>
          <w:rFonts w:cs="Arial"/>
          <w:szCs w:val="22"/>
        </w:rPr>
        <w:t xml:space="preserve">was conducted in </w:t>
      </w:r>
      <w:r w:rsidR="00E3581E">
        <w:rPr>
          <w:rFonts w:cs="Arial"/>
          <w:szCs w:val="22"/>
        </w:rPr>
        <w:t xml:space="preserve">March </w:t>
      </w:r>
      <w:r w:rsidR="00ED5FB7">
        <w:rPr>
          <w:rFonts w:cs="Arial"/>
          <w:szCs w:val="22"/>
        </w:rPr>
        <w:t xml:space="preserve">2010 </w:t>
      </w:r>
      <w:r w:rsidR="00C944FE">
        <w:rPr>
          <w:rFonts w:cs="Arial"/>
          <w:szCs w:val="22"/>
        </w:rPr>
        <w:t>after</w:t>
      </w:r>
      <w:r w:rsidR="00ED5FB7">
        <w:rPr>
          <w:rFonts w:cs="Arial"/>
          <w:szCs w:val="22"/>
        </w:rPr>
        <w:t xml:space="preserve"> </w:t>
      </w:r>
      <w:r w:rsidR="004470A5">
        <w:rPr>
          <w:rFonts w:cs="Arial"/>
          <w:szCs w:val="22"/>
        </w:rPr>
        <w:t>NZ MPI</w:t>
      </w:r>
      <w:r w:rsidR="00170213">
        <w:rPr>
          <w:rFonts w:cs="Arial"/>
          <w:szCs w:val="22"/>
        </w:rPr>
        <w:t xml:space="preserve">, in conjunction with FSANZ, reviewed the occurrence of cyanogenic glycosides in plant-based foods and developed </w:t>
      </w:r>
      <w:r w:rsidR="00ED016C">
        <w:rPr>
          <w:rFonts w:cs="Arial"/>
          <w:szCs w:val="22"/>
        </w:rPr>
        <w:t xml:space="preserve">a </w:t>
      </w:r>
      <w:r w:rsidR="00170213">
        <w:rPr>
          <w:rFonts w:cs="Arial"/>
          <w:szCs w:val="22"/>
        </w:rPr>
        <w:t xml:space="preserve">sampling plan. </w:t>
      </w:r>
      <w:r w:rsidR="00B5756B" w:rsidRPr="00B5756B">
        <w:rPr>
          <w:rFonts w:cs="Arial"/>
          <w:szCs w:val="22"/>
        </w:rPr>
        <w:t>The Institute of Environmental Science and Research (ESR) was engaged to</w:t>
      </w:r>
      <w:r w:rsidR="00B5756B">
        <w:rPr>
          <w:rFonts w:cs="Arial"/>
          <w:szCs w:val="22"/>
        </w:rPr>
        <w:t xml:space="preserve"> undertake the analytical testing of the samples </w:t>
      </w:r>
      <w:r w:rsidR="00B5756B" w:rsidRPr="00B5756B">
        <w:rPr>
          <w:rFonts w:cs="Arial"/>
          <w:szCs w:val="22"/>
        </w:rPr>
        <w:t>by acid hydrolysis of extracted cyanogens, followed by colourimetric determination (Haque and Bradbury, 2002).</w:t>
      </w:r>
      <w:r w:rsidR="000A47A1" w:rsidRPr="000A47A1">
        <w:rPr>
          <w:rFonts w:cs="Arial"/>
          <w:szCs w:val="22"/>
        </w:rPr>
        <w:t xml:space="preserve"> </w:t>
      </w:r>
    </w:p>
    <w:p w:rsidR="00A418CA" w:rsidRDefault="00A418CA" w:rsidP="009A03FD">
      <w:pPr>
        <w:rPr>
          <w:rFonts w:cs="Arial"/>
          <w:szCs w:val="22"/>
        </w:rPr>
      </w:pPr>
    </w:p>
    <w:p w:rsidR="00221DB5" w:rsidRPr="00056F5C" w:rsidRDefault="00221DB5" w:rsidP="00056F5C">
      <w:pPr>
        <w:pStyle w:val="Heading3"/>
      </w:pPr>
      <w:bookmarkStart w:id="36" w:name="_Toc384293486"/>
      <w:bookmarkStart w:id="37" w:name="_Toc367957638"/>
      <w:r w:rsidRPr="00056F5C">
        <w:t>2.4.2 Survey 2</w:t>
      </w:r>
      <w:bookmarkEnd w:id="36"/>
    </w:p>
    <w:p w:rsidR="00221DB5" w:rsidRDefault="00221DB5" w:rsidP="00754F31">
      <w:pPr>
        <w:rPr>
          <w:rFonts w:cs="Arial"/>
          <w:szCs w:val="22"/>
        </w:rPr>
      </w:pPr>
    </w:p>
    <w:p w:rsidR="00F14940" w:rsidRDefault="00BC3893" w:rsidP="00BC3893">
      <w:pPr>
        <w:rPr>
          <w:rFonts w:cs="Arial"/>
          <w:szCs w:val="22"/>
        </w:rPr>
      </w:pPr>
      <w:r>
        <w:rPr>
          <w:rFonts w:cs="Arial"/>
          <w:szCs w:val="22"/>
        </w:rPr>
        <w:t>Survey 2</w:t>
      </w:r>
      <w:r w:rsidR="002247CC">
        <w:rPr>
          <w:rFonts w:cs="Arial"/>
          <w:szCs w:val="22"/>
        </w:rPr>
        <w:t>,</w:t>
      </w:r>
      <w:r w:rsidR="00BC2394">
        <w:rPr>
          <w:rFonts w:cs="Arial"/>
          <w:szCs w:val="22"/>
        </w:rPr>
        <w:t xml:space="preserve"> </w:t>
      </w:r>
      <w:r>
        <w:rPr>
          <w:rFonts w:cs="Arial"/>
          <w:szCs w:val="22"/>
        </w:rPr>
        <w:t>conducted in 2012</w:t>
      </w:r>
      <w:r w:rsidR="00BC2394">
        <w:rPr>
          <w:rFonts w:cs="Arial"/>
          <w:szCs w:val="22"/>
        </w:rPr>
        <w:t xml:space="preserve">, examined </w:t>
      </w:r>
      <w:r w:rsidR="00F14940">
        <w:rPr>
          <w:rFonts w:cs="Arial"/>
          <w:szCs w:val="22"/>
        </w:rPr>
        <w:t xml:space="preserve">the cyanogenic glycoside content of a large </w:t>
      </w:r>
      <w:r w:rsidR="00221DB5">
        <w:rPr>
          <w:rFonts w:cs="Arial"/>
          <w:szCs w:val="22"/>
        </w:rPr>
        <w:t xml:space="preserve">number </w:t>
      </w:r>
      <w:r w:rsidR="00F14940">
        <w:rPr>
          <w:rFonts w:cs="Arial"/>
          <w:szCs w:val="22"/>
        </w:rPr>
        <w:t>of Australian and New Zealand apple juice</w:t>
      </w:r>
      <w:r w:rsidR="00221DB5">
        <w:rPr>
          <w:rFonts w:cs="Arial"/>
          <w:szCs w:val="22"/>
        </w:rPr>
        <w:t xml:space="preserve"> samples</w:t>
      </w:r>
      <w:r>
        <w:rPr>
          <w:rFonts w:cs="Arial"/>
          <w:szCs w:val="22"/>
        </w:rPr>
        <w:t xml:space="preserve">, and was undertaken </w:t>
      </w:r>
      <w:r w:rsidR="00754F31">
        <w:rPr>
          <w:rFonts w:cs="Arial"/>
          <w:szCs w:val="22"/>
        </w:rPr>
        <w:t>to confirm one positive result obtained in Survey 1</w:t>
      </w:r>
      <w:r>
        <w:rPr>
          <w:rFonts w:cs="Arial"/>
          <w:szCs w:val="22"/>
        </w:rPr>
        <w:t xml:space="preserve">. </w:t>
      </w:r>
      <w:r w:rsidR="004F1D8C">
        <w:rPr>
          <w:rFonts w:cs="Arial"/>
          <w:szCs w:val="22"/>
        </w:rPr>
        <w:t>The analytical testing was again undertaken by ESR using the acid hydrolysis method.</w:t>
      </w:r>
    </w:p>
    <w:p w:rsidR="00056F5C" w:rsidRDefault="00056F5C" w:rsidP="00BC3893">
      <w:pPr>
        <w:rPr>
          <w:rFonts w:cs="Arial"/>
          <w:szCs w:val="22"/>
        </w:rPr>
      </w:pPr>
    </w:p>
    <w:p w:rsidR="004F1D8C" w:rsidRDefault="004F1D8C" w:rsidP="00BC3893">
      <w:pPr>
        <w:rPr>
          <w:rFonts w:cs="Arial"/>
          <w:szCs w:val="22"/>
        </w:rPr>
      </w:pPr>
      <w:r w:rsidRPr="004F1D8C">
        <w:rPr>
          <w:rFonts w:cs="Arial"/>
          <w:szCs w:val="22"/>
        </w:rPr>
        <w:t xml:space="preserve">An alternative method of analysis for total HCN agreed by the EU in 2012 as a standardised method and involving HPLC determination of the derivatised cyanide was subsequently used by ESR to confirm results obtained for several apple </w:t>
      </w:r>
      <w:r w:rsidR="00160935">
        <w:rPr>
          <w:rFonts w:cs="Arial"/>
          <w:szCs w:val="22"/>
        </w:rPr>
        <w:t>products analysed in Survey 2 and Survey 3 (see</w:t>
      </w:r>
      <w:r w:rsidR="00054E6A">
        <w:rPr>
          <w:rFonts w:cs="Arial"/>
          <w:szCs w:val="22"/>
        </w:rPr>
        <w:t xml:space="preserve"> also</w:t>
      </w:r>
      <w:r w:rsidR="00160935">
        <w:rPr>
          <w:rFonts w:cs="Arial"/>
          <w:szCs w:val="22"/>
        </w:rPr>
        <w:t xml:space="preserve"> below) </w:t>
      </w:r>
      <w:r w:rsidR="00902296" w:rsidRPr="00902296">
        <w:rPr>
          <w:rFonts w:cs="Arial"/>
          <w:szCs w:val="22"/>
        </w:rPr>
        <w:t>(Animal feeding stuffs – Determination of hydrocyanic acid by HPLC. EN 16160:2012)</w:t>
      </w:r>
      <w:r w:rsidR="00412308">
        <w:rPr>
          <w:rFonts w:cs="Arial"/>
          <w:szCs w:val="22"/>
        </w:rPr>
        <w:t xml:space="preserve"> (European Committee for Standardization, 2012)</w:t>
      </w:r>
      <w:r w:rsidR="00381CE0">
        <w:rPr>
          <w:rFonts w:cs="Arial"/>
          <w:szCs w:val="22"/>
        </w:rPr>
        <w:t>. I</w:t>
      </w:r>
      <w:r w:rsidR="00C12A1E">
        <w:rPr>
          <w:rFonts w:cs="Arial"/>
          <w:szCs w:val="22"/>
        </w:rPr>
        <w:t xml:space="preserve">n this report </w:t>
      </w:r>
      <w:r w:rsidR="00381CE0">
        <w:rPr>
          <w:rFonts w:cs="Arial"/>
          <w:szCs w:val="22"/>
        </w:rPr>
        <w:t xml:space="preserve">it </w:t>
      </w:r>
      <w:r w:rsidR="00C12A1E">
        <w:rPr>
          <w:rFonts w:cs="Arial"/>
          <w:szCs w:val="22"/>
        </w:rPr>
        <w:t>is termed the EU HPLC methodology</w:t>
      </w:r>
      <w:r w:rsidR="00902296" w:rsidRPr="00902296">
        <w:rPr>
          <w:rFonts w:cs="Arial"/>
          <w:szCs w:val="22"/>
        </w:rPr>
        <w:t>.</w:t>
      </w:r>
    </w:p>
    <w:p w:rsidR="002247CC" w:rsidRDefault="002247CC" w:rsidP="00BC3893">
      <w:pPr>
        <w:rPr>
          <w:rFonts w:cs="Arial"/>
          <w:szCs w:val="22"/>
        </w:rPr>
      </w:pPr>
    </w:p>
    <w:p w:rsidR="00221DB5" w:rsidRPr="00056F5C" w:rsidRDefault="00221DB5" w:rsidP="00056F5C">
      <w:pPr>
        <w:pStyle w:val="Heading3"/>
      </w:pPr>
      <w:bookmarkStart w:id="38" w:name="_Toc384293487"/>
      <w:r w:rsidRPr="00056F5C">
        <w:t>2.4.3 Survey 3</w:t>
      </w:r>
      <w:bookmarkEnd w:id="38"/>
    </w:p>
    <w:p w:rsidR="00221DB5" w:rsidRDefault="00221DB5" w:rsidP="00BC3893">
      <w:pPr>
        <w:rPr>
          <w:rFonts w:cs="Arial"/>
          <w:szCs w:val="22"/>
        </w:rPr>
      </w:pPr>
    </w:p>
    <w:p w:rsidR="00754F31" w:rsidRDefault="00AB1566" w:rsidP="00BC3893">
      <w:pPr>
        <w:rPr>
          <w:rFonts w:cs="Arial"/>
          <w:szCs w:val="22"/>
        </w:rPr>
      </w:pPr>
      <w:r>
        <w:rPr>
          <w:rFonts w:cs="Arial"/>
          <w:szCs w:val="22"/>
        </w:rPr>
        <w:t xml:space="preserve">Survey 3 </w:t>
      </w:r>
      <w:r w:rsidRPr="00BC3893">
        <w:rPr>
          <w:rFonts w:cs="Arial"/>
          <w:szCs w:val="22"/>
        </w:rPr>
        <w:t xml:space="preserve">was conducted in 2013 </w:t>
      </w:r>
      <w:r>
        <w:rPr>
          <w:rFonts w:cs="Arial"/>
          <w:szCs w:val="22"/>
        </w:rPr>
        <w:t>to obtain further data relating to the cyanogenic glycoside content of raw apricot kernels, apricot products</w:t>
      </w:r>
      <w:r w:rsidR="00364645">
        <w:rPr>
          <w:rFonts w:cs="Arial"/>
          <w:szCs w:val="22"/>
        </w:rPr>
        <w:t xml:space="preserve"> and/or </w:t>
      </w:r>
      <w:r w:rsidR="00E44B24">
        <w:rPr>
          <w:rFonts w:cs="Arial"/>
          <w:szCs w:val="22"/>
        </w:rPr>
        <w:t>products containing apricot kernels</w:t>
      </w:r>
      <w:r>
        <w:rPr>
          <w:rFonts w:cs="Arial"/>
          <w:szCs w:val="22"/>
        </w:rPr>
        <w:t xml:space="preserve"> and </w:t>
      </w:r>
      <w:r w:rsidR="00EA3AA2">
        <w:rPr>
          <w:rFonts w:cs="Arial"/>
          <w:szCs w:val="22"/>
        </w:rPr>
        <w:t>several other foods for which</w:t>
      </w:r>
      <w:r>
        <w:rPr>
          <w:rFonts w:cs="Arial"/>
          <w:szCs w:val="22"/>
        </w:rPr>
        <w:t xml:space="preserve"> </w:t>
      </w:r>
      <w:r w:rsidRPr="00D305B1">
        <w:rPr>
          <w:rFonts w:cs="Arial"/>
          <w:szCs w:val="22"/>
        </w:rPr>
        <w:t xml:space="preserve">limited data </w:t>
      </w:r>
      <w:r w:rsidR="00704B3C">
        <w:rPr>
          <w:rFonts w:cs="Arial"/>
          <w:szCs w:val="22"/>
        </w:rPr>
        <w:t xml:space="preserve">were </w:t>
      </w:r>
      <w:r w:rsidRPr="00D305B1">
        <w:rPr>
          <w:rFonts w:cs="Arial"/>
          <w:szCs w:val="22"/>
        </w:rPr>
        <w:t>available in Australia</w:t>
      </w:r>
      <w:r w:rsidR="00381CE0">
        <w:rPr>
          <w:rFonts w:cs="Arial"/>
          <w:szCs w:val="22"/>
        </w:rPr>
        <w:t xml:space="preserve"> and New Zealand</w:t>
      </w:r>
      <w:r w:rsidRPr="000A47A1">
        <w:rPr>
          <w:rFonts w:cs="Arial"/>
          <w:szCs w:val="22"/>
        </w:rPr>
        <w:t>.</w:t>
      </w:r>
      <w:r>
        <w:rPr>
          <w:rFonts w:cs="Arial"/>
          <w:szCs w:val="22"/>
        </w:rPr>
        <w:t xml:space="preserve"> The results of this survey </w:t>
      </w:r>
      <w:r w:rsidR="00BC2394">
        <w:rPr>
          <w:rFonts w:cs="Arial"/>
          <w:szCs w:val="22"/>
        </w:rPr>
        <w:t>were used to</w:t>
      </w:r>
      <w:r>
        <w:rPr>
          <w:rFonts w:cs="Arial"/>
          <w:szCs w:val="22"/>
        </w:rPr>
        <w:t xml:space="preserve"> augment results obtained in Survey 1 and </w:t>
      </w:r>
      <w:r w:rsidR="00BC2394">
        <w:rPr>
          <w:rFonts w:cs="Arial"/>
          <w:szCs w:val="22"/>
        </w:rPr>
        <w:t xml:space="preserve">to </w:t>
      </w:r>
      <w:r>
        <w:rPr>
          <w:rFonts w:cs="Arial"/>
          <w:szCs w:val="22"/>
        </w:rPr>
        <w:t xml:space="preserve">inform Proposal P1016, which was </w:t>
      </w:r>
      <w:r w:rsidR="008405AF">
        <w:rPr>
          <w:rFonts w:cs="Arial"/>
          <w:szCs w:val="22"/>
        </w:rPr>
        <w:t>prepared</w:t>
      </w:r>
      <w:r>
        <w:rPr>
          <w:rFonts w:cs="Arial"/>
          <w:szCs w:val="22"/>
        </w:rPr>
        <w:t xml:space="preserve"> in response to the hospitalisation </w:t>
      </w:r>
      <w:r w:rsidR="0052013E">
        <w:rPr>
          <w:rFonts w:cs="Arial"/>
          <w:szCs w:val="22"/>
        </w:rPr>
        <w:t xml:space="preserve">of </w:t>
      </w:r>
      <w:r>
        <w:rPr>
          <w:rFonts w:cs="Arial"/>
          <w:szCs w:val="22"/>
        </w:rPr>
        <w:t xml:space="preserve">a consumer in Queensland </w:t>
      </w:r>
      <w:r w:rsidR="0052013E">
        <w:rPr>
          <w:rFonts w:cs="Arial"/>
          <w:szCs w:val="22"/>
        </w:rPr>
        <w:t xml:space="preserve">in October 2011, </w:t>
      </w:r>
      <w:r>
        <w:rPr>
          <w:rFonts w:cs="Arial"/>
          <w:szCs w:val="22"/>
        </w:rPr>
        <w:t xml:space="preserve">after </w:t>
      </w:r>
      <w:r w:rsidR="00BC3893" w:rsidRPr="00BC3893">
        <w:rPr>
          <w:rFonts w:cs="Arial"/>
          <w:szCs w:val="22"/>
        </w:rPr>
        <w:t xml:space="preserve">consuming raw apricot kernels with high levels of HCN. </w:t>
      </w:r>
    </w:p>
    <w:p w:rsidR="00754F31" w:rsidRDefault="00754F31" w:rsidP="00754F31">
      <w:pPr>
        <w:rPr>
          <w:rFonts w:cs="Arial"/>
          <w:szCs w:val="22"/>
        </w:rPr>
      </w:pPr>
    </w:p>
    <w:p w:rsidR="00160935" w:rsidRDefault="00160935" w:rsidP="00160935">
      <w:pPr>
        <w:rPr>
          <w:rFonts w:cs="Arial"/>
          <w:szCs w:val="22"/>
        </w:rPr>
      </w:pPr>
      <w:r>
        <w:rPr>
          <w:rFonts w:cs="Arial"/>
          <w:szCs w:val="22"/>
        </w:rPr>
        <w:t>The analytical testing was again undertaken by ESR using the acid hydrolysis method.</w:t>
      </w:r>
    </w:p>
    <w:p w:rsidR="00056F5C" w:rsidRDefault="00F547CD" w:rsidP="00C12A1E">
      <w:pPr>
        <w:rPr>
          <w:rFonts w:cs="Arial"/>
          <w:b/>
          <w:szCs w:val="22"/>
        </w:rPr>
      </w:pPr>
      <w:r>
        <w:rPr>
          <w:rFonts w:cs="Arial"/>
          <w:szCs w:val="22"/>
        </w:rPr>
        <w:t>T</w:t>
      </w:r>
      <w:r w:rsidR="00412308">
        <w:rPr>
          <w:rFonts w:cs="Arial"/>
          <w:szCs w:val="22"/>
        </w:rPr>
        <w:t xml:space="preserve">he </w:t>
      </w:r>
      <w:r w:rsidR="00160935">
        <w:rPr>
          <w:rFonts w:cs="Arial"/>
          <w:szCs w:val="22"/>
        </w:rPr>
        <w:t xml:space="preserve">EU </w:t>
      </w:r>
      <w:r w:rsidR="00412308">
        <w:rPr>
          <w:rFonts w:cs="Arial"/>
          <w:szCs w:val="22"/>
        </w:rPr>
        <w:t xml:space="preserve">HPLC methodology was </w:t>
      </w:r>
      <w:r w:rsidR="00160935">
        <w:rPr>
          <w:rFonts w:cs="Arial"/>
          <w:szCs w:val="22"/>
        </w:rPr>
        <w:t xml:space="preserve">used </w:t>
      </w:r>
      <w:r w:rsidR="00754F31">
        <w:rPr>
          <w:rFonts w:cs="Arial"/>
          <w:szCs w:val="22"/>
        </w:rPr>
        <w:t xml:space="preserve">to confirm results obtained for </w:t>
      </w:r>
      <w:r w:rsidR="00412308">
        <w:rPr>
          <w:rFonts w:cs="Arial"/>
          <w:szCs w:val="22"/>
        </w:rPr>
        <w:t>one</w:t>
      </w:r>
      <w:r w:rsidR="00754F31">
        <w:rPr>
          <w:rFonts w:cs="Arial"/>
          <w:szCs w:val="22"/>
        </w:rPr>
        <w:t xml:space="preserve"> apple product analysed in </w:t>
      </w:r>
      <w:r w:rsidR="00160935">
        <w:rPr>
          <w:rFonts w:cs="Arial"/>
          <w:szCs w:val="22"/>
        </w:rPr>
        <w:t>this survey</w:t>
      </w:r>
      <w:r w:rsidR="00754F31">
        <w:rPr>
          <w:rFonts w:cs="Arial"/>
          <w:szCs w:val="22"/>
        </w:rPr>
        <w:t xml:space="preserve">. </w:t>
      </w:r>
      <w:r w:rsidR="00056F5C">
        <w:br w:type="page"/>
      </w:r>
    </w:p>
    <w:p w:rsidR="00EE4365" w:rsidRPr="00B05B51" w:rsidRDefault="00EE4365" w:rsidP="000C175B">
      <w:pPr>
        <w:pStyle w:val="Heading1"/>
        <w:numPr>
          <w:ilvl w:val="0"/>
          <w:numId w:val="22"/>
        </w:numPr>
        <w:ind w:hanging="720"/>
      </w:pPr>
      <w:bookmarkStart w:id="39" w:name="_Toc338160497"/>
      <w:bookmarkStart w:id="40" w:name="_Toc338160870"/>
      <w:bookmarkStart w:id="41" w:name="_Toc338161485"/>
      <w:bookmarkStart w:id="42" w:name="_Toc338161741"/>
      <w:bookmarkStart w:id="43" w:name="_Toc367957641"/>
      <w:bookmarkStart w:id="44" w:name="_Toc367957741"/>
      <w:bookmarkStart w:id="45" w:name="_Toc384293488"/>
      <w:bookmarkEnd w:id="37"/>
      <w:r w:rsidRPr="00B05B51">
        <w:lastRenderedPageBreak/>
        <w:t>METHODOLOGY</w:t>
      </w:r>
      <w:bookmarkEnd w:id="39"/>
      <w:bookmarkEnd w:id="40"/>
      <w:bookmarkEnd w:id="41"/>
      <w:bookmarkEnd w:id="42"/>
      <w:bookmarkEnd w:id="43"/>
      <w:bookmarkEnd w:id="44"/>
      <w:bookmarkEnd w:id="45"/>
    </w:p>
    <w:p w:rsidR="00EE4365" w:rsidRPr="00B05B51" w:rsidRDefault="00EE4365" w:rsidP="00EE4365">
      <w:pPr>
        <w:rPr>
          <w:rFonts w:cs="Arial"/>
          <w:szCs w:val="22"/>
        </w:rPr>
      </w:pPr>
    </w:p>
    <w:p w:rsidR="00EE4365" w:rsidRDefault="00C90DC0" w:rsidP="000B47BF">
      <w:pPr>
        <w:pStyle w:val="Heading2"/>
      </w:pPr>
      <w:bookmarkStart w:id="46" w:name="_Toc338160498"/>
      <w:bookmarkStart w:id="47" w:name="_Toc338161742"/>
      <w:bookmarkStart w:id="48" w:name="_Toc367957642"/>
      <w:bookmarkStart w:id="49" w:name="_Toc384293489"/>
      <w:r>
        <w:t>3.1</w:t>
      </w:r>
      <w:r>
        <w:tab/>
      </w:r>
      <w:r w:rsidR="00EE4365" w:rsidRPr="00B05B51">
        <w:t>Sampling</w:t>
      </w:r>
      <w:bookmarkEnd w:id="46"/>
      <w:bookmarkEnd w:id="47"/>
      <w:bookmarkEnd w:id="48"/>
      <w:bookmarkEnd w:id="49"/>
    </w:p>
    <w:p w:rsidR="00882B22" w:rsidRPr="00EA08D9" w:rsidRDefault="00882B22" w:rsidP="00D12D6D">
      <w:pPr>
        <w:pStyle w:val="Heading3"/>
      </w:pPr>
      <w:bookmarkStart w:id="50" w:name="_Toc384293490"/>
      <w:r w:rsidRPr="00EA08D9">
        <w:t>3.1.1</w:t>
      </w:r>
      <w:r w:rsidR="008A0966">
        <w:tab/>
      </w:r>
      <w:r w:rsidR="00FF6DEF" w:rsidRPr="00EA08D9">
        <w:t>Survey o</w:t>
      </w:r>
      <w:r w:rsidR="00395391">
        <w:t>f</w:t>
      </w:r>
      <w:r w:rsidR="00FF6DEF" w:rsidRPr="00EA08D9">
        <w:t xml:space="preserve"> cyanogenic glycosides in plant-based foods (Survey 1)</w:t>
      </w:r>
      <w:bookmarkEnd w:id="50"/>
    </w:p>
    <w:p w:rsidR="00882B22" w:rsidRDefault="00882B22" w:rsidP="003D6E53">
      <w:pPr>
        <w:rPr>
          <w:rFonts w:cs="Arial"/>
          <w:szCs w:val="22"/>
        </w:rPr>
      </w:pPr>
    </w:p>
    <w:p w:rsidR="00B875D2" w:rsidRDefault="00820505" w:rsidP="003D6E53">
      <w:pPr>
        <w:rPr>
          <w:rFonts w:cs="Arial"/>
          <w:szCs w:val="22"/>
        </w:rPr>
      </w:pPr>
      <w:r>
        <w:rPr>
          <w:rFonts w:cs="Arial"/>
          <w:szCs w:val="22"/>
        </w:rPr>
        <w:t xml:space="preserve">For Survey 1, </w:t>
      </w:r>
      <w:r w:rsidR="003D6E53" w:rsidRPr="003D6E53">
        <w:rPr>
          <w:rFonts w:cs="Arial"/>
          <w:szCs w:val="22"/>
        </w:rPr>
        <w:t>NZ</w:t>
      </w:r>
      <w:r w:rsidR="003D6E53">
        <w:rPr>
          <w:rFonts w:cs="Arial"/>
          <w:szCs w:val="22"/>
        </w:rPr>
        <w:t xml:space="preserve"> MPI, </w:t>
      </w:r>
      <w:r w:rsidR="003D6E53" w:rsidRPr="00147D7B">
        <w:rPr>
          <w:rFonts w:cs="Arial"/>
          <w:szCs w:val="22"/>
        </w:rPr>
        <w:t xml:space="preserve">in </w:t>
      </w:r>
      <w:r w:rsidR="00147D7B" w:rsidRPr="00147D7B">
        <w:rPr>
          <w:rFonts w:cs="Arial"/>
          <w:szCs w:val="22"/>
        </w:rPr>
        <w:t>consultation</w:t>
      </w:r>
      <w:r w:rsidR="003D6E53" w:rsidRPr="00147D7B">
        <w:rPr>
          <w:rFonts w:cs="Arial"/>
          <w:szCs w:val="22"/>
        </w:rPr>
        <w:t xml:space="preserve"> with </w:t>
      </w:r>
      <w:r w:rsidR="00DA6C69" w:rsidRPr="00147D7B">
        <w:rPr>
          <w:rFonts w:cs="Arial"/>
          <w:szCs w:val="22"/>
        </w:rPr>
        <w:t xml:space="preserve">FSANZ, </w:t>
      </w:r>
      <w:r w:rsidR="003D6E53" w:rsidRPr="00147D7B">
        <w:rPr>
          <w:rFonts w:cs="Arial"/>
          <w:szCs w:val="22"/>
        </w:rPr>
        <w:t>reviewed</w:t>
      </w:r>
      <w:r w:rsidR="003D6E53" w:rsidRPr="003D6E53">
        <w:rPr>
          <w:rFonts w:cs="Arial"/>
          <w:szCs w:val="22"/>
        </w:rPr>
        <w:t xml:space="preserve"> </w:t>
      </w:r>
      <w:r w:rsidR="00B7192C">
        <w:rPr>
          <w:rFonts w:cs="Arial"/>
          <w:szCs w:val="22"/>
        </w:rPr>
        <w:t xml:space="preserve">available information on </w:t>
      </w:r>
      <w:r w:rsidR="003D6E53" w:rsidRPr="003D6E53">
        <w:rPr>
          <w:rFonts w:cs="Arial"/>
          <w:szCs w:val="22"/>
        </w:rPr>
        <w:t xml:space="preserve">the occurrence of </w:t>
      </w:r>
      <w:r w:rsidR="00ED016C">
        <w:rPr>
          <w:rFonts w:cs="Arial"/>
          <w:szCs w:val="22"/>
        </w:rPr>
        <w:t>HCN</w:t>
      </w:r>
      <w:r w:rsidR="003D6E53" w:rsidRPr="003D6E53">
        <w:rPr>
          <w:rFonts w:cs="Arial"/>
          <w:szCs w:val="22"/>
        </w:rPr>
        <w:t xml:space="preserve"> in foods</w:t>
      </w:r>
      <w:r w:rsidR="00414248">
        <w:rPr>
          <w:rFonts w:cs="Arial"/>
          <w:szCs w:val="22"/>
        </w:rPr>
        <w:t xml:space="preserve"> and</w:t>
      </w:r>
      <w:r w:rsidR="00E47C13">
        <w:rPr>
          <w:rFonts w:cs="Arial"/>
          <w:szCs w:val="22"/>
        </w:rPr>
        <w:t xml:space="preserve"> sample</w:t>
      </w:r>
      <w:r w:rsidR="00C01A9E">
        <w:rPr>
          <w:rFonts w:cs="Arial"/>
          <w:szCs w:val="22"/>
        </w:rPr>
        <w:t>d</w:t>
      </w:r>
      <w:r w:rsidR="00E47C13">
        <w:rPr>
          <w:rFonts w:cs="Arial"/>
          <w:szCs w:val="22"/>
        </w:rPr>
        <w:t xml:space="preserve"> a range of foods available in New Zealand that had the potential to contain naturally occurring cyanogenic glycosides. </w:t>
      </w:r>
      <w:r w:rsidR="00D85AF5">
        <w:rPr>
          <w:rFonts w:cs="Arial"/>
          <w:szCs w:val="22"/>
        </w:rPr>
        <w:t>The plant-based foods analysed were: cassava</w:t>
      </w:r>
      <w:r w:rsidR="00E1027D">
        <w:rPr>
          <w:rFonts w:cs="Arial"/>
          <w:szCs w:val="22"/>
        </w:rPr>
        <w:t xml:space="preserve"> and cassava products</w:t>
      </w:r>
      <w:r w:rsidR="00D85AF5">
        <w:rPr>
          <w:rFonts w:cs="Arial"/>
          <w:szCs w:val="22"/>
        </w:rPr>
        <w:t>; bamboo shoots; almonds and almond products; apple products; linseed/flaxseed and products; stone fruit products; lima beans and various seeds; and several</w:t>
      </w:r>
      <w:r w:rsidR="00DB260E">
        <w:rPr>
          <w:rFonts w:cs="Arial"/>
          <w:szCs w:val="22"/>
        </w:rPr>
        <w:t xml:space="preserve"> other</w:t>
      </w:r>
      <w:r w:rsidR="00D85AF5">
        <w:rPr>
          <w:rFonts w:cs="Arial"/>
          <w:szCs w:val="22"/>
        </w:rPr>
        <w:t xml:space="preserve"> miscellaneous products. </w:t>
      </w:r>
      <w:r w:rsidR="00C01A9E">
        <w:rPr>
          <w:rFonts w:cs="Arial"/>
          <w:szCs w:val="22"/>
        </w:rPr>
        <w:t>A description of foods sampled</w:t>
      </w:r>
      <w:r w:rsidR="00414248">
        <w:rPr>
          <w:rFonts w:cs="Arial"/>
          <w:szCs w:val="22"/>
        </w:rPr>
        <w:t xml:space="preserve"> and sample numbers </w:t>
      </w:r>
      <w:r w:rsidR="00E47C13">
        <w:rPr>
          <w:rFonts w:cs="Arial"/>
          <w:szCs w:val="22"/>
        </w:rPr>
        <w:t xml:space="preserve">are </w:t>
      </w:r>
      <w:r w:rsidR="00414248">
        <w:rPr>
          <w:rFonts w:cs="Arial"/>
          <w:szCs w:val="22"/>
        </w:rPr>
        <w:t>shown in Tab</w:t>
      </w:r>
      <w:r w:rsidR="005A0871">
        <w:rPr>
          <w:rFonts w:cs="Arial"/>
          <w:szCs w:val="22"/>
        </w:rPr>
        <w:t>le 1</w:t>
      </w:r>
      <w:r w:rsidR="003D6E53" w:rsidRPr="003D6E53">
        <w:rPr>
          <w:rFonts w:cs="Arial"/>
          <w:szCs w:val="22"/>
        </w:rPr>
        <w:t xml:space="preserve">. </w:t>
      </w:r>
    </w:p>
    <w:p w:rsidR="00E6419F" w:rsidRDefault="00E6419F" w:rsidP="003D6E53">
      <w:pPr>
        <w:rPr>
          <w:rFonts w:cs="Arial"/>
          <w:szCs w:val="22"/>
        </w:rPr>
      </w:pPr>
    </w:p>
    <w:p w:rsidR="00E6419F" w:rsidRDefault="00E6419F" w:rsidP="00E6419F">
      <w:pPr>
        <w:rPr>
          <w:rFonts w:cs="Arial"/>
          <w:szCs w:val="22"/>
        </w:rPr>
      </w:pPr>
      <w:r w:rsidRPr="00E47C13">
        <w:rPr>
          <w:rFonts w:cs="Arial"/>
          <w:szCs w:val="22"/>
        </w:rPr>
        <w:t>All</w:t>
      </w:r>
      <w:r>
        <w:rPr>
          <w:rFonts w:cs="Arial"/>
          <w:szCs w:val="22"/>
        </w:rPr>
        <w:t xml:space="preserve"> s</w:t>
      </w:r>
      <w:r w:rsidRPr="00B05B51">
        <w:rPr>
          <w:rFonts w:cs="Arial"/>
          <w:szCs w:val="22"/>
        </w:rPr>
        <w:t xml:space="preserve">amples were collected </w:t>
      </w:r>
      <w:r>
        <w:rPr>
          <w:rFonts w:cs="Arial"/>
          <w:szCs w:val="22"/>
        </w:rPr>
        <w:t xml:space="preserve">from supermarkets or specialist retail outlets in Christchurch, New Zealand in </w:t>
      </w:r>
      <w:r w:rsidR="00907E6E">
        <w:rPr>
          <w:rFonts w:cs="Arial"/>
          <w:szCs w:val="22"/>
        </w:rPr>
        <w:t>March</w:t>
      </w:r>
      <w:r>
        <w:rPr>
          <w:rFonts w:cs="Arial"/>
          <w:szCs w:val="22"/>
        </w:rPr>
        <w:t xml:space="preserve"> 2010. This was based on the </w:t>
      </w:r>
      <w:r w:rsidRPr="00065A40">
        <w:rPr>
          <w:rFonts w:cs="Arial"/>
          <w:szCs w:val="22"/>
        </w:rPr>
        <w:t>assum</w:t>
      </w:r>
      <w:r>
        <w:rPr>
          <w:rFonts w:cs="Arial"/>
          <w:szCs w:val="22"/>
        </w:rPr>
        <w:t xml:space="preserve">ption </w:t>
      </w:r>
      <w:r w:rsidRPr="00065A40">
        <w:rPr>
          <w:rFonts w:cs="Arial"/>
          <w:szCs w:val="22"/>
        </w:rPr>
        <w:t>that the foods would be nationally distributed</w:t>
      </w:r>
      <w:r>
        <w:rPr>
          <w:rFonts w:cs="Arial"/>
          <w:szCs w:val="22"/>
        </w:rPr>
        <w:t xml:space="preserve">. </w:t>
      </w:r>
      <w:r w:rsidRPr="00065A40">
        <w:rPr>
          <w:rFonts w:cs="Arial"/>
          <w:szCs w:val="22"/>
        </w:rPr>
        <w:t xml:space="preserve">It was also assumed that cyanogenic compounds </w:t>
      </w:r>
      <w:r>
        <w:rPr>
          <w:rFonts w:cs="Arial"/>
          <w:szCs w:val="22"/>
        </w:rPr>
        <w:t xml:space="preserve">would be present at </w:t>
      </w:r>
      <w:r w:rsidRPr="00065A40">
        <w:rPr>
          <w:rFonts w:cs="Arial"/>
          <w:szCs w:val="22"/>
        </w:rPr>
        <w:t xml:space="preserve">reasonably </w:t>
      </w:r>
      <w:r>
        <w:rPr>
          <w:rFonts w:cs="Arial"/>
          <w:szCs w:val="22"/>
        </w:rPr>
        <w:t xml:space="preserve">consistent levels within each of the </w:t>
      </w:r>
      <w:r w:rsidRPr="00065A40">
        <w:rPr>
          <w:rFonts w:cs="Arial"/>
          <w:szCs w:val="22"/>
        </w:rPr>
        <w:t xml:space="preserve">food </w:t>
      </w:r>
      <w:r>
        <w:rPr>
          <w:rFonts w:cs="Arial"/>
          <w:szCs w:val="22"/>
        </w:rPr>
        <w:t>groups sampled</w:t>
      </w:r>
      <w:r w:rsidR="00056F5C">
        <w:rPr>
          <w:rFonts w:cs="Arial"/>
          <w:szCs w:val="22"/>
        </w:rPr>
        <w:t>, and that levels in products available in New Zealand would be representative of those available in Australia</w:t>
      </w:r>
      <w:r w:rsidRPr="00065A40">
        <w:rPr>
          <w:rFonts w:cs="Arial"/>
          <w:szCs w:val="22"/>
        </w:rPr>
        <w:t xml:space="preserve">. </w:t>
      </w:r>
    </w:p>
    <w:p w:rsidR="00E6419F" w:rsidRDefault="00E6419F" w:rsidP="00E6419F">
      <w:pPr>
        <w:rPr>
          <w:rFonts w:cs="Arial"/>
          <w:szCs w:val="22"/>
        </w:rPr>
      </w:pPr>
    </w:p>
    <w:p w:rsidR="004154E3" w:rsidRDefault="00E6419F" w:rsidP="00E6419F">
      <w:pPr>
        <w:rPr>
          <w:rFonts w:cs="Arial"/>
          <w:szCs w:val="22"/>
        </w:rPr>
      </w:pPr>
      <w:r>
        <w:rPr>
          <w:rFonts w:cs="Arial"/>
          <w:szCs w:val="22"/>
        </w:rPr>
        <w:t xml:space="preserve">At total of </w:t>
      </w:r>
      <w:r w:rsidRPr="004E7019">
        <w:rPr>
          <w:rFonts w:cs="Arial"/>
          <w:szCs w:val="22"/>
        </w:rPr>
        <w:t>100</w:t>
      </w:r>
      <w:r>
        <w:rPr>
          <w:rFonts w:cs="Arial"/>
          <w:szCs w:val="22"/>
        </w:rPr>
        <w:t xml:space="preserve"> individual samples were purchased. </w:t>
      </w:r>
      <w:r w:rsidR="00FF46BE" w:rsidRPr="00FF46BE">
        <w:rPr>
          <w:rFonts w:cs="Arial"/>
          <w:szCs w:val="22"/>
        </w:rPr>
        <w:t>The number of samples for each food type varied from 1 to 11 primary purchase samples.</w:t>
      </w:r>
      <w:r w:rsidR="00FF46BE">
        <w:rPr>
          <w:rFonts w:cs="Arial"/>
          <w:szCs w:val="22"/>
        </w:rPr>
        <w:t xml:space="preserve"> </w:t>
      </w:r>
      <w:r w:rsidRPr="00065A40">
        <w:rPr>
          <w:rFonts w:cs="Arial"/>
          <w:szCs w:val="22"/>
        </w:rPr>
        <w:t>Retail units or loose product were purchased to give a sample weight of at least 500</w:t>
      </w:r>
      <w:r>
        <w:rPr>
          <w:rFonts w:cs="Arial"/>
          <w:szCs w:val="22"/>
        </w:rPr>
        <w:t> </w:t>
      </w:r>
      <w:r w:rsidRPr="00065A40">
        <w:rPr>
          <w:rFonts w:cs="Arial"/>
          <w:szCs w:val="22"/>
        </w:rPr>
        <w:t>g. Exceptions were highly homogeneous, high-value foods, such as oils, for which a single retail unit (</w:t>
      </w:r>
      <w:r>
        <w:rPr>
          <w:rFonts w:cs="Arial"/>
          <w:szCs w:val="22"/>
        </w:rPr>
        <w:t xml:space="preserve">of </w:t>
      </w:r>
      <w:r w:rsidRPr="00065A40">
        <w:rPr>
          <w:rFonts w:cs="Arial"/>
          <w:szCs w:val="22"/>
        </w:rPr>
        <w:t>at least 200</w:t>
      </w:r>
      <w:r>
        <w:rPr>
          <w:rFonts w:cs="Arial"/>
          <w:szCs w:val="22"/>
        </w:rPr>
        <w:t> </w:t>
      </w:r>
      <w:r w:rsidRPr="00065A40">
        <w:rPr>
          <w:rFonts w:cs="Arial"/>
          <w:szCs w:val="22"/>
        </w:rPr>
        <w:t>g) was purchased.</w:t>
      </w:r>
    </w:p>
    <w:p w:rsidR="004154E3" w:rsidRDefault="004154E3">
      <w:pPr>
        <w:spacing w:after="200" w:line="276" w:lineRule="auto"/>
        <w:rPr>
          <w:rFonts w:cs="Arial"/>
          <w:szCs w:val="22"/>
        </w:rPr>
      </w:pPr>
      <w:r>
        <w:rPr>
          <w:rFonts w:cs="Arial"/>
          <w:szCs w:val="22"/>
        </w:rPr>
        <w:br w:type="page"/>
      </w:r>
    </w:p>
    <w:p w:rsidR="005A0871" w:rsidRPr="00391DE3" w:rsidRDefault="005A0871" w:rsidP="00391DE3">
      <w:pPr>
        <w:pStyle w:val="Heading3LT"/>
      </w:pPr>
      <w:bookmarkStart w:id="51" w:name="_Toc384293547"/>
      <w:r w:rsidRPr="00391DE3">
        <w:lastRenderedPageBreak/>
        <w:t>Table 1:</w:t>
      </w:r>
      <w:r w:rsidR="00065A40" w:rsidRPr="00391DE3">
        <w:t xml:space="preserve"> </w:t>
      </w:r>
      <w:r w:rsidRPr="00391DE3">
        <w:t xml:space="preserve">Sample type and sample numbers for </w:t>
      </w:r>
      <w:r w:rsidR="00820505" w:rsidRPr="00391DE3">
        <w:t xml:space="preserve">Survey 1 </w:t>
      </w:r>
      <w:r w:rsidR="00065A40" w:rsidRPr="00391DE3">
        <w:t>of cyanogenic glycosides in plant</w:t>
      </w:r>
      <w:r w:rsidR="00DC4611" w:rsidRPr="00391DE3">
        <w:t>-</w:t>
      </w:r>
      <w:r w:rsidR="00065A40" w:rsidRPr="00391DE3">
        <w:t>based foods</w:t>
      </w:r>
      <w:bookmarkEnd w:id="51"/>
      <w:r w:rsidRPr="00391DE3">
        <w:t xml:space="preserve"> </w:t>
      </w:r>
    </w:p>
    <w:tbl>
      <w:tblPr>
        <w:tblStyle w:val="MediumShading1-Accent1"/>
        <w:tblW w:w="0" w:type="auto"/>
        <w:tblBorders>
          <w:insideV w:val="single" w:sz="8" w:space="0" w:color="7BA0CD" w:themeColor="accent1" w:themeTint="BF"/>
        </w:tblBorders>
        <w:tblLook w:val="04A0" w:firstRow="1" w:lastRow="0" w:firstColumn="1" w:lastColumn="0" w:noHBand="0" w:noVBand="1"/>
      </w:tblPr>
      <w:tblGrid>
        <w:gridCol w:w="2696"/>
        <w:gridCol w:w="1626"/>
        <w:gridCol w:w="4920"/>
      </w:tblGrid>
      <w:tr w:rsidR="005A0871" w:rsidRPr="00065A40" w:rsidTr="001F31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Borders>
              <w:top w:val="none" w:sz="0" w:space="0" w:color="auto"/>
              <w:left w:val="none" w:sz="0" w:space="0" w:color="auto"/>
              <w:bottom w:val="none" w:sz="0" w:space="0" w:color="auto"/>
              <w:right w:val="none" w:sz="0" w:space="0" w:color="auto"/>
            </w:tcBorders>
          </w:tcPr>
          <w:p w:rsidR="005A0871" w:rsidRPr="00065A40" w:rsidRDefault="005A0871" w:rsidP="00A552F0">
            <w:pPr>
              <w:rPr>
                <w:rFonts w:cs="Arial"/>
                <w:sz w:val="20"/>
                <w:szCs w:val="20"/>
              </w:rPr>
            </w:pPr>
            <w:r w:rsidRPr="00065A40">
              <w:rPr>
                <w:rFonts w:cs="Arial"/>
                <w:sz w:val="20"/>
                <w:szCs w:val="20"/>
              </w:rPr>
              <w:t>Sample type</w:t>
            </w:r>
          </w:p>
        </w:tc>
        <w:tc>
          <w:tcPr>
            <w:tcW w:w="1701" w:type="dxa"/>
            <w:tcBorders>
              <w:top w:val="none" w:sz="0" w:space="0" w:color="auto"/>
              <w:left w:val="none" w:sz="0" w:space="0" w:color="auto"/>
              <w:bottom w:val="none" w:sz="0" w:space="0" w:color="auto"/>
              <w:right w:val="none" w:sz="0" w:space="0" w:color="auto"/>
            </w:tcBorders>
          </w:tcPr>
          <w:p w:rsidR="005A0871" w:rsidRPr="00065A40" w:rsidRDefault="005A0871" w:rsidP="00A552F0">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065A40">
              <w:rPr>
                <w:rFonts w:cs="Arial"/>
                <w:sz w:val="20"/>
                <w:szCs w:val="20"/>
              </w:rPr>
              <w:t>No. of samples</w:t>
            </w:r>
          </w:p>
        </w:tc>
        <w:tc>
          <w:tcPr>
            <w:tcW w:w="5351" w:type="dxa"/>
            <w:tcBorders>
              <w:top w:val="none" w:sz="0" w:space="0" w:color="auto"/>
              <w:left w:val="none" w:sz="0" w:space="0" w:color="auto"/>
              <w:bottom w:val="none" w:sz="0" w:space="0" w:color="auto"/>
              <w:right w:val="none" w:sz="0" w:space="0" w:color="auto"/>
            </w:tcBorders>
          </w:tcPr>
          <w:p w:rsidR="005A0871" w:rsidRPr="00065A40" w:rsidRDefault="005A0871" w:rsidP="00A552F0">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065A40">
              <w:rPr>
                <w:rFonts w:cs="Arial"/>
                <w:sz w:val="20"/>
                <w:szCs w:val="20"/>
              </w:rPr>
              <w:t>Description</w:t>
            </w:r>
          </w:p>
        </w:tc>
      </w:tr>
      <w:tr w:rsidR="005A0871" w:rsidRPr="00065A40" w:rsidTr="001F3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none" w:sz="0" w:space="0" w:color="auto"/>
            </w:tcBorders>
          </w:tcPr>
          <w:p w:rsidR="005A0871" w:rsidRPr="00065A40" w:rsidRDefault="005A0871" w:rsidP="003D6E53">
            <w:pPr>
              <w:rPr>
                <w:rFonts w:cs="Arial"/>
                <w:sz w:val="20"/>
                <w:szCs w:val="20"/>
              </w:rPr>
            </w:pPr>
            <w:r w:rsidRPr="00065A40">
              <w:rPr>
                <w:rFonts w:cs="Arial"/>
                <w:sz w:val="20"/>
                <w:szCs w:val="20"/>
              </w:rPr>
              <w:t>Cassava</w:t>
            </w:r>
          </w:p>
        </w:tc>
        <w:tc>
          <w:tcPr>
            <w:tcW w:w="1701" w:type="dxa"/>
            <w:tcBorders>
              <w:left w:val="none" w:sz="0" w:space="0" w:color="auto"/>
              <w:right w:val="none" w:sz="0" w:space="0" w:color="auto"/>
            </w:tcBorders>
          </w:tcPr>
          <w:p w:rsidR="005A0871" w:rsidRPr="00065A40" w:rsidRDefault="005A0871" w:rsidP="00B942D7">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065A40">
              <w:rPr>
                <w:rFonts w:cs="Arial"/>
                <w:sz w:val="20"/>
                <w:szCs w:val="20"/>
              </w:rPr>
              <w:t>15</w:t>
            </w:r>
          </w:p>
        </w:tc>
        <w:tc>
          <w:tcPr>
            <w:tcW w:w="5351" w:type="dxa"/>
            <w:tcBorders>
              <w:left w:val="none" w:sz="0" w:space="0" w:color="auto"/>
            </w:tcBorders>
          </w:tcPr>
          <w:p w:rsidR="005A0871" w:rsidRPr="00065A40" w:rsidRDefault="005A0871" w:rsidP="005A0871">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065A40">
              <w:rPr>
                <w:rFonts w:cs="Arial"/>
                <w:sz w:val="20"/>
                <w:szCs w:val="20"/>
              </w:rPr>
              <w:t>Raw (frozen) cassava roots</w:t>
            </w:r>
          </w:p>
          <w:p w:rsidR="005A0871" w:rsidRPr="00065A40" w:rsidRDefault="00FB3D0A" w:rsidP="005A0871">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Cassava flour/tapioca products</w:t>
            </w:r>
          </w:p>
        </w:tc>
      </w:tr>
      <w:tr w:rsidR="005A0871" w:rsidRPr="00065A40" w:rsidTr="001F31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none" w:sz="0" w:space="0" w:color="auto"/>
            </w:tcBorders>
          </w:tcPr>
          <w:p w:rsidR="005A0871" w:rsidRPr="00065A40" w:rsidRDefault="005A0871" w:rsidP="003D6E53">
            <w:pPr>
              <w:rPr>
                <w:rFonts w:cs="Arial"/>
                <w:b w:val="0"/>
                <w:sz w:val="20"/>
                <w:szCs w:val="20"/>
              </w:rPr>
            </w:pPr>
            <w:r w:rsidRPr="00065A40">
              <w:rPr>
                <w:rFonts w:cs="Arial"/>
                <w:sz w:val="20"/>
                <w:szCs w:val="20"/>
              </w:rPr>
              <w:t>Bamboo shoots</w:t>
            </w:r>
          </w:p>
        </w:tc>
        <w:tc>
          <w:tcPr>
            <w:tcW w:w="1701" w:type="dxa"/>
            <w:tcBorders>
              <w:left w:val="none" w:sz="0" w:space="0" w:color="auto"/>
              <w:right w:val="none" w:sz="0" w:space="0" w:color="auto"/>
            </w:tcBorders>
          </w:tcPr>
          <w:p w:rsidR="005A0871" w:rsidRPr="00065A40" w:rsidRDefault="005A0871" w:rsidP="00B942D7">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065A40">
              <w:rPr>
                <w:rFonts w:cs="Arial"/>
                <w:sz w:val="20"/>
                <w:szCs w:val="20"/>
              </w:rPr>
              <w:t>10</w:t>
            </w:r>
          </w:p>
        </w:tc>
        <w:tc>
          <w:tcPr>
            <w:tcW w:w="5351" w:type="dxa"/>
            <w:tcBorders>
              <w:left w:val="none" w:sz="0" w:space="0" w:color="auto"/>
            </w:tcBorders>
          </w:tcPr>
          <w:p w:rsidR="005A0871" w:rsidRPr="00065A40" w:rsidRDefault="005A0871" w:rsidP="005A0871">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065A40">
              <w:rPr>
                <w:rFonts w:cs="Arial"/>
                <w:sz w:val="20"/>
                <w:szCs w:val="20"/>
              </w:rPr>
              <w:t>Canned bamboo shoots</w:t>
            </w:r>
          </w:p>
          <w:p w:rsidR="005A0871" w:rsidRPr="00065A40" w:rsidRDefault="005A0871" w:rsidP="005A0871">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065A40">
              <w:rPr>
                <w:rFonts w:cs="Arial"/>
                <w:sz w:val="20"/>
                <w:szCs w:val="20"/>
              </w:rPr>
              <w:t xml:space="preserve">Other </w:t>
            </w:r>
            <w:r w:rsidR="00065A40">
              <w:rPr>
                <w:rFonts w:cs="Arial"/>
                <w:sz w:val="20"/>
                <w:szCs w:val="20"/>
              </w:rPr>
              <w:t xml:space="preserve">forms </w:t>
            </w:r>
            <w:r w:rsidRPr="00065A40">
              <w:rPr>
                <w:rFonts w:cs="Arial"/>
                <w:sz w:val="20"/>
                <w:szCs w:val="20"/>
              </w:rPr>
              <w:t>(i.e. pickled bamboo shoots)</w:t>
            </w:r>
          </w:p>
        </w:tc>
      </w:tr>
      <w:tr w:rsidR="005A0871" w:rsidRPr="00065A40" w:rsidTr="001F3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none" w:sz="0" w:space="0" w:color="auto"/>
            </w:tcBorders>
          </w:tcPr>
          <w:p w:rsidR="005A0871" w:rsidRPr="00065A40" w:rsidRDefault="005A0871" w:rsidP="003D6E53">
            <w:pPr>
              <w:rPr>
                <w:rFonts w:cs="Arial"/>
                <w:sz w:val="20"/>
                <w:szCs w:val="20"/>
              </w:rPr>
            </w:pPr>
            <w:r w:rsidRPr="00065A40">
              <w:rPr>
                <w:rFonts w:cs="Arial"/>
                <w:sz w:val="20"/>
                <w:szCs w:val="20"/>
              </w:rPr>
              <w:t>Almonds and almond products</w:t>
            </w:r>
          </w:p>
        </w:tc>
        <w:tc>
          <w:tcPr>
            <w:tcW w:w="1701" w:type="dxa"/>
            <w:tcBorders>
              <w:left w:val="none" w:sz="0" w:space="0" w:color="auto"/>
              <w:right w:val="none" w:sz="0" w:space="0" w:color="auto"/>
            </w:tcBorders>
          </w:tcPr>
          <w:p w:rsidR="005A0871" w:rsidRPr="00065A40" w:rsidRDefault="005A0871" w:rsidP="00B942D7">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065A40">
              <w:rPr>
                <w:rFonts w:cs="Arial"/>
                <w:sz w:val="20"/>
                <w:szCs w:val="20"/>
              </w:rPr>
              <w:t>15</w:t>
            </w:r>
          </w:p>
        </w:tc>
        <w:tc>
          <w:tcPr>
            <w:tcW w:w="5351" w:type="dxa"/>
            <w:tcBorders>
              <w:left w:val="none" w:sz="0" w:space="0" w:color="auto"/>
            </w:tcBorders>
          </w:tcPr>
          <w:p w:rsidR="005A0871" w:rsidRPr="00065A40" w:rsidRDefault="00FB3D0A" w:rsidP="005A0871">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A</w:t>
            </w:r>
            <w:r w:rsidR="005A0871" w:rsidRPr="00065A40">
              <w:rPr>
                <w:rFonts w:cs="Arial"/>
                <w:sz w:val="20"/>
                <w:szCs w:val="20"/>
              </w:rPr>
              <w:t>lmonds</w:t>
            </w:r>
            <w:r w:rsidR="00C508E9">
              <w:rPr>
                <w:rFonts w:cs="Arial"/>
                <w:sz w:val="20"/>
                <w:szCs w:val="20"/>
              </w:rPr>
              <w:t xml:space="preserve"> (whole, flaked, ground or butter)</w:t>
            </w:r>
            <w:r w:rsidR="005A0871" w:rsidRPr="00065A40">
              <w:rPr>
                <w:rFonts w:cs="Arial"/>
                <w:sz w:val="20"/>
                <w:szCs w:val="20"/>
              </w:rPr>
              <w:t xml:space="preserve"> </w:t>
            </w:r>
          </w:p>
          <w:p w:rsidR="00EB4D62" w:rsidRDefault="00EB4D62" w:rsidP="00EB4D62">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A</w:t>
            </w:r>
            <w:r w:rsidR="005A0871" w:rsidRPr="00065A40">
              <w:rPr>
                <w:rFonts w:cs="Arial"/>
                <w:sz w:val="20"/>
                <w:szCs w:val="20"/>
              </w:rPr>
              <w:t>lmond essence</w:t>
            </w:r>
          </w:p>
          <w:p w:rsidR="00EB4D62" w:rsidRDefault="00EB4D62" w:rsidP="00EB4D62">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A</w:t>
            </w:r>
            <w:r w:rsidR="005A0871" w:rsidRPr="00065A40">
              <w:rPr>
                <w:rFonts w:cs="Arial"/>
                <w:sz w:val="20"/>
                <w:szCs w:val="20"/>
              </w:rPr>
              <w:t>lmond confectionery (i.e. marzipan</w:t>
            </w:r>
            <w:r w:rsidR="004E49E8">
              <w:rPr>
                <w:rFonts w:cs="Arial"/>
                <w:sz w:val="20"/>
                <w:szCs w:val="20"/>
              </w:rPr>
              <w:t>)</w:t>
            </w:r>
          </w:p>
          <w:p w:rsidR="00EB4D62" w:rsidRDefault="00EB4D62" w:rsidP="00EB4D62">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Almond jelly</w:t>
            </w:r>
            <w:r w:rsidR="005A0871" w:rsidRPr="00065A40">
              <w:rPr>
                <w:rFonts w:cs="Arial"/>
                <w:sz w:val="20"/>
                <w:szCs w:val="20"/>
              </w:rPr>
              <w:t xml:space="preserve"> </w:t>
            </w:r>
          </w:p>
          <w:p w:rsidR="005A0871" w:rsidRPr="00065A40" w:rsidRDefault="00EB4D62" w:rsidP="00EB4D62">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A</w:t>
            </w:r>
            <w:r w:rsidR="005A0871" w:rsidRPr="00065A40">
              <w:rPr>
                <w:rFonts w:cs="Arial"/>
                <w:sz w:val="20"/>
                <w:szCs w:val="20"/>
              </w:rPr>
              <w:t>lmond oil</w:t>
            </w:r>
          </w:p>
        </w:tc>
      </w:tr>
      <w:tr w:rsidR="005A0871" w:rsidRPr="00065A40" w:rsidTr="001F31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none" w:sz="0" w:space="0" w:color="auto"/>
            </w:tcBorders>
          </w:tcPr>
          <w:p w:rsidR="005A0871" w:rsidRPr="00065A40" w:rsidRDefault="00F754C9" w:rsidP="003D6E53">
            <w:pPr>
              <w:rPr>
                <w:rFonts w:cs="Arial"/>
                <w:sz w:val="20"/>
                <w:szCs w:val="20"/>
              </w:rPr>
            </w:pPr>
            <w:r>
              <w:rPr>
                <w:rFonts w:cs="Arial"/>
                <w:sz w:val="20"/>
                <w:szCs w:val="20"/>
              </w:rPr>
              <w:t>Apple</w:t>
            </w:r>
            <w:r w:rsidR="005A0871" w:rsidRPr="00065A40">
              <w:rPr>
                <w:rFonts w:cs="Arial"/>
                <w:sz w:val="20"/>
                <w:szCs w:val="20"/>
              </w:rPr>
              <w:t xml:space="preserve"> products</w:t>
            </w:r>
          </w:p>
        </w:tc>
        <w:tc>
          <w:tcPr>
            <w:tcW w:w="1701" w:type="dxa"/>
            <w:tcBorders>
              <w:left w:val="none" w:sz="0" w:space="0" w:color="auto"/>
              <w:right w:val="none" w:sz="0" w:space="0" w:color="auto"/>
            </w:tcBorders>
          </w:tcPr>
          <w:p w:rsidR="005A0871" w:rsidRPr="00065A40" w:rsidRDefault="001010BF" w:rsidP="00B942D7">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12</w:t>
            </w:r>
          </w:p>
        </w:tc>
        <w:tc>
          <w:tcPr>
            <w:tcW w:w="5351" w:type="dxa"/>
            <w:tcBorders>
              <w:left w:val="none" w:sz="0" w:space="0" w:color="auto"/>
            </w:tcBorders>
          </w:tcPr>
          <w:p w:rsidR="005A0871" w:rsidRPr="00065A40" w:rsidRDefault="005A0871" w:rsidP="005A0871">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065A40">
              <w:rPr>
                <w:rFonts w:cs="Arial"/>
                <w:sz w:val="20"/>
                <w:szCs w:val="20"/>
              </w:rPr>
              <w:t>Apple juice</w:t>
            </w:r>
          </w:p>
          <w:p w:rsidR="005A0871" w:rsidRDefault="005A0871" w:rsidP="005A0871">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065A40">
              <w:rPr>
                <w:rFonts w:cs="Arial"/>
                <w:sz w:val="20"/>
                <w:szCs w:val="20"/>
              </w:rPr>
              <w:t>Apple sauce</w:t>
            </w:r>
          </w:p>
          <w:p w:rsidR="00EB4D62" w:rsidRPr="00065A40" w:rsidRDefault="00EB4D62" w:rsidP="005A0871">
            <w:pP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Apple cider vinegar</w:t>
            </w:r>
          </w:p>
        </w:tc>
      </w:tr>
      <w:tr w:rsidR="005A0871" w:rsidRPr="00065A40" w:rsidTr="001F3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none" w:sz="0" w:space="0" w:color="auto"/>
            </w:tcBorders>
          </w:tcPr>
          <w:p w:rsidR="005A0871" w:rsidRPr="00065A40" w:rsidRDefault="00FB3D0A" w:rsidP="00FB3D0A">
            <w:pPr>
              <w:rPr>
                <w:rFonts w:cs="Arial"/>
                <w:sz w:val="20"/>
                <w:szCs w:val="20"/>
              </w:rPr>
            </w:pPr>
            <w:r>
              <w:rPr>
                <w:rFonts w:cs="Arial"/>
                <w:sz w:val="20"/>
                <w:szCs w:val="20"/>
              </w:rPr>
              <w:t>Linseed/f</w:t>
            </w:r>
            <w:r w:rsidR="005A0871" w:rsidRPr="00065A40">
              <w:rPr>
                <w:rFonts w:cs="Arial"/>
                <w:sz w:val="20"/>
                <w:szCs w:val="20"/>
              </w:rPr>
              <w:t>laxseed</w:t>
            </w:r>
            <w:r w:rsidR="00533A5D">
              <w:rPr>
                <w:rFonts w:cs="Arial"/>
                <w:sz w:val="20"/>
                <w:szCs w:val="20"/>
              </w:rPr>
              <w:t xml:space="preserve"> and products</w:t>
            </w:r>
          </w:p>
        </w:tc>
        <w:tc>
          <w:tcPr>
            <w:tcW w:w="1701" w:type="dxa"/>
            <w:tcBorders>
              <w:left w:val="none" w:sz="0" w:space="0" w:color="auto"/>
              <w:right w:val="none" w:sz="0" w:space="0" w:color="auto"/>
            </w:tcBorders>
          </w:tcPr>
          <w:p w:rsidR="005A0871" w:rsidRPr="00065A40" w:rsidRDefault="001010BF" w:rsidP="00B942D7">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13</w:t>
            </w:r>
          </w:p>
        </w:tc>
        <w:tc>
          <w:tcPr>
            <w:tcW w:w="5351" w:type="dxa"/>
            <w:tcBorders>
              <w:left w:val="none" w:sz="0" w:space="0" w:color="auto"/>
            </w:tcBorders>
          </w:tcPr>
          <w:p w:rsidR="005A0871" w:rsidRPr="00065A40" w:rsidRDefault="005A0871" w:rsidP="005A0871">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065A40">
              <w:rPr>
                <w:rFonts w:cs="Arial"/>
                <w:sz w:val="20"/>
                <w:szCs w:val="20"/>
              </w:rPr>
              <w:t xml:space="preserve">Linseed </w:t>
            </w:r>
            <w:r w:rsidR="00FB3D0A">
              <w:rPr>
                <w:rFonts w:cs="Arial"/>
                <w:sz w:val="20"/>
                <w:szCs w:val="20"/>
              </w:rPr>
              <w:t>(whole and meal)</w:t>
            </w:r>
          </w:p>
          <w:p w:rsidR="005A0871" w:rsidRPr="00065A40" w:rsidRDefault="005A0871" w:rsidP="005A0871">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065A40">
              <w:rPr>
                <w:rFonts w:cs="Arial"/>
                <w:sz w:val="20"/>
                <w:szCs w:val="20"/>
              </w:rPr>
              <w:t>LSA (i.e. a mixture of linseed, sunflower seeds and almonds</w:t>
            </w:r>
            <w:r w:rsidR="00065A40">
              <w:rPr>
                <w:rFonts w:cs="Arial"/>
                <w:sz w:val="20"/>
                <w:szCs w:val="20"/>
              </w:rPr>
              <w:t>)</w:t>
            </w:r>
          </w:p>
          <w:p w:rsidR="00FB3D0A" w:rsidRDefault="006E1FE2" w:rsidP="00FB3D0A">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Bread containing linseed</w:t>
            </w:r>
          </w:p>
          <w:p w:rsidR="005A0871" w:rsidRPr="00065A40" w:rsidRDefault="00FB3D0A" w:rsidP="00FB3D0A">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Flaxseed and </w:t>
            </w:r>
            <w:r w:rsidRPr="00065A40">
              <w:rPr>
                <w:rFonts w:cs="Arial"/>
                <w:sz w:val="20"/>
                <w:szCs w:val="20"/>
              </w:rPr>
              <w:t>LSA oil</w:t>
            </w:r>
          </w:p>
        </w:tc>
      </w:tr>
      <w:tr w:rsidR="005A0871" w:rsidRPr="00065A40" w:rsidTr="001F31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none" w:sz="0" w:space="0" w:color="auto"/>
            </w:tcBorders>
          </w:tcPr>
          <w:p w:rsidR="005A0871" w:rsidRPr="00065A40" w:rsidRDefault="005A0871" w:rsidP="003D6E53">
            <w:pPr>
              <w:rPr>
                <w:rFonts w:cs="Arial"/>
                <w:sz w:val="20"/>
                <w:szCs w:val="20"/>
              </w:rPr>
            </w:pPr>
            <w:r w:rsidRPr="00065A40">
              <w:rPr>
                <w:rFonts w:cs="Arial"/>
                <w:sz w:val="20"/>
                <w:szCs w:val="20"/>
              </w:rPr>
              <w:t>Stone fruit products</w:t>
            </w:r>
          </w:p>
        </w:tc>
        <w:tc>
          <w:tcPr>
            <w:tcW w:w="1701" w:type="dxa"/>
            <w:tcBorders>
              <w:left w:val="none" w:sz="0" w:space="0" w:color="auto"/>
              <w:right w:val="none" w:sz="0" w:space="0" w:color="auto"/>
            </w:tcBorders>
          </w:tcPr>
          <w:p w:rsidR="005A0871" w:rsidRPr="00065A40" w:rsidRDefault="005A0871" w:rsidP="00B942D7">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065A40">
              <w:rPr>
                <w:rFonts w:cs="Arial"/>
                <w:sz w:val="20"/>
                <w:szCs w:val="20"/>
              </w:rPr>
              <w:t>10</w:t>
            </w:r>
          </w:p>
        </w:tc>
        <w:tc>
          <w:tcPr>
            <w:tcW w:w="5351" w:type="dxa"/>
            <w:tcBorders>
              <w:left w:val="none" w:sz="0" w:space="0" w:color="auto"/>
            </w:tcBorders>
          </w:tcPr>
          <w:p w:rsidR="001F167F" w:rsidRPr="00065A40" w:rsidRDefault="001F167F" w:rsidP="001F167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065A40">
              <w:rPr>
                <w:rFonts w:cs="Arial"/>
                <w:sz w:val="20"/>
                <w:szCs w:val="20"/>
              </w:rPr>
              <w:t xml:space="preserve">Canned apricots </w:t>
            </w:r>
          </w:p>
          <w:p w:rsidR="00065A40" w:rsidRPr="00065A40" w:rsidRDefault="0079128A" w:rsidP="005A0871">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065A40">
              <w:rPr>
                <w:rFonts w:cs="Arial"/>
                <w:sz w:val="20"/>
                <w:szCs w:val="20"/>
              </w:rPr>
              <w:t xml:space="preserve">Prune juice </w:t>
            </w:r>
          </w:p>
          <w:p w:rsidR="001F167F" w:rsidRDefault="001F167F" w:rsidP="001F167F">
            <w:pP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Cherry juice</w:t>
            </w:r>
            <w:r w:rsidRPr="00065A40">
              <w:rPr>
                <w:rFonts w:cs="Arial"/>
                <w:sz w:val="20"/>
                <w:szCs w:val="20"/>
              </w:rPr>
              <w:t xml:space="preserve"> </w:t>
            </w:r>
          </w:p>
          <w:p w:rsidR="001F167F" w:rsidRPr="00065A40" w:rsidRDefault="0079128A" w:rsidP="00065A40">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065A40">
              <w:rPr>
                <w:rFonts w:cs="Arial"/>
                <w:sz w:val="20"/>
                <w:szCs w:val="20"/>
              </w:rPr>
              <w:t>Cherry brandy</w:t>
            </w:r>
          </w:p>
        </w:tc>
      </w:tr>
      <w:tr w:rsidR="00065A40" w:rsidRPr="00065A40" w:rsidTr="001F3122">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2802" w:type="dxa"/>
            <w:tcBorders>
              <w:right w:val="none" w:sz="0" w:space="0" w:color="auto"/>
            </w:tcBorders>
          </w:tcPr>
          <w:p w:rsidR="00065A40" w:rsidRPr="00065A40" w:rsidRDefault="00065A40" w:rsidP="003D6E53">
            <w:pPr>
              <w:rPr>
                <w:rFonts w:cs="Arial"/>
                <w:sz w:val="20"/>
                <w:szCs w:val="20"/>
              </w:rPr>
            </w:pPr>
            <w:r w:rsidRPr="00065A40">
              <w:rPr>
                <w:rFonts w:cs="Arial"/>
                <w:sz w:val="20"/>
                <w:szCs w:val="20"/>
              </w:rPr>
              <w:t>Lima beans and various seeds</w:t>
            </w:r>
          </w:p>
        </w:tc>
        <w:tc>
          <w:tcPr>
            <w:tcW w:w="1701" w:type="dxa"/>
            <w:tcBorders>
              <w:left w:val="none" w:sz="0" w:space="0" w:color="auto"/>
              <w:right w:val="none" w:sz="0" w:space="0" w:color="auto"/>
            </w:tcBorders>
          </w:tcPr>
          <w:p w:rsidR="00065A40" w:rsidRPr="00065A40" w:rsidRDefault="00065A40" w:rsidP="00B942D7">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065A40">
              <w:rPr>
                <w:rFonts w:cs="Arial"/>
                <w:sz w:val="20"/>
                <w:szCs w:val="20"/>
              </w:rPr>
              <w:t>15</w:t>
            </w:r>
          </w:p>
        </w:tc>
        <w:tc>
          <w:tcPr>
            <w:tcW w:w="5351" w:type="dxa"/>
            <w:tcBorders>
              <w:left w:val="none" w:sz="0" w:space="0" w:color="auto"/>
            </w:tcBorders>
          </w:tcPr>
          <w:p w:rsidR="00065A40" w:rsidRPr="00065A40" w:rsidRDefault="00065A40" w:rsidP="00065A4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065A40">
              <w:rPr>
                <w:rFonts w:cs="Arial"/>
                <w:sz w:val="20"/>
                <w:szCs w:val="20"/>
              </w:rPr>
              <w:t>Raw lima beans</w:t>
            </w:r>
          </w:p>
          <w:p w:rsidR="00065A40" w:rsidRDefault="00065A40" w:rsidP="00065A4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065A40">
              <w:rPr>
                <w:rFonts w:cs="Arial"/>
                <w:sz w:val="20"/>
                <w:szCs w:val="20"/>
              </w:rPr>
              <w:t>Canned butter</w:t>
            </w:r>
            <w:r w:rsidR="0079128A">
              <w:rPr>
                <w:rFonts w:cs="Arial"/>
                <w:sz w:val="20"/>
                <w:szCs w:val="20"/>
              </w:rPr>
              <w:t>/</w:t>
            </w:r>
            <w:r w:rsidRPr="00065A40">
              <w:rPr>
                <w:rFonts w:cs="Arial"/>
                <w:sz w:val="20"/>
                <w:szCs w:val="20"/>
              </w:rPr>
              <w:t>lima beans</w:t>
            </w:r>
          </w:p>
          <w:p w:rsidR="001F167F" w:rsidRPr="00065A40" w:rsidRDefault="001F167F" w:rsidP="00065A40">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Canned mixed beans</w:t>
            </w:r>
          </w:p>
          <w:p w:rsidR="00065A40" w:rsidRPr="00065A40" w:rsidRDefault="00065A40" w:rsidP="00065A4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065A40">
              <w:rPr>
                <w:rFonts w:cs="Arial"/>
                <w:sz w:val="20"/>
                <w:szCs w:val="20"/>
              </w:rPr>
              <w:t>Pumpkin seeds</w:t>
            </w:r>
          </w:p>
          <w:p w:rsidR="00065A40" w:rsidRPr="00065A40" w:rsidRDefault="00065A40" w:rsidP="00E44B24">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065A40">
              <w:rPr>
                <w:rFonts w:cs="Arial"/>
                <w:sz w:val="20"/>
                <w:szCs w:val="20"/>
              </w:rPr>
              <w:t>Sunflower seeds</w:t>
            </w:r>
          </w:p>
        </w:tc>
      </w:tr>
      <w:tr w:rsidR="00065A40" w:rsidRPr="00065A40" w:rsidTr="001F31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none" w:sz="0" w:space="0" w:color="auto"/>
            </w:tcBorders>
          </w:tcPr>
          <w:p w:rsidR="00065A40" w:rsidRPr="00065A40" w:rsidRDefault="00065A40" w:rsidP="003D6E53">
            <w:pPr>
              <w:rPr>
                <w:rFonts w:cs="Arial"/>
                <w:sz w:val="20"/>
                <w:szCs w:val="20"/>
              </w:rPr>
            </w:pPr>
            <w:r w:rsidRPr="00065A40">
              <w:rPr>
                <w:rFonts w:cs="Arial"/>
                <w:sz w:val="20"/>
                <w:szCs w:val="20"/>
              </w:rPr>
              <w:t>Miscellan</w:t>
            </w:r>
            <w:r w:rsidR="00147D7B">
              <w:rPr>
                <w:rFonts w:cs="Arial"/>
                <w:sz w:val="20"/>
                <w:szCs w:val="20"/>
              </w:rPr>
              <w:t>e</w:t>
            </w:r>
            <w:r w:rsidRPr="00065A40">
              <w:rPr>
                <w:rFonts w:cs="Arial"/>
                <w:sz w:val="20"/>
                <w:szCs w:val="20"/>
              </w:rPr>
              <w:t>ous products</w:t>
            </w:r>
          </w:p>
        </w:tc>
        <w:tc>
          <w:tcPr>
            <w:tcW w:w="1701" w:type="dxa"/>
            <w:tcBorders>
              <w:left w:val="none" w:sz="0" w:space="0" w:color="auto"/>
              <w:right w:val="none" w:sz="0" w:space="0" w:color="auto"/>
            </w:tcBorders>
          </w:tcPr>
          <w:p w:rsidR="00065A40" w:rsidRPr="00065A40" w:rsidRDefault="00065A40" w:rsidP="00B942D7">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065A40">
              <w:rPr>
                <w:rFonts w:cs="Arial"/>
                <w:sz w:val="20"/>
                <w:szCs w:val="20"/>
              </w:rPr>
              <w:t>10</w:t>
            </w:r>
          </w:p>
        </w:tc>
        <w:tc>
          <w:tcPr>
            <w:tcW w:w="5351" w:type="dxa"/>
            <w:tcBorders>
              <w:left w:val="none" w:sz="0" w:space="0" w:color="auto"/>
            </w:tcBorders>
          </w:tcPr>
          <w:p w:rsidR="001F167F" w:rsidRDefault="00065A40" w:rsidP="00065A40">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065A40">
              <w:rPr>
                <w:rFonts w:cs="Arial"/>
                <w:sz w:val="20"/>
                <w:szCs w:val="20"/>
              </w:rPr>
              <w:t xml:space="preserve">Passionfruit </w:t>
            </w:r>
          </w:p>
          <w:p w:rsidR="00065A40" w:rsidRDefault="001F167F" w:rsidP="00065A40">
            <w:pP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P</w:t>
            </w:r>
            <w:r w:rsidR="00065A40" w:rsidRPr="00065A40">
              <w:rPr>
                <w:rFonts w:cs="Arial"/>
                <w:sz w:val="20"/>
                <w:szCs w:val="20"/>
              </w:rPr>
              <w:t xml:space="preserve">assionfruit </w:t>
            </w:r>
            <w:r>
              <w:rPr>
                <w:rFonts w:cs="Arial"/>
                <w:sz w:val="20"/>
                <w:szCs w:val="20"/>
              </w:rPr>
              <w:t>drink</w:t>
            </w:r>
          </w:p>
          <w:p w:rsidR="001F167F" w:rsidRPr="00065A40" w:rsidRDefault="001F167F" w:rsidP="00065A40">
            <w:pP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Passionfruit sauce</w:t>
            </w:r>
          </w:p>
          <w:p w:rsidR="0079128A" w:rsidRPr="00065A40" w:rsidRDefault="0079128A" w:rsidP="0079128A">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065A40">
              <w:rPr>
                <w:rFonts w:cs="Arial"/>
                <w:sz w:val="20"/>
                <w:szCs w:val="20"/>
              </w:rPr>
              <w:t>Taro leaves</w:t>
            </w:r>
          </w:p>
          <w:p w:rsidR="00065A40" w:rsidRPr="00065A40" w:rsidRDefault="00065A40" w:rsidP="00065A40">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065A40">
              <w:rPr>
                <w:rFonts w:cs="Arial"/>
                <w:sz w:val="20"/>
                <w:szCs w:val="20"/>
              </w:rPr>
              <w:t>Spinach</w:t>
            </w:r>
          </w:p>
          <w:p w:rsidR="00065A40" w:rsidRPr="00065A40" w:rsidRDefault="00065A40" w:rsidP="00065A40">
            <w:pP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Canned stuffed v</w:t>
            </w:r>
            <w:r w:rsidRPr="00065A40">
              <w:rPr>
                <w:rFonts w:cs="Arial"/>
                <w:sz w:val="20"/>
                <w:szCs w:val="20"/>
              </w:rPr>
              <w:t>ine leaves</w:t>
            </w:r>
          </w:p>
        </w:tc>
      </w:tr>
      <w:tr w:rsidR="00147D7B" w:rsidRPr="00065A40" w:rsidTr="001F3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none" w:sz="0" w:space="0" w:color="auto"/>
            </w:tcBorders>
          </w:tcPr>
          <w:p w:rsidR="00147D7B" w:rsidRPr="00065A40" w:rsidRDefault="00147D7B" w:rsidP="003D6E53">
            <w:pPr>
              <w:rPr>
                <w:rFonts w:cs="Arial"/>
                <w:sz w:val="20"/>
                <w:szCs w:val="20"/>
              </w:rPr>
            </w:pPr>
            <w:r>
              <w:rPr>
                <w:rFonts w:cs="Arial"/>
                <w:sz w:val="20"/>
                <w:szCs w:val="20"/>
              </w:rPr>
              <w:t>Total number of samples</w:t>
            </w:r>
          </w:p>
        </w:tc>
        <w:tc>
          <w:tcPr>
            <w:tcW w:w="1701" w:type="dxa"/>
            <w:tcBorders>
              <w:left w:val="none" w:sz="0" w:space="0" w:color="auto"/>
              <w:right w:val="none" w:sz="0" w:space="0" w:color="auto"/>
            </w:tcBorders>
          </w:tcPr>
          <w:p w:rsidR="00147D7B" w:rsidRPr="00147D7B" w:rsidRDefault="00147D7B" w:rsidP="00B942D7">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147D7B">
              <w:rPr>
                <w:rFonts w:cs="Arial"/>
                <w:b/>
                <w:sz w:val="20"/>
                <w:szCs w:val="20"/>
              </w:rPr>
              <w:t>100</w:t>
            </w:r>
          </w:p>
        </w:tc>
        <w:tc>
          <w:tcPr>
            <w:tcW w:w="5351" w:type="dxa"/>
            <w:tcBorders>
              <w:left w:val="none" w:sz="0" w:space="0" w:color="auto"/>
            </w:tcBorders>
          </w:tcPr>
          <w:p w:rsidR="00147D7B" w:rsidRPr="00065A40" w:rsidRDefault="00147D7B" w:rsidP="00065A40">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bl>
    <w:p w:rsidR="003F4C79" w:rsidRDefault="003F4C79" w:rsidP="00391DE3">
      <w:pPr>
        <w:rPr>
          <w:rFonts w:cs="Arial"/>
          <w:i/>
          <w:szCs w:val="22"/>
        </w:rPr>
      </w:pPr>
    </w:p>
    <w:p w:rsidR="00882B22" w:rsidRPr="00391DE3" w:rsidRDefault="00882B22" w:rsidP="00D12D6D">
      <w:pPr>
        <w:pStyle w:val="Heading3"/>
      </w:pPr>
      <w:bookmarkStart w:id="52" w:name="_Toc384293491"/>
      <w:r w:rsidRPr="00391DE3">
        <w:t>3.1.2</w:t>
      </w:r>
      <w:r w:rsidRPr="00391DE3">
        <w:tab/>
      </w:r>
      <w:r w:rsidR="00FF6DEF" w:rsidRPr="00391DE3">
        <w:t>Follow-up survey o</w:t>
      </w:r>
      <w:r w:rsidR="00395391">
        <w:t>f</w:t>
      </w:r>
      <w:r w:rsidR="00FF6DEF" w:rsidRPr="00391DE3">
        <w:t xml:space="preserve"> apple juice (Survey 2)</w:t>
      </w:r>
      <w:bookmarkEnd w:id="52"/>
    </w:p>
    <w:p w:rsidR="00882B22" w:rsidRDefault="00882B22" w:rsidP="00EE4365">
      <w:pPr>
        <w:rPr>
          <w:rFonts w:cs="Arial"/>
          <w:szCs w:val="22"/>
        </w:rPr>
      </w:pPr>
    </w:p>
    <w:p w:rsidR="00E6419F" w:rsidRDefault="00067D2D" w:rsidP="00EE4365">
      <w:pPr>
        <w:rPr>
          <w:rFonts w:cs="Arial"/>
          <w:szCs w:val="22"/>
        </w:rPr>
      </w:pPr>
      <w:r>
        <w:rPr>
          <w:rFonts w:cs="Arial"/>
          <w:szCs w:val="22"/>
        </w:rPr>
        <w:t>S</w:t>
      </w:r>
      <w:r w:rsidR="00147D7B">
        <w:rPr>
          <w:rFonts w:cs="Arial"/>
          <w:szCs w:val="22"/>
        </w:rPr>
        <w:t xml:space="preserve">urvey </w:t>
      </w:r>
      <w:r>
        <w:rPr>
          <w:rFonts w:cs="Arial"/>
          <w:szCs w:val="22"/>
        </w:rPr>
        <w:t>2</w:t>
      </w:r>
      <w:r w:rsidR="00216CB7">
        <w:rPr>
          <w:rFonts w:cs="Arial"/>
          <w:szCs w:val="22"/>
        </w:rPr>
        <w:t>, which foc</w:t>
      </w:r>
      <w:r w:rsidR="00C01A9E">
        <w:rPr>
          <w:rFonts w:cs="Arial"/>
          <w:szCs w:val="22"/>
        </w:rPr>
        <w:t>ussed</w:t>
      </w:r>
      <w:r>
        <w:rPr>
          <w:rFonts w:cs="Arial"/>
          <w:szCs w:val="22"/>
        </w:rPr>
        <w:t xml:space="preserve"> </w:t>
      </w:r>
      <w:r w:rsidR="00C90DC0">
        <w:rPr>
          <w:rFonts w:cs="Arial"/>
          <w:szCs w:val="22"/>
        </w:rPr>
        <w:t xml:space="preserve">on </w:t>
      </w:r>
      <w:r w:rsidR="00147D7B">
        <w:rPr>
          <w:rFonts w:cs="Arial"/>
          <w:szCs w:val="22"/>
        </w:rPr>
        <w:t>apple juice,</w:t>
      </w:r>
      <w:r w:rsidR="00D7300E">
        <w:rPr>
          <w:rFonts w:cs="Arial"/>
          <w:szCs w:val="22"/>
        </w:rPr>
        <w:t xml:space="preserve"> </w:t>
      </w:r>
      <w:r w:rsidR="00216CB7">
        <w:rPr>
          <w:rFonts w:cs="Arial"/>
          <w:szCs w:val="22"/>
        </w:rPr>
        <w:t xml:space="preserve">collected </w:t>
      </w:r>
      <w:r w:rsidR="00D7300E">
        <w:rPr>
          <w:rFonts w:cs="Arial"/>
          <w:szCs w:val="22"/>
        </w:rPr>
        <w:t xml:space="preserve">a total of 108 individual samples </w:t>
      </w:r>
      <w:r w:rsidR="00E6419F">
        <w:rPr>
          <w:rFonts w:cs="Arial"/>
          <w:szCs w:val="22"/>
        </w:rPr>
        <w:t xml:space="preserve">in Christchurch, New Zealand and in the capital cities of Australian states and territories and country NSW </w:t>
      </w:r>
      <w:r w:rsidR="00E6419F" w:rsidRPr="00E6419F">
        <w:rPr>
          <w:rFonts w:cs="Arial"/>
          <w:szCs w:val="22"/>
        </w:rPr>
        <w:t>(ACT – Australian Capital Territory, QLD – Queensland, NSW – New South Wales, NT – Northern Territory, SA – South Australia, TAS – Tasmania, VIC – Victoria and WA – Western Australia)</w:t>
      </w:r>
      <w:r w:rsidR="00E6419F">
        <w:rPr>
          <w:rFonts w:cs="Arial"/>
          <w:szCs w:val="22"/>
        </w:rPr>
        <w:t xml:space="preserve"> </w:t>
      </w:r>
      <w:r w:rsidR="003C54B1">
        <w:rPr>
          <w:rFonts w:cs="Arial"/>
          <w:szCs w:val="22"/>
        </w:rPr>
        <w:t>during April/May 2012</w:t>
      </w:r>
      <w:r w:rsidR="00D7300E">
        <w:rPr>
          <w:rFonts w:cs="Arial"/>
          <w:szCs w:val="22"/>
        </w:rPr>
        <w:t xml:space="preserve">. </w:t>
      </w:r>
    </w:p>
    <w:p w:rsidR="00E6419F" w:rsidRDefault="00E6419F" w:rsidP="00EE4365">
      <w:pPr>
        <w:rPr>
          <w:rFonts w:cs="Arial"/>
          <w:szCs w:val="22"/>
        </w:rPr>
      </w:pPr>
    </w:p>
    <w:p w:rsidR="00147D7B" w:rsidRDefault="003C54B1" w:rsidP="00EE4365">
      <w:pPr>
        <w:rPr>
          <w:rFonts w:cs="Arial"/>
          <w:szCs w:val="22"/>
        </w:rPr>
      </w:pPr>
      <w:r>
        <w:rPr>
          <w:rFonts w:cs="Arial"/>
          <w:szCs w:val="22"/>
        </w:rPr>
        <w:t>T</w:t>
      </w:r>
      <w:r w:rsidR="00147D7B">
        <w:rPr>
          <w:rFonts w:cs="Arial"/>
          <w:szCs w:val="22"/>
        </w:rPr>
        <w:t>hree sets of apple juice samples were collected</w:t>
      </w:r>
      <w:r w:rsidR="00880FB6">
        <w:rPr>
          <w:rFonts w:cs="Arial"/>
          <w:szCs w:val="22"/>
        </w:rPr>
        <w:t xml:space="preserve">. </w:t>
      </w:r>
      <w:r w:rsidR="00880FB6" w:rsidRPr="00880FB6">
        <w:rPr>
          <w:rFonts w:cs="Arial"/>
          <w:szCs w:val="22"/>
        </w:rPr>
        <w:t>These comprised two retail sets of juice</w:t>
      </w:r>
      <w:r w:rsidR="00216CB7">
        <w:rPr>
          <w:rFonts w:cs="Arial"/>
          <w:szCs w:val="22"/>
        </w:rPr>
        <w:t xml:space="preserve"> samples</w:t>
      </w:r>
      <w:r w:rsidR="00E44B24">
        <w:rPr>
          <w:rFonts w:ascii="Times New Roman" w:hAnsi="Times New Roman"/>
          <w:szCs w:val="22"/>
        </w:rPr>
        <w:t>—</w:t>
      </w:r>
      <w:r w:rsidR="00880FB6" w:rsidRPr="00880FB6">
        <w:rPr>
          <w:rFonts w:cs="Arial"/>
          <w:szCs w:val="22"/>
        </w:rPr>
        <w:t>one from Australia (</w:t>
      </w:r>
      <w:r w:rsidR="00880FB6" w:rsidRPr="00A95BA7">
        <w:rPr>
          <w:rFonts w:cs="Arial"/>
          <w:i/>
          <w:szCs w:val="22"/>
        </w:rPr>
        <w:t>n</w:t>
      </w:r>
      <w:r w:rsidR="00880FB6" w:rsidRPr="00880FB6">
        <w:rPr>
          <w:rFonts w:cs="Arial"/>
          <w:szCs w:val="22"/>
        </w:rPr>
        <w:t>=48); one from New Zealand (</w:t>
      </w:r>
      <w:r w:rsidR="00880FB6" w:rsidRPr="00A95BA7">
        <w:rPr>
          <w:rFonts w:cs="Arial"/>
          <w:i/>
          <w:szCs w:val="22"/>
        </w:rPr>
        <w:t>n</w:t>
      </w:r>
      <w:r w:rsidR="00880FB6" w:rsidRPr="00880FB6">
        <w:rPr>
          <w:rFonts w:cs="Arial"/>
          <w:szCs w:val="22"/>
        </w:rPr>
        <w:t>=50)</w:t>
      </w:r>
      <w:r w:rsidR="00880FB6">
        <w:rPr>
          <w:rFonts w:cs="Arial"/>
          <w:szCs w:val="22"/>
        </w:rPr>
        <w:t>;</w:t>
      </w:r>
      <w:r w:rsidR="00880FB6" w:rsidRPr="00880FB6">
        <w:rPr>
          <w:rFonts w:cs="Arial"/>
          <w:szCs w:val="22"/>
        </w:rPr>
        <w:t xml:space="preserve"> and one juice manufacturer set (</w:t>
      </w:r>
      <w:r w:rsidR="00880FB6" w:rsidRPr="00A95BA7">
        <w:rPr>
          <w:rFonts w:cs="Arial"/>
          <w:i/>
          <w:szCs w:val="22"/>
        </w:rPr>
        <w:t>n</w:t>
      </w:r>
      <w:r w:rsidR="00880FB6" w:rsidRPr="00880FB6">
        <w:rPr>
          <w:rFonts w:cs="Arial"/>
          <w:szCs w:val="22"/>
        </w:rPr>
        <w:t>=10)</w:t>
      </w:r>
      <w:r w:rsidR="00113647">
        <w:rPr>
          <w:rFonts w:cs="Arial"/>
          <w:szCs w:val="22"/>
        </w:rPr>
        <w:t>.</w:t>
      </w:r>
      <w:r w:rsidR="003F50E2">
        <w:rPr>
          <w:rFonts w:cs="Arial"/>
          <w:szCs w:val="22"/>
        </w:rPr>
        <w:t xml:space="preserve"> </w:t>
      </w:r>
      <w:r w:rsidR="003F50E2" w:rsidRPr="00065A40">
        <w:rPr>
          <w:rFonts w:cs="Arial"/>
          <w:szCs w:val="22"/>
        </w:rPr>
        <w:t xml:space="preserve">Retail </w:t>
      </w:r>
      <w:r w:rsidR="003F50E2">
        <w:rPr>
          <w:rFonts w:cs="Arial"/>
          <w:szCs w:val="22"/>
        </w:rPr>
        <w:t xml:space="preserve">samples were obtained as normal retail </w:t>
      </w:r>
      <w:r w:rsidR="003F50E2" w:rsidRPr="00065A40">
        <w:rPr>
          <w:rFonts w:cs="Arial"/>
          <w:szCs w:val="22"/>
        </w:rPr>
        <w:t xml:space="preserve">units </w:t>
      </w:r>
      <w:r w:rsidR="003F50E2">
        <w:rPr>
          <w:rFonts w:cs="Arial"/>
          <w:szCs w:val="22"/>
        </w:rPr>
        <w:t>of at least 100 mL.</w:t>
      </w:r>
      <w:r w:rsidR="006060F7">
        <w:rPr>
          <w:rFonts w:cs="Arial"/>
          <w:szCs w:val="22"/>
        </w:rPr>
        <w:t xml:space="preserve"> Information on the samples is summarised in Table 2</w:t>
      </w:r>
    </w:p>
    <w:p w:rsidR="00900D1D" w:rsidRDefault="00900D1D">
      <w:pPr>
        <w:spacing w:after="200" w:line="276" w:lineRule="auto"/>
        <w:rPr>
          <w:rFonts w:cs="Arial"/>
          <w:szCs w:val="22"/>
        </w:rPr>
      </w:pPr>
      <w:r>
        <w:rPr>
          <w:rFonts w:cs="Arial"/>
          <w:szCs w:val="22"/>
        </w:rPr>
        <w:br w:type="page"/>
      </w:r>
    </w:p>
    <w:p w:rsidR="004B3119" w:rsidRPr="00391DE3" w:rsidRDefault="00E549CB" w:rsidP="00391DE3">
      <w:pPr>
        <w:pStyle w:val="Heading3LT"/>
      </w:pPr>
      <w:bookmarkStart w:id="53" w:name="_Toc384293548"/>
      <w:r w:rsidRPr="00391DE3">
        <w:lastRenderedPageBreak/>
        <w:t xml:space="preserve">Table 2: </w:t>
      </w:r>
      <w:r w:rsidR="003C54B1" w:rsidRPr="00391DE3">
        <w:t>S</w:t>
      </w:r>
      <w:r w:rsidRPr="00391DE3">
        <w:t xml:space="preserve">ample type and sample numbers for </w:t>
      </w:r>
      <w:r w:rsidR="00067D2D" w:rsidRPr="00391DE3">
        <w:t>S</w:t>
      </w:r>
      <w:r w:rsidRPr="00391DE3">
        <w:t xml:space="preserve">urvey </w:t>
      </w:r>
      <w:r w:rsidR="00067D2D" w:rsidRPr="00391DE3">
        <w:t xml:space="preserve">2 </w:t>
      </w:r>
      <w:r w:rsidRPr="00391DE3">
        <w:t xml:space="preserve">of cyanogenic glycosides in </w:t>
      </w:r>
      <w:r w:rsidR="00113647" w:rsidRPr="00391DE3">
        <w:t>apple juice</w:t>
      </w:r>
      <w:bookmarkEnd w:id="53"/>
      <w:r w:rsidRPr="00391DE3">
        <w:t xml:space="preserve"> </w:t>
      </w:r>
    </w:p>
    <w:tbl>
      <w:tblPr>
        <w:tblStyle w:val="MediumShading1-Accent1"/>
        <w:tblW w:w="0" w:type="auto"/>
        <w:tblBorders>
          <w:insideV w:val="single" w:sz="8" w:space="0" w:color="7BA0CD" w:themeColor="accent1" w:themeTint="BF"/>
        </w:tblBorders>
        <w:tblLook w:val="04A0" w:firstRow="1" w:lastRow="0" w:firstColumn="1" w:lastColumn="0" w:noHBand="0" w:noVBand="1"/>
      </w:tblPr>
      <w:tblGrid>
        <w:gridCol w:w="2664"/>
        <w:gridCol w:w="1629"/>
        <w:gridCol w:w="4949"/>
      </w:tblGrid>
      <w:tr w:rsidR="00E549CB" w:rsidRPr="00113647" w:rsidTr="001F31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Borders>
              <w:top w:val="none" w:sz="0" w:space="0" w:color="auto"/>
              <w:left w:val="none" w:sz="0" w:space="0" w:color="auto"/>
              <w:bottom w:val="none" w:sz="0" w:space="0" w:color="auto"/>
              <w:right w:val="none" w:sz="0" w:space="0" w:color="auto"/>
            </w:tcBorders>
          </w:tcPr>
          <w:p w:rsidR="00E549CB" w:rsidRPr="00113647" w:rsidRDefault="003C54B1" w:rsidP="003C54B1">
            <w:pPr>
              <w:rPr>
                <w:rFonts w:cs="Arial"/>
                <w:sz w:val="20"/>
                <w:szCs w:val="20"/>
              </w:rPr>
            </w:pPr>
            <w:r>
              <w:rPr>
                <w:rFonts w:cs="Arial"/>
                <w:sz w:val="20"/>
                <w:szCs w:val="20"/>
              </w:rPr>
              <w:t>Apple juice s</w:t>
            </w:r>
            <w:r w:rsidR="00E549CB" w:rsidRPr="00113647">
              <w:rPr>
                <w:rFonts w:cs="Arial"/>
                <w:sz w:val="20"/>
                <w:szCs w:val="20"/>
              </w:rPr>
              <w:t>ample type</w:t>
            </w:r>
          </w:p>
        </w:tc>
        <w:tc>
          <w:tcPr>
            <w:tcW w:w="1701" w:type="dxa"/>
            <w:tcBorders>
              <w:top w:val="none" w:sz="0" w:space="0" w:color="auto"/>
              <w:left w:val="none" w:sz="0" w:space="0" w:color="auto"/>
              <w:bottom w:val="none" w:sz="0" w:space="0" w:color="auto"/>
              <w:right w:val="none" w:sz="0" w:space="0" w:color="auto"/>
            </w:tcBorders>
          </w:tcPr>
          <w:p w:rsidR="00E549CB" w:rsidRPr="00113647" w:rsidRDefault="00E549CB" w:rsidP="00113647">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113647">
              <w:rPr>
                <w:rFonts w:cs="Arial"/>
                <w:sz w:val="20"/>
                <w:szCs w:val="20"/>
              </w:rPr>
              <w:t>No. of samples</w:t>
            </w:r>
          </w:p>
        </w:tc>
        <w:tc>
          <w:tcPr>
            <w:tcW w:w="5351" w:type="dxa"/>
            <w:tcBorders>
              <w:top w:val="none" w:sz="0" w:space="0" w:color="auto"/>
              <w:left w:val="none" w:sz="0" w:space="0" w:color="auto"/>
              <w:bottom w:val="none" w:sz="0" w:space="0" w:color="auto"/>
              <w:right w:val="none" w:sz="0" w:space="0" w:color="auto"/>
            </w:tcBorders>
          </w:tcPr>
          <w:p w:rsidR="00E549CB" w:rsidRPr="00113647" w:rsidRDefault="00E549CB" w:rsidP="00113647">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113647">
              <w:rPr>
                <w:rFonts w:cs="Arial"/>
                <w:sz w:val="20"/>
                <w:szCs w:val="20"/>
              </w:rPr>
              <w:t>Description</w:t>
            </w:r>
          </w:p>
        </w:tc>
      </w:tr>
      <w:tr w:rsidR="00E549CB" w:rsidRPr="00113647" w:rsidTr="001F3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none" w:sz="0" w:space="0" w:color="auto"/>
            </w:tcBorders>
          </w:tcPr>
          <w:p w:rsidR="00E549CB" w:rsidRPr="00113647" w:rsidRDefault="00113647" w:rsidP="00113647">
            <w:pPr>
              <w:rPr>
                <w:rFonts w:cs="Arial"/>
                <w:sz w:val="20"/>
                <w:szCs w:val="20"/>
              </w:rPr>
            </w:pPr>
            <w:r w:rsidRPr="00113647">
              <w:rPr>
                <w:rFonts w:cs="Arial"/>
                <w:sz w:val="20"/>
                <w:szCs w:val="20"/>
              </w:rPr>
              <w:t>New Zealand retail samples</w:t>
            </w:r>
          </w:p>
        </w:tc>
        <w:tc>
          <w:tcPr>
            <w:tcW w:w="1701" w:type="dxa"/>
            <w:tcBorders>
              <w:left w:val="none" w:sz="0" w:space="0" w:color="auto"/>
              <w:right w:val="none" w:sz="0" w:space="0" w:color="auto"/>
            </w:tcBorders>
          </w:tcPr>
          <w:p w:rsidR="00E549CB" w:rsidRPr="00113647" w:rsidRDefault="00113647" w:rsidP="00B942D7">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13647">
              <w:rPr>
                <w:rFonts w:cs="Arial"/>
                <w:sz w:val="20"/>
                <w:szCs w:val="20"/>
              </w:rPr>
              <w:t>50</w:t>
            </w:r>
          </w:p>
        </w:tc>
        <w:tc>
          <w:tcPr>
            <w:tcW w:w="5351" w:type="dxa"/>
            <w:tcBorders>
              <w:left w:val="none" w:sz="0" w:space="0" w:color="auto"/>
            </w:tcBorders>
          </w:tcPr>
          <w:p w:rsidR="00E549CB" w:rsidRDefault="00113647" w:rsidP="00113647">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Samples purchased principally in Christchurch.</w:t>
            </w:r>
          </w:p>
          <w:p w:rsidR="00113647" w:rsidRPr="00113647" w:rsidRDefault="00113647" w:rsidP="00113647">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Retail outlets included supermarkets, greengrocers and specialist food retailers (i.e. organics).</w:t>
            </w:r>
          </w:p>
        </w:tc>
      </w:tr>
      <w:tr w:rsidR="00113647" w:rsidRPr="00113647" w:rsidTr="001F31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none" w:sz="0" w:space="0" w:color="auto"/>
            </w:tcBorders>
          </w:tcPr>
          <w:p w:rsidR="00113647" w:rsidRPr="00113647" w:rsidRDefault="00113647" w:rsidP="00113647">
            <w:pPr>
              <w:rPr>
                <w:rFonts w:cs="Arial"/>
                <w:sz w:val="20"/>
                <w:szCs w:val="20"/>
              </w:rPr>
            </w:pPr>
            <w:r>
              <w:rPr>
                <w:rFonts w:cs="Arial"/>
                <w:sz w:val="20"/>
                <w:szCs w:val="20"/>
              </w:rPr>
              <w:t>Australian retail samples</w:t>
            </w:r>
          </w:p>
        </w:tc>
        <w:tc>
          <w:tcPr>
            <w:tcW w:w="1701" w:type="dxa"/>
            <w:tcBorders>
              <w:left w:val="none" w:sz="0" w:space="0" w:color="auto"/>
              <w:right w:val="none" w:sz="0" w:space="0" w:color="auto"/>
            </w:tcBorders>
          </w:tcPr>
          <w:p w:rsidR="00113647" w:rsidRPr="00113647" w:rsidRDefault="00113647" w:rsidP="00B942D7">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48</w:t>
            </w:r>
          </w:p>
        </w:tc>
        <w:tc>
          <w:tcPr>
            <w:tcW w:w="5351" w:type="dxa"/>
            <w:tcBorders>
              <w:left w:val="none" w:sz="0" w:space="0" w:color="auto"/>
            </w:tcBorders>
          </w:tcPr>
          <w:p w:rsidR="00213EAB" w:rsidRDefault="00113647" w:rsidP="00D7300E">
            <w:pP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Samples purchased in nine geographical locations covering the eight Australian states and territories</w:t>
            </w:r>
            <w:r w:rsidR="00213EAB">
              <w:rPr>
                <w:rFonts w:cs="Arial"/>
                <w:sz w:val="20"/>
                <w:szCs w:val="20"/>
              </w:rPr>
              <w:t xml:space="preserve">, </w:t>
            </w:r>
            <w:r w:rsidR="00B868A9">
              <w:rPr>
                <w:rFonts w:cs="Arial"/>
                <w:sz w:val="20"/>
                <w:szCs w:val="20"/>
              </w:rPr>
              <w:t>making up a</w:t>
            </w:r>
            <w:r w:rsidR="00213EAB">
              <w:rPr>
                <w:rFonts w:cs="Arial"/>
                <w:sz w:val="20"/>
                <w:szCs w:val="20"/>
              </w:rPr>
              <w:t xml:space="preserve"> representative sample of the range of apple juice available </w:t>
            </w:r>
            <w:r w:rsidR="00B868A9">
              <w:rPr>
                <w:rFonts w:cs="Arial"/>
                <w:sz w:val="20"/>
                <w:szCs w:val="20"/>
              </w:rPr>
              <w:t>on</w:t>
            </w:r>
            <w:r w:rsidR="00213EAB">
              <w:rPr>
                <w:rFonts w:cs="Arial"/>
                <w:sz w:val="20"/>
                <w:szCs w:val="20"/>
              </w:rPr>
              <w:t xml:space="preserve"> the marketplace</w:t>
            </w:r>
            <w:r>
              <w:rPr>
                <w:rFonts w:cs="Arial"/>
                <w:sz w:val="20"/>
                <w:szCs w:val="20"/>
              </w:rPr>
              <w:t>.</w:t>
            </w:r>
          </w:p>
          <w:p w:rsidR="00D7300E" w:rsidRDefault="00D7300E" w:rsidP="00D7300E">
            <w:pP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 xml:space="preserve">Retail outlets included supermarkets, greengrocers, markets and cafes. </w:t>
            </w:r>
          </w:p>
        </w:tc>
      </w:tr>
      <w:tr w:rsidR="00D7300E" w:rsidRPr="00113647" w:rsidTr="001F3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none" w:sz="0" w:space="0" w:color="auto"/>
            </w:tcBorders>
          </w:tcPr>
          <w:p w:rsidR="00D7300E" w:rsidRDefault="00D7300E" w:rsidP="00113647">
            <w:pPr>
              <w:rPr>
                <w:rFonts w:cs="Arial"/>
                <w:sz w:val="20"/>
                <w:szCs w:val="20"/>
              </w:rPr>
            </w:pPr>
            <w:r>
              <w:rPr>
                <w:rFonts w:cs="Arial"/>
                <w:sz w:val="20"/>
                <w:szCs w:val="20"/>
              </w:rPr>
              <w:t>New Zealand juice manufacturer samples</w:t>
            </w:r>
          </w:p>
        </w:tc>
        <w:tc>
          <w:tcPr>
            <w:tcW w:w="1701" w:type="dxa"/>
            <w:tcBorders>
              <w:left w:val="none" w:sz="0" w:space="0" w:color="auto"/>
              <w:right w:val="none" w:sz="0" w:space="0" w:color="auto"/>
            </w:tcBorders>
          </w:tcPr>
          <w:p w:rsidR="00D7300E" w:rsidRDefault="00D7300E" w:rsidP="00B942D7">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10</w:t>
            </w:r>
          </w:p>
        </w:tc>
        <w:tc>
          <w:tcPr>
            <w:tcW w:w="5351" w:type="dxa"/>
            <w:tcBorders>
              <w:left w:val="none" w:sz="0" w:space="0" w:color="auto"/>
            </w:tcBorders>
          </w:tcPr>
          <w:p w:rsidR="00D7300E" w:rsidRDefault="00D7300E" w:rsidP="00D7300E">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D7300E">
              <w:rPr>
                <w:rFonts w:cs="Arial"/>
                <w:sz w:val="20"/>
                <w:szCs w:val="20"/>
              </w:rPr>
              <w:t xml:space="preserve">Five samples </w:t>
            </w:r>
            <w:r w:rsidR="00E44B24">
              <w:rPr>
                <w:rFonts w:cs="Arial"/>
                <w:sz w:val="20"/>
                <w:szCs w:val="20"/>
              </w:rPr>
              <w:t xml:space="preserve">of juice </w:t>
            </w:r>
            <w:r w:rsidRPr="00D7300E">
              <w:rPr>
                <w:rFonts w:cs="Arial"/>
                <w:sz w:val="20"/>
                <w:szCs w:val="20"/>
              </w:rPr>
              <w:t xml:space="preserve">were taken at the juicing press of a </w:t>
            </w:r>
            <w:r>
              <w:rPr>
                <w:rFonts w:cs="Arial"/>
                <w:sz w:val="20"/>
                <w:szCs w:val="20"/>
              </w:rPr>
              <w:t>juice</w:t>
            </w:r>
            <w:r w:rsidRPr="00D7300E">
              <w:rPr>
                <w:rFonts w:cs="Arial"/>
                <w:sz w:val="20"/>
                <w:szCs w:val="20"/>
              </w:rPr>
              <w:t xml:space="preserve"> manufacturer</w:t>
            </w:r>
            <w:r>
              <w:rPr>
                <w:rFonts w:cs="Arial"/>
                <w:sz w:val="20"/>
                <w:szCs w:val="20"/>
              </w:rPr>
              <w:t>.</w:t>
            </w:r>
          </w:p>
          <w:p w:rsidR="00D7300E" w:rsidRDefault="00D7300E" w:rsidP="00E44B24">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F</w:t>
            </w:r>
            <w:r w:rsidRPr="00D7300E">
              <w:rPr>
                <w:rFonts w:cs="Arial"/>
                <w:sz w:val="20"/>
                <w:szCs w:val="20"/>
              </w:rPr>
              <w:t xml:space="preserve">ive samples of juice were made in the </w:t>
            </w:r>
            <w:r>
              <w:rPr>
                <w:rFonts w:cs="Arial"/>
                <w:sz w:val="20"/>
                <w:szCs w:val="20"/>
              </w:rPr>
              <w:t xml:space="preserve">juice </w:t>
            </w:r>
            <w:r w:rsidRPr="00D7300E">
              <w:rPr>
                <w:rFonts w:cs="Arial"/>
                <w:sz w:val="20"/>
                <w:szCs w:val="20"/>
              </w:rPr>
              <w:t xml:space="preserve">manufacturer’s laboratory, after ensuring apple pips </w:t>
            </w:r>
            <w:r>
              <w:rPr>
                <w:rFonts w:cs="Arial"/>
                <w:sz w:val="20"/>
                <w:szCs w:val="20"/>
              </w:rPr>
              <w:t>were</w:t>
            </w:r>
            <w:r w:rsidRPr="00D7300E">
              <w:rPr>
                <w:rFonts w:cs="Arial"/>
                <w:sz w:val="20"/>
                <w:szCs w:val="20"/>
              </w:rPr>
              <w:t xml:space="preserve"> </w:t>
            </w:r>
            <w:r w:rsidR="00E44B24">
              <w:rPr>
                <w:rFonts w:cs="Arial"/>
                <w:sz w:val="20"/>
                <w:szCs w:val="20"/>
              </w:rPr>
              <w:t>ruptured</w:t>
            </w:r>
            <w:r w:rsidR="00741FC0">
              <w:rPr>
                <w:rFonts w:cs="Arial"/>
                <w:sz w:val="20"/>
                <w:szCs w:val="20"/>
              </w:rPr>
              <w:t xml:space="preserve"> (cyanogenic glycosides are understood to be concentrated in apple pips)</w:t>
            </w:r>
            <w:r w:rsidRPr="00D7300E">
              <w:rPr>
                <w:rFonts w:cs="Arial"/>
                <w:sz w:val="20"/>
                <w:szCs w:val="20"/>
              </w:rPr>
              <w:t xml:space="preserve">. </w:t>
            </w:r>
          </w:p>
        </w:tc>
      </w:tr>
      <w:tr w:rsidR="00EE13A3" w:rsidRPr="00113647" w:rsidTr="001F31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none" w:sz="0" w:space="0" w:color="auto"/>
            </w:tcBorders>
          </w:tcPr>
          <w:p w:rsidR="00EE13A3" w:rsidRDefault="00EE13A3" w:rsidP="00113647">
            <w:pPr>
              <w:rPr>
                <w:rFonts w:cs="Arial"/>
                <w:sz w:val="20"/>
                <w:szCs w:val="20"/>
              </w:rPr>
            </w:pPr>
            <w:r>
              <w:rPr>
                <w:rFonts w:cs="Arial"/>
                <w:sz w:val="20"/>
                <w:szCs w:val="20"/>
              </w:rPr>
              <w:t>Total number of samples</w:t>
            </w:r>
          </w:p>
        </w:tc>
        <w:tc>
          <w:tcPr>
            <w:tcW w:w="1701" w:type="dxa"/>
            <w:tcBorders>
              <w:left w:val="none" w:sz="0" w:space="0" w:color="auto"/>
              <w:right w:val="none" w:sz="0" w:space="0" w:color="auto"/>
            </w:tcBorders>
          </w:tcPr>
          <w:p w:rsidR="00EE13A3" w:rsidRPr="00EE13A3" w:rsidRDefault="00EE13A3" w:rsidP="00B942D7">
            <w:pPr>
              <w:jc w:val="center"/>
              <w:cnfStyle w:val="000000010000" w:firstRow="0" w:lastRow="0" w:firstColumn="0" w:lastColumn="0" w:oddVBand="0" w:evenVBand="0" w:oddHBand="0" w:evenHBand="1" w:firstRowFirstColumn="0" w:firstRowLastColumn="0" w:lastRowFirstColumn="0" w:lastRowLastColumn="0"/>
              <w:rPr>
                <w:rFonts w:cs="Arial"/>
                <w:b/>
                <w:sz w:val="20"/>
                <w:szCs w:val="20"/>
              </w:rPr>
            </w:pPr>
            <w:r w:rsidRPr="00EE13A3">
              <w:rPr>
                <w:rFonts w:cs="Arial"/>
                <w:b/>
                <w:sz w:val="20"/>
                <w:szCs w:val="20"/>
              </w:rPr>
              <w:t>108</w:t>
            </w:r>
          </w:p>
        </w:tc>
        <w:tc>
          <w:tcPr>
            <w:tcW w:w="5351" w:type="dxa"/>
            <w:tcBorders>
              <w:left w:val="none" w:sz="0" w:space="0" w:color="auto"/>
            </w:tcBorders>
          </w:tcPr>
          <w:p w:rsidR="00EE13A3" w:rsidRPr="00D7300E" w:rsidRDefault="00EE13A3" w:rsidP="00D7300E">
            <w:pPr>
              <w:cnfStyle w:val="000000010000" w:firstRow="0" w:lastRow="0" w:firstColumn="0" w:lastColumn="0" w:oddVBand="0" w:evenVBand="0" w:oddHBand="0" w:evenHBand="1" w:firstRowFirstColumn="0" w:firstRowLastColumn="0" w:lastRowFirstColumn="0" w:lastRowLastColumn="0"/>
              <w:rPr>
                <w:rFonts w:cs="Arial"/>
                <w:sz w:val="20"/>
                <w:szCs w:val="20"/>
              </w:rPr>
            </w:pPr>
          </w:p>
        </w:tc>
      </w:tr>
    </w:tbl>
    <w:p w:rsidR="003C54B1" w:rsidRDefault="003C54B1" w:rsidP="00EE4365">
      <w:pPr>
        <w:rPr>
          <w:rFonts w:cs="Arial"/>
          <w:b/>
          <w:szCs w:val="22"/>
        </w:rPr>
      </w:pPr>
    </w:p>
    <w:p w:rsidR="004154E3" w:rsidRDefault="006060F7" w:rsidP="001D7A9C">
      <w:pPr>
        <w:rPr>
          <w:rFonts w:cs="Arial"/>
          <w:szCs w:val="22"/>
        </w:rPr>
      </w:pPr>
      <w:r>
        <w:rPr>
          <w:rFonts w:cs="Arial"/>
          <w:szCs w:val="22"/>
        </w:rPr>
        <w:t>Further information on some</w:t>
      </w:r>
      <w:r w:rsidR="003F50E2">
        <w:rPr>
          <w:rFonts w:cs="Arial"/>
          <w:szCs w:val="22"/>
        </w:rPr>
        <w:t xml:space="preserve"> of the characteristics of the two sets of retail samples included in </w:t>
      </w:r>
      <w:r w:rsidR="00067D2D">
        <w:rPr>
          <w:rFonts w:cs="Arial"/>
          <w:szCs w:val="22"/>
        </w:rPr>
        <w:t>S</w:t>
      </w:r>
      <w:r w:rsidR="00DA02FE">
        <w:rPr>
          <w:rFonts w:cs="Arial"/>
          <w:szCs w:val="22"/>
        </w:rPr>
        <w:t>urvey</w:t>
      </w:r>
      <w:r w:rsidR="003F50E2">
        <w:rPr>
          <w:rFonts w:cs="Arial"/>
          <w:szCs w:val="22"/>
        </w:rPr>
        <w:t xml:space="preserve"> </w:t>
      </w:r>
      <w:r w:rsidR="00067D2D">
        <w:rPr>
          <w:rFonts w:cs="Arial"/>
          <w:szCs w:val="22"/>
        </w:rPr>
        <w:t xml:space="preserve">2 </w:t>
      </w:r>
      <w:r w:rsidR="003F50E2">
        <w:rPr>
          <w:rFonts w:cs="Arial"/>
          <w:szCs w:val="22"/>
        </w:rPr>
        <w:t>is shown in Table 3.</w:t>
      </w:r>
      <w:r w:rsidR="00D70DC3">
        <w:rPr>
          <w:rFonts w:cs="Arial"/>
          <w:szCs w:val="22"/>
        </w:rPr>
        <w:t xml:space="preserve"> </w:t>
      </w:r>
      <w:r w:rsidR="00D70DC3" w:rsidRPr="00D70DC3">
        <w:rPr>
          <w:rFonts w:cs="Arial"/>
          <w:szCs w:val="22"/>
        </w:rPr>
        <w:t>Samples comprised juices made with local ingredients and a combination of both local and imported ingredients</w:t>
      </w:r>
      <w:r w:rsidR="001D7A9C">
        <w:rPr>
          <w:rFonts w:cs="Arial"/>
          <w:szCs w:val="22"/>
        </w:rPr>
        <w:t>,</w:t>
      </w:r>
      <w:r w:rsidR="00D70DC3" w:rsidRPr="00D70DC3">
        <w:rPr>
          <w:rFonts w:cs="Arial"/>
          <w:szCs w:val="22"/>
        </w:rPr>
        <w:t xml:space="preserve"> </w:t>
      </w:r>
      <w:r w:rsidR="001D7A9C" w:rsidRPr="00D70DC3">
        <w:rPr>
          <w:rFonts w:cs="Arial"/>
          <w:szCs w:val="22"/>
        </w:rPr>
        <w:t>reconstituted and non-reconstituted juices</w:t>
      </w:r>
      <w:r w:rsidR="008405AF">
        <w:rPr>
          <w:rFonts w:cs="Arial"/>
          <w:szCs w:val="22"/>
        </w:rPr>
        <w:t>,</w:t>
      </w:r>
      <w:r w:rsidR="001D7A9C" w:rsidRPr="00D70DC3">
        <w:rPr>
          <w:rFonts w:cs="Arial"/>
          <w:szCs w:val="22"/>
        </w:rPr>
        <w:t xml:space="preserve"> </w:t>
      </w:r>
      <w:r w:rsidR="001D7A9C">
        <w:rPr>
          <w:rFonts w:cs="Arial"/>
          <w:szCs w:val="22"/>
        </w:rPr>
        <w:t xml:space="preserve">and </w:t>
      </w:r>
      <w:r w:rsidR="00D70DC3" w:rsidRPr="00D70DC3">
        <w:rPr>
          <w:rFonts w:cs="Arial"/>
          <w:szCs w:val="22"/>
        </w:rPr>
        <w:t xml:space="preserve">shelf stable </w:t>
      </w:r>
      <w:r w:rsidR="001D7A9C">
        <w:rPr>
          <w:rFonts w:cs="Arial"/>
          <w:szCs w:val="22"/>
        </w:rPr>
        <w:t>juices a</w:t>
      </w:r>
      <w:r w:rsidR="00E44B24">
        <w:rPr>
          <w:rFonts w:cs="Arial"/>
          <w:szCs w:val="22"/>
        </w:rPr>
        <w:t xml:space="preserve">s well as </w:t>
      </w:r>
      <w:r w:rsidR="001D7A9C">
        <w:rPr>
          <w:rFonts w:cs="Arial"/>
          <w:szCs w:val="22"/>
        </w:rPr>
        <w:t>juices requiring refrigeration</w:t>
      </w:r>
      <w:r w:rsidR="00D70DC3" w:rsidRPr="00D70DC3">
        <w:rPr>
          <w:rFonts w:cs="Arial"/>
          <w:szCs w:val="22"/>
        </w:rPr>
        <w:t>.</w:t>
      </w:r>
      <w:r w:rsidR="001D7A9C">
        <w:rPr>
          <w:rFonts w:cs="Arial"/>
          <w:szCs w:val="22"/>
        </w:rPr>
        <w:t xml:space="preserve"> </w:t>
      </w:r>
      <w:r w:rsidR="00BC2394">
        <w:rPr>
          <w:rFonts w:cs="Arial"/>
          <w:szCs w:val="22"/>
        </w:rPr>
        <w:t>For each country, approximately the same proportion of products were made</w:t>
      </w:r>
      <w:r w:rsidR="008520E6">
        <w:rPr>
          <w:rFonts w:cs="Arial"/>
          <w:szCs w:val="22"/>
        </w:rPr>
        <w:t xml:space="preserve"> </w:t>
      </w:r>
      <w:r w:rsidR="00BC2394">
        <w:rPr>
          <w:rFonts w:cs="Arial"/>
          <w:szCs w:val="22"/>
        </w:rPr>
        <w:t xml:space="preserve">locally from local ingredients. </w:t>
      </w:r>
      <w:r w:rsidR="00D2055F">
        <w:rPr>
          <w:rFonts w:cs="Arial"/>
          <w:szCs w:val="22"/>
        </w:rPr>
        <w:t xml:space="preserve">A higher proportion of products manufactured from reconstituted apple juice concentrate were sampled in Australia. </w:t>
      </w:r>
      <w:r w:rsidR="001D7A9C">
        <w:rPr>
          <w:rFonts w:cs="Arial"/>
          <w:szCs w:val="22"/>
        </w:rPr>
        <w:t xml:space="preserve">A higher proportion of shelf stable products were sampled in New Zealand. </w:t>
      </w:r>
    </w:p>
    <w:p w:rsidR="004154E3" w:rsidRDefault="004154E3">
      <w:pPr>
        <w:spacing w:after="200" w:line="276" w:lineRule="auto"/>
        <w:rPr>
          <w:rFonts w:cs="Arial"/>
          <w:szCs w:val="22"/>
        </w:rPr>
      </w:pPr>
      <w:r>
        <w:rPr>
          <w:rFonts w:cs="Arial"/>
          <w:szCs w:val="22"/>
        </w:rPr>
        <w:br w:type="page"/>
      </w:r>
    </w:p>
    <w:p w:rsidR="003F50E2" w:rsidRPr="00391DE3" w:rsidRDefault="003F50E2" w:rsidP="00391DE3">
      <w:pPr>
        <w:pStyle w:val="Heading3LT"/>
      </w:pPr>
      <w:bookmarkStart w:id="54" w:name="_Toc384293549"/>
      <w:r w:rsidRPr="00391DE3">
        <w:lastRenderedPageBreak/>
        <w:t xml:space="preserve">Table 3: Characteristics of retail apple juice samples included in </w:t>
      </w:r>
      <w:r w:rsidR="00067D2D" w:rsidRPr="00391DE3">
        <w:t>S</w:t>
      </w:r>
      <w:r w:rsidRPr="00391DE3">
        <w:t xml:space="preserve">urvey </w:t>
      </w:r>
      <w:r w:rsidR="00067D2D" w:rsidRPr="00391DE3">
        <w:t xml:space="preserve">2 </w:t>
      </w:r>
      <w:r w:rsidRPr="00391DE3">
        <w:t>of cyanogenic glycosides in apple juice</w:t>
      </w:r>
      <w:r w:rsidR="004154E3">
        <w:rPr>
          <w:rStyle w:val="FootnoteReference"/>
        </w:rPr>
        <w:footnoteReference w:id="6"/>
      </w:r>
      <w:bookmarkEnd w:id="54"/>
    </w:p>
    <w:tbl>
      <w:tblPr>
        <w:tblStyle w:val="MediumShading1-Accent1"/>
        <w:tblW w:w="0" w:type="auto"/>
        <w:tblBorders>
          <w:insideV w:val="single" w:sz="8" w:space="0" w:color="7BA0CD" w:themeColor="accent1" w:themeTint="BF"/>
        </w:tblBorders>
        <w:tblLook w:val="04A0" w:firstRow="1" w:lastRow="0" w:firstColumn="1" w:lastColumn="0" w:noHBand="0" w:noVBand="1"/>
      </w:tblPr>
      <w:tblGrid>
        <w:gridCol w:w="4743"/>
        <w:gridCol w:w="2266"/>
        <w:gridCol w:w="2233"/>
      </w:tblGrid>
      <w:tr w:rsidR="00A552F0" w:rsidRPr="00B942D7" w:rsidTr="001F31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70" w:type="dxa"/>
            <w:vMerge w:val="restart"/>
            <w:tcBorders>
              <w:top w:val="none" w:sz="0" w:space="0" w:color="auto"/>
              <w:left w:val="none" w:sz="0" w:space="0" w:color="auto"/>
              <w:bottom w:val="none" w:sz="0" w:space="0" w:color="auto"/>
              <w:right w:val="none" w:sz="0" w:space="0" w:color="auto"/>
            </w:tcBorders>
          </w:tcPr>
          <w:p w:rsidR="00A552F0" w:rsidRPr="00B942D7" w:rsidRDefault="00A552F0" w:rsidP="00EE4365">
            <w:pPr>
              <w:rPr>
                <w:rFonts w:cs="Arial"/>
                <w:sz w:val="20"/>
                <w:szCs w:val="20"/>
              </w:rPr>
            </w:pPr>
            <w:r w:rsidRPr="00B942D7">
              <w:rPr>
                <w:rFonts w:cs="Arial"/>
                <w:sz w:val="20"/>
                <w:szCs w:val="20"/>
              </w:rPr>
              <w:t>Characteristic</w:t>
            </w:r>
          </w:p>
        </w:tc>
        <w:tc>
          <w:tcPr>
            <w:tcW w:w="4784" w:type="dxa"/>
            <w:gridSpan w:val="2"/>
            <w:tcBorders>
              <w:top w:val="none" w:sz="0" w:space="0" w:color="auto"/>
              <w:left w:val="none" w:sz="0" w:space="0" w:color="auto"/>
              <w:bottom w:val="none" w:sz="0" w:space="0" w:color="auto"/>
              <w:right w:val="none" w:sz="0" w:space="0" w:color="auto"/>
            </w:tcBorders>
          </w:tcPr>
          <w:p w:rsidR="00A552F0" w:rsidRPr="00B942D7" w:rsidRDefault="00A552F0" w:rsidP="00A552F0">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B942D7">
              <w:rPr>
                <w:rFonts w:cs="Arial"/>
                <w:sz w:val="20"/>
                <w:szCs w:val="20"/>
              </w:rPr>
              <w:t>No</w:t>
            </w:r>
            <w:r>
              <w:rPr>
                <w:rFonts w:cs="Arial"/>
                <w:sz w:val="20"/>
                <w:szCs w:val="20"/>
              </w:rPr>
              <w:t>.</w:t>
            </w:r>
            <w:r w:rsidRPr="00B942D7">
              <w:rPr>
                <w:rFonts w:cs="Arial"/>
                <w:sz w:val="20"/>
                <w:szCs w:val="20"/>
              </w:rPr>
              <w:t xml:space="preserve"> of samples (</w:t>
            </w:r>
            <w:r>
              <w:rPr>
                <w:rFonts w:cs="Arial"/>
                <w:sz w:val="20"/>
                <w:szCs w:val="20"/>
              </w:rPr>
              <w:t>%</w:t>
            </w:r>
            <w:r w:rsidRPr="00B942D7">
              <w:rPr>
                <w:rFonts w:cs="Arial"/>
                <w:sz w:val="20"/>
                <w:szCs w:val="20"/>
              </w:rPr>
              <w:t>)</w:t>
            </w:r>
          </w:p>
          <w:p w:rsidR="00A552F0" w:rsidRPr="00B942D7" w:rsidRDefault="00A552F0" w:rsidP="00EE4365">
            <w:pPr>
              <w:cnfStyle w:val="100000000000" w:firstRow="1" w:lastRow="0" w:firstColumn="0" w:lastColumn="0" w:oddVBand="0" w:evenVBand="0" w:oddHBand="0" w:evenHBand="0" w:firstRowFirstColumn="0" w:firstRowLastColumn="0" w:lastRowFirstColumn="0" w:lastRowLastColumn="0"/>
              <w:rPr>
                <w:rFonts w:cs="Arial"/>
                <w:sz w:val="20"/>
                <w:szCs w:val="20"/>
              </w:rPr>
            </w:pPr>
          </w:p>
        </w:tc>
      </w:tr>
      <w:tr w:rsidR="00A552F0" w:rsidRPr="00B942D7" w:rsidTr="001F31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70" w:type="dxa"/>
            <w:vMerge/>
            <w:tcBorders>
              <w:top w:val="none" w:sz="0" w:space="0" w:color="auto"/>
              <w:left w:val="none" w:sz="0" w:space="0" w:color="auto"/>
              <w:bottom w:val="none" w:sz="0" w:space="0" w:color="auto"/>
              <w:right w:val="none" w:sz="0" w:space="0" w:color="auto"/>
            </w:tcBorders>
          </w:tcPr>
          <w:p w:rsidR="00A552F0" w:rsidRPr="00B942D7" w:rsidRDefault="00A552F0" w:rsidP="00EE4365">
            <w:pPr>
              <w:rPr>
                <w:rFonts w:cs="Arial"/>
                <w:sz w:val="20"/>
                <w:szCs w:val="20"/>
              </w:rPr>
            </w:pPr>
          </w:p>
        </w:tc>
        <w:tc>
          <w:tcPr>
            <w:tcW w:w="2409" w:type="dxa"/>
            <w:tcBorders>
              <w:top w:val="none" w:sz="0" w:space="0" w:color="auto"/>
              <w:left w:val="none" w:sz="0" w:space="0" w:color="auto"/>
              <w:bottom w:val="none" w:sz="0" w:space="0" w:color="auto"/>
              <w:right w:val="none" w:sz="0" w:space="0" w:color="auto"/>
            </w:tcBorders>
          </w:tcPr>
          <w:p w:rsidR="00A552F0" w:rsidRPr="004A29A1" w:rsidRDefault="00BC2394" w:rsidP="00BC2394">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Sampled in </w:t>
            </w:r>
            <w:r w:rsidR="00A552F0" w:rsidRPr="004A29A1">
              <w:rPr>
                <w:rFonts w:cs="Arial"/>
                <w:sz w:val="20"/>
                <w:szCs w:val="20"/>
              </w:rPr>
              <w:t>Australia (</w:t>
            </w:r>
            <w:r w:rsidR="00A552F0" w:rsidRPr="001010BF">
              <w:rPr>
                <w:rFonts w:cs="Arial"/>
                <w:i/>
                <w:sz w:val="20"/>
                <w:szCs w:val="20"/>
              </w:rPr>
              <w:t>n</w:t>
            </w:r>
            <w:r w:rsidR="00A552F0" w:rsidRPr="004A29A1">
              <w:rPr>
                <w:rFonts w:cs="Arial"/>
                <w:sz w:val="20"/>
                <w:szCs w:val="20"/>
              </w:rPr>
              <w:t>=48)</w:t>
            </w:r>
          </w:p>
        </w:tc>
        <w:tc>
          <w:tcPr>
            <w:tcW w:w="2375" w:type="dxa"/>
            <w:tcBorders>
              <w:top w:val="none" w:sz="0" w:space="0" w:color="auto"/>
              <w:left w:val="none" w:sz="0" w:space="0" w:color="auto"/>
              <w:bottom w:val="none" w:sz="0" w:space="0" w:color="auto"/>
              <w:right w:val="none" w:sz="0" w:space="0" w:color="auto"/>
            </w:tcBorders>
          </w:tcPr>
          <w:p w:rsidR="00A552F0" w:rsidRPr="004A29A1" w:rsidRDefault="00BC2394" w:rsidP="00BC2394">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Sampled in </w:t>
            </w:r>
            <w:r w:rsidR="00A552F0" w:rsidRPr="004A29A1">
              <w:rPr>
                <w:rFonts w:cs="Arial"/>
                <w:sz w:val="20"/>
                <w:szCs w:val="20"/>
              </w:rPr>
              <w:t>New Zealand (</w:t>
            </w:r>
            <w:r w:rsidR="00A552F0" w:rsidRPr="001010BF">
              <w:rPr>
                <w:rFonts w:cs="Arial"/>
                <w:i/>
                <w:sz w:val="20"/>
                <w:szCs w:val="20"/>
              </w:rPr>
              <w:t>n</w:t>
            </w:r>
            <w:r w:rsidR="00A552F0" w:rsidRPr="004A29A1">
              <w:rPr>
                <w:rFonts w:cs="Arial"/>
                <w:sz w:val="20"/>
                <w:szCs w:val="20"/>
              </w:rPr>
              <w:t>=50)</w:t>
            </w:r>
          </w:p>
        </w:tc>
      </w:tr>
      <w:tr w:rsidR="00CA1377" w:rsidRPr="00B942D7" w:rsidTr="001F3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Borders>
              <w:right w:val="none" w:sz="0" w:space="0" w:color="auto"/>
            </w:tcBorders>
          </w:tcPr>
          <w:p w:rsidR="00CA1377" w:rsidRPr="00B942D7" w:rsidRDefault="00CA1377" w:rsidP="00CA1377">
            <w:pPr>
              <w:rPr>
                <w:rFonts w:cs="Arial"/>
                <w:sz w:val="20"/>
                <w:szCs w:val="20"/>
              </w:rPr>
            </w:pPr>
            <w:r w:rsidRPr="00B942D7">
              <w:rPr>
                <w:rFonts w:cs="Arial"/>
                <w:sz w:val="20"/>
                <w:szCs w:val="20"/>
              </w:rPr>
              <w:t xml:space="preserve">Origin of product </w:t>
            </w:r>
          </w:p>
          <w:p w:rsidR="00CA1377" w:rsidRPr="00B942D7" w:rsidRDefault="00CA1377" w:rsidP="00CA1377">
            <w:pPr>
              <w:rPr>
                <w:rFonts w:cs="Arial"/>
                <w:b w:val="0"/>
                <w:sz w:val="20"/>
                <w:szCs w:val="20"/>
              </w:rPr>
            </w:pPr>
            <w:r w:rsidRPr="00B942D7">
              <w:rPr>
                <w:rFonts w:cs="Arial"/>
                <w:sz w:val="20"/>
                <w:szCs w:val="20"/>
              </w:rPr>
              <w:tab/>
            </w:r>
            <w:r w:rsidRPr="00B942D7">
              <w:rPr>
                <w:rFonts w:cs="Arial"/>
                <w:b w:val="0"/>
                <w:sz w:val="20"/>
                <w:szCs w:val="20"/>
              </w:rPr>
              <w:t xml:space="preserve">Australia (local ingredients) </w:t>
            </w:r>
          </w:p>
          <w:p w:rsidR="00CA1377" w:rsidRPr="00B942D7" w:rsidRDefault="00CA1377" w:rsidP="00CA1377">
            <w:pPr>
              <w:rPr>
                <w:rFonts w:cs="Arial"/>
                <w:b w:val="0"/>
                <w:sz w:val="20"/>
                <w:szCs w:val="20"/>
              </w:rPr>
            </w:pPr>
            <w:r w:rsidRPr="00B942D7">
              <w:rPr>
                <w:rFonts w:cs="Arial"/>
                <w:b w:val="0"/>
                <w:sz w:val="20"/>
                <w:szCs w:val="20"/>
              </w:rPr>
              <w:tab/>
              <w:t xml:space="preserve">Australia (imported ingredients) </w:t>
            </w:r>
          </w:p>
          <w:p w:rsidR="00CA1377" w:rsidRPr="00B942D7" w:rsidRDefault="00CA1377" w:rsidP="00CA1377">
            <w:pPr>
              <w:rPr>
                <w:rFonts w:cs="Arial"/>
                <w:b w:val="0"/>
                <w:sz w:val="20"/>
                <w:szCs w:val="20"/>
              </w:rPr>
            </w:pPr>
            <w:r w:rsidRPr="00B942D7">
              <w:rPr>
                <w:rFonts w:cs="Arial"/>
                <w:b w:val="0"/>
                <w:sz w:val="20"/>
                <w:szCs w:val="20"/>
              </w:rPr>
              <w:tab/>
              <w:t xml:space="preserve">Australia (local and imported ingredients) </w:t>
            </w:r>
          </w:p>
          <w:p w:rsidR="00CA1377" w:rsidRPr="00B942D7" w:rsidRDefault="00CA1377" w:rsidP="00CA1377">
            <w:pPr>
              <w:rPr>
                <w:rFonts w:cs="Arial"/>
                <w:b w:val="0"/>
                <w:sz w:val="20"/>
                <w:szCs w:val="20"/>
              </w:rPr>
            </w:pPr>
          </w:p>
          <w:p w:rsidR="00CA1377" w:rsidRPr="00B942D7" w:rsidRDefault="00CA1377" w:rsidP="00CA1377">
            <w:pPr>
              <w:rPr>
                <w:rFonts w:cs="Arial"/>
                <w:b w:val="0"/>
                <w:sz w:val="20"/>
                <w:szCs w:val="20"/>
              </w:rPr>
            </w:pPr>
            <w:r w:rsidRPr="00B942D7">
              <w:rPr>
                <w:rFonts w:cs="Arial"/>
                <w:b w:val="0"/>
                <w:sz w:val="20"/>
                <w:szCs w:val="20"/>
              </w:rPr>
              <w:tab/>
              <w:t xml:space="preserve">New Zealand (local ingredients) </w:t>
            </w:r>
          </w:p>
          <w:p w:rsidR="00CA1377" w:rsidRPr="00B942D7" w:rsidRDefault="00CA1377" w:rsidP="00CA1377">
            <w:pPr>
              <w:rPr>
                <w:rFonts w:cs="Arial"/>
                <w:b w:val="0"/>
                <w:sz w:val="20"/>
                <w:szCs w:val="20"/>
              </w:rPr>
            </w:pPr>
            <w:r w:rsidRPr="00B942D7">
              <w:rPr>
                <w:rFonts w:cs="Arial"/>
                <w:b w:val="0"/>
                <w:sz w:val="20"/>
                <w:szCs w:val="20"/>
              </w:rPr>
              <w:tab/>
              <w:t xml:space="preserve">New Zealand (imported ingredients) </w:t>
            </w:r>
          </w:p>
          <w:p w:rsidR="00CA1377" w:rsidRPr="00B942D7" w:rsidRDefault="00CA1377" w:rsidP="00CA1377">
            <w:pPr>
              <w:rPr>
                <w:rFonts w:cs="Arial"/>
                <w:sz w:val="20"/>
                <w:szCs w:val="20"/>
              </w:rPr>
            </w:pPr>
            <w:r w:rsidRPr="00B942D7">
              <w:rPr>
                <w:rFonts w:cs="Arial"/>
                <w:b w:val="0"/>
                <w:sz w:val="20"/>
                <w:szCs w:val="20"/>
              </w:rPr>
              <w:tab/>
              <w:t xml:space="preserve">New Zealand (local and imported </w:t>
            </w:r>
            <w:r w:rsidR="00BD46DC">
              <w:rPr>
                <w:rFonts w:cs="Arial"/>
                <w:b w:val="0"/>
                <w:sz w:val="20"/>
                <w:szCs w:val="20"/>
              </w:rPr>
              <w:tab/>
            </w:r>
            <w:r w:rsidRPr="00B942D7">
              <w:rPr>
                <w:rFonts w:cs="Arial"/>
                <w:b w:val="0"/>
                <w:sz w:val="20"/>
                <w:szCs w:val="20"/>
              </w:rPr>
              <w:t xml:space="preserve">ingredients) </w:t>
            </w:r>
          </w:p>
          <w:p w:rsidR="00213EAB" w:rsidRDefault="00213EAB" w:rsidP="00CA1377">
            <w:pPr>
              <w:rPr>
                <w:rFonts w:cs="Arial"/>
                <w:sz w:val="20"/>
                <w:szCs w:val="20"/>
              </w:rPr>
            </w:pPr>
          </w:p>
          <w:p w:rsidR="00CA1377" w:rsidRPr="0042685A" w:rsidRDefault="0042685A" w:rsidP="00CA1377">
            <w:pPr>
              <w:rPr>
                <w:rFonts w:cs="Arial"/>
                <w:b w:val="0"/>
                <w:sz w:val="20"/>
                <w:szCs w:val="20"/>
              </w:rPr>
            </w:pPr>
            <w:r>
              <w:rPr>
                <w:rFonts w:cs="Arial"/>
                <w:b w:val="0"/>
                <w:sz w:val="20"/>
                <w:szCs w:val="20"/>
              </w:rPr>
              <w:tab/>
            </w:r>
            <w:r w:rsidR="00CA1377" w:rsidRPr="0042685A">
              <w:rPr>
                <w:rFonts w:cs="Arial"/>
                <w:b w:val="0"/>
                <w:sz w:val="20"/>
                <w:szCs w:val="20"/>
              </w:rPr>
              <w:t xml:space="preserve">South Africa </w:t>
            </w:r>
          </w:p>
          <w:p w:rsidR="00CA1377" w:rsidRPr="0042685A" w:rsidRDefault="00CA1377" w:rsidP="00CA1377">
            <w:pPr>
              <w:rPr>
                <w:rFonts w:cs="Arial"/>
                <w:b w:val="0"/>
                <w:sz w:val="20"/>
                <w:szCs w:val="20"/>
              </w:rPr>
            </w:pPr>
          </w:p>
          <w:p w:rsidR="00CA1377" w:rsidRPr="00B942D7" w:rsidRDefault="0042685A" w:rsidP="00CA1377">
            <w:pPr>
              <w:rPr>
                <w:rFonts w:cs="Arial"/>
                <w:sz w:val="20"/>
                <w:szCs w:val="20"/>
              </w:rPr>
            </w:pPr>
            <w:r>
              <w:rPr>
                <w:rFonts w:cs="Arial"/>
                <w:b w:val="0"/>
                <w:sz w:val="20"/>
                <w:szCs w:val="20"/>
              </w:rPr>
              <w:tab/>
            </w:r>
            <w:r w:rsidR="00CA1377" w:rsidRPr="0042685A">
              <w:rPr>
                <w:rFonts w:cs="Arial"/>
                <w:b w:val="0"/>
                <w:sz w:val="20"/>
                <w:szCs w:val="20"/>
              </w:rPr>
              <w:t>Not Stated</w:t>
            </w:r>
          </w:p>
        </w:tc>
        <w:tc>
          <w:tcPr>
            <w:tcW w:w="2409" w:type="dxa"/>
            <w:tcBorders>
              <w:left w:val="none" w:sz="0" w:space="0" w:color="auto"/>
              <w:right w:val="none" w:sz="0" w:space="0" w:color="auto"/>
            </w:tcBorders>
          </w:tcPr>
          <w:p w:rsidR="00CA1377" w:rsidRDefault="00CA1377" w:rsidP="00A552F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rsidR="00B942D7" w:rsidRPr="00B942D7" w:rsidRDefault="00B942D7" w:rsidP="00A552F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942D7">
              <w:rPr>
                <w:rFonts w:cs="Arial"/>
                <w:sz w:val="20"/>
                <w:szCs w:val="20"/>
              </w:rPr>
              <w:t>20 (42)</w:t>
            </w:r>
          </w:p>
          <w:p w:rsidR="00B942D7" w:rsidRPr="00B942D7" w:rsidRDefault="00B942D7" w:rsidP="00A552F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942D7">
              <w:rPr>
                <w:rFonts w:cs="Arial"/>
                <w:sz w:val="20"/>
                <w:szCs w:val="20"/>
              </w:rPr>
              <w:t>8 (17)</w:t>
            </w:r>
          </w:p>
          <w:p w:rsidR="00B942D7" w:rsidRDefault="00B942D7" w:rsidP="00A552F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942D7">
              <w:rPr>
                <w:rFonts w:cs="Arial"/>
                <w:sz w:val="20"/>
                <w:szCs w:val="20"/>
              </w:rPr>
              <w:t>16 (33)</w:t>
            </w:r>
          </w:p>
          <w:p w:rsidR="00213EAB" w:rsidRPr="00B942D7" w:rsidRDefault="00213EAB" w:rsidP="00A552F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rsidR="00B942D7" w:rsidRPr="00B942D7" w:rsidRDefault="00B942D7" w:rsidP="00A552F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942D7">
              <w:rPr>
                <w:rFonts w:cs="Arial"/>
                <w:sz w:val="20"/>
                <w:szCs w:val="20"/>
              </w:rPr>
              <w:t>-</w:t>
            </w:r>
          </w:p>
          <w:p w:rsidR="00B942D7" w:rsidRPr="00B942D7" w:rsidRDefault="00B942D7" w:rsidP="00A552F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942D7">
              <w:rPr>
                <w:rFonts w:cs="Arial"/>
                <w:sz w:val="20"/>
                <w:szCs w:val="20"/>
              </w:rPr>
              <w:t>-</w:t>
            </w:r>
          </w:p>
          <w:p w:rsidR="00B942D7" w:rsidRDefault="00B942D7" w:rsidP="00A552F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942D7">
              <w:rPr>
                <w:rFonts w:cs="Arial"/>
                <w:sz w:val="20"/>
                <w:szCs w:val="20"/>
              </w:rPr>
              <w:t>1 (2)</w:t>
            </w:r>
          </w:p>
          <w:p w:rsidR="00213EAB" w:rsidRPr="00B942D7" w:rsidRDefault="00213EAB" w:rsidP="00A552F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rsidR="00FA3AFC" w:rsidRDefault="00FA3AFC" w:rsidP="00A552F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rsidR="00B942D7" w:rsidRDefault="00B942D7" w:rsidP="00A552F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942D7">
              <w:rPr>
                <w:rFonts w:cs="Arial"/>
                <w:sz w:val="20"/>
                <w:szCs w:val="20"/>
              </w:rPr>
              <w:t>1 (2)</w:t>
            </w:r>
          </w:p>
          <w:p w:rsidR="00213EAB" w:rsidRPr="00B942D7" w:rsidRDefault="00213EAB" w:rsidP="00A552F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rsidR="00B942D7" w:rsidRPr="00B942D7" w:rsidRDefault="00B942D7" w:rsidP="00A552F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942D7">
              <w:rPr>
                <w:rFonts w:cs="Arial"/>
                <w:sz w:val="20"/>
                <w:szCs w:val="20"/>
              </w:rPr>
              <w:t>2 (4)</w:t>
            </w:r>
          </w:p>
        </w:tc>
        <w:tc>
          <w:tcPr>
            <w:tcW w:w="2375" w:type="dxa"/>
            <w:tcBorders>
              <w:left w:val="none" w:sz="0" w:space="0" w:color="auto"/>
            </w:tcBorders>
          </w:tcPr>
          <w:p w:rsidR="00CA1377" w:rsidRDefault="00CA1377" w:rsidP="00A552F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rsidR="00B942D7" w:rsidRPr="00B942D7" w:rsidRDefault="00B942D7" w:rsidP="00A552F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942D7">
              <w:rPr>
                <w:rFonts w:cs="Arial"/>
                <w:sz w:val="20"/>
                <w:szCs w:val="20"/>
              </w:rPr>
              <w:t>2 (4)</w:t>
            </w:r>
          </w:p>
          <w:p w:rsidR="00B942D7" w:rsidRPr="00B942D7" w:rsidRDefault="00B942D7" w:rsidP="00A552F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942D7">
              <w:rPr>
                <w:rFonts w:cs="Arial"/>
                <w:sz w:val="20"/>
                <w:szCs w:val="20"/>
              </w:rPr>
              <w:t>-</w:t>
            </w:r>
          </w:p>
          <w:p w:rsidR="00B942D7" w:rsidRDefault="00B942D7" w:rsidP="00A552F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942D7">
              <w:rPr>
                <w:rFonts w:cs="Arial"/>
                <w:sz w:val="20"/>
                <w:szCs w:val="20"/>
              </w:rPr>
              <w:t>3 (6)</w:t>
            </w:r>
          </w:p>
          <w:p w:rsidR="00213EAB" w:rsidRPr="00B942D7" w:rsidRDefault="00213EAB" w:rsidP="00A552F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rsidR="00B942D7" w:rsidRPr="00B942D7" w:rsidRDefault="00B942D7" w:rsidP="00A552F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942D7">
              <w:rPr>
                <w:rFonts w:cs="Arial"/>
                <w:sz w:val="20"/>
                <w:szCs w:val="20"/>
              </w:rPr>
              <w:t>23 (46)</w:t>
            </w:r>
          </w:p>
          <w:p w:rsidR="00B942D7" w:rsidRPr="00B942D7" w:rsidRDefault="00B942D7" w:rsidP="00A552F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942D7">
              <w:rPr>
                <w:rFonts w:cs="Arial"/>
                <w:sz w:val="20"/>
                <w:szCs w:val="20"/>
              </w:rPr>
              <w:t>2 (4)</w:t>
            </w:r>
          </w:p>
          <w:p w:rsidR="00B942D7" w:rsidRDefault="00B942D7" w:rsidP="00A552F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942D7">
              <w:rPr>
                <w:rFonts w:cs="Arial"/>
                <w:sz w:val="20"/>
                <w:szCs w:val="20"/>
              </w:rPr>
              <w:t>18 (36)</w:t>
            </w:r>
          </w:p>
          <w:p w:rsidR="00213EAB" w:rsidRPr="00B942D7" w:rsidRDefault="00213EAB" w:rsidP="00A552F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rsidR="00FA3AFC" w:rsidRDefault="00FA3AFC" w:rsidP="00A552F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rsidR="00B942D7" w:rsidRDefault="00B942D7" w:rsidP="00A552F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942D7">
              <w:rPr>
                <w:rFonts w:cs="Arial"/>
                <w:sz w:val="20"/>
                <w:szCs w:val="20"/>
              </w:rPr>
              <w:t>1 (2)</w:t>
            </w:r>
          </w:p>
          <w:p w:rsidR="00213EAB" w:rsidRPr="00B942D7" w:rsidRDefault="00213EAB" w:rsidP="00A552F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rsidR="00B942D7" w:rsidRPr="00B942D7" w:rsidRDefault="00B942D7" w:rsidP="00A552F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942D7">
              <w:rPr>
                <w:rFonts w:cs="Arial"/>
                <w:sz w:val="20"/>
                <w:szCs w:val="20"/>
              </w:rPr>
              <w:t>1 (2)</w:t>
            </w:r>
          </w:p>
        </w:tc>
      </w:tr>
      <w:tr w:rsidR="00CA1377" w:rsidRPr="00B942D7" w:rsidTr="001F31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Borders>
              <w:right w:val="none" w:sz="0" w:space="0" w:color="auto"/>
            </w:tcBorders>
            <w:shd w:val="clear" w:color="auto" w:fill="auto"/>
          </w:tcPr>
          <w:p w:rsidR="00CA1377" w:rsidRPr="00B942D7" w:rsidRDefault="00CA1377" w:rsidP="00CA1377">
            <w:pPr>
              <w:rPr>
                <w:rFonts w:cs="Arial"/>
                <w:sz w:val="20"/>
                <w:szCs w:val="20"/>
              </w:rPr>
            </w:pPr>
            <w:r w:rsidRPr="00B942D7">
              <w:rPr>
                <w:rFonts w:cs="Arial"/>
                <w:sz w:val="20"/>
                <w:szCs w:val="20"/>
              </w:rPr>
              <w:t xml:space="preserve">Juice material </w:t>
            </w:r>
          </w:p>
          <w:p w:rsidR="00CA1377" w:rsidRPr="00B942D7" w:rsidRDefault="00CA1377" w:rsidP="00CA1377">
            <w:pPr>
              <w:rPr>
                <w:rFonts w:cs="Arial"/>
                <w:b w:val="0"/>
                <w:sz w:val="20"/>
                <w:szCs w:val="20"/>
              </w:rPr>
            </w:pPr>
            <w:r w:rsidRPr="00B942D7">
              <w:rPr>
                <w:rFonts w:cs="Arial"/>
                <w:sz w:val="20"/>
                <w:szCs w:val="20"/>
              </w:rPr>
              <w:tab/>
            </w:r>
            <w:r w:rsidRPr="00B942D7">
              <w:rPr>
                <w:rFonts w:cs="Arial"/>
                <w:b w:val="0"/>
                <w:sz w:val="20"/>
                <w:szCs w:val="20"/>
              </w:rPr>
              <w:t xml:space="preserve">Apple juice </w:t>
            </w:r>
          </w:p>
          <w:p w:rsidR="00CA1377" w:rsidRPr="00B942D7" w:rsidRDefault="00CA1377" w:rsidP="00CA1377">
            <w:pPr>
              <w:rPr>
                <w:rFonts w:cs="Arial"/>
                <w:b w:val="0"/>
                <w:sz w:val="20"/>
                <w:szCs w:val="20"/>
              </w:rPr>
            </w:pPr>
            <w:r w:rsidRPr="00B942D7">
              <w:rPr>
                <w:rFonts w:cs="Arial"/>
                <w:b w:val="0"/>
                <w:sz w:val="20"/>
                <w:szCs w:val="20"/>
              </w:rPr>
              <w:tab/>
              <w:t xml:space="preserve">Reconstituted apple juice </w:t>
            </w:r>
          </w:p>
          <w:p w:rsidR="00CA1377" w:rsidRPr="00B942D7" w:rsidRDefault="00CA1377" w:rsidP="00CA1377">
            <w:pPr>
              <w:rPr>
                <w:rFonts w:cs="Arial"/>
                <w:b w:val="0"/>
                <w:sz w:val="20"/>
                <w:szCs w:val="20"/>
              </w:rPr>
            </w:pPr>
            <w:r w:rsidRPr="00B942D7">
              <w:rPr>
                <w:rFonts w:cs="Arial"/>
                <w:b w:val="0"/>
                <w:sz w:val="20"/>
                <w:szCs w:val="20"/>
              </w:rPr>
              <w:tab/>
              <w:t xml:space="preserve">Apple juice and reconstituted apple juice </w:t>
            </w:r>
          </w:p>
          <w:p w:rsidR="00CA1377" w:rsidRPr="00B942D7" w:rsidRDefault="00CA1377" w:rsidP="00CA1377">
            <w:pPr>
              <w:rPr>
                <w:rFonts w:cs="Arial"/>
                <w:sz w:val="20"/>
                <w:szCs w:val="20"/>
              </w:rPr>
            </w:pPr>
            <w:r w:rsidRPr="00B942D7">
              <w:rPr>
                <w:rFonts w:cs="Arial"/>
                <w:b w:val="0"/>
                <w:sz w:val="20"/>
                <w:szCs w:val="20"/>
              </w:rPr>
              <w:tab/>
              <w:t>Apple juice and puree</w:t>
            </w:r>
          </w:p>
        </w:tc>
        <w:tc>
          <w:tcPr>
            <w:tcW w:w="2409" w:type="dxa"/>
            <w:tcBorders>
              <w:left w:val="none" w:sz="0" w:space="0" w:color="auto"/>
              <w:right w:val="none" w:sz="0" w:space="0" w:color="auto"/>
            </w:tcBorders>
            <w:shd w:val="clear" w:color="auto" w:fill="auto"/>
          </w:tcPr>
          <w:p w:rsidR="00213EAB" w:rsidRDefault="00213EAB" w:rsidP="00A552F0">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p>
          <w:p w:rsidR="00B942D7" w:rsidRPr="00B942D7" w:rsidRDefault="00B942D7" w:rsidP="00A552F0">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B942D7">
              <w:rPr>
                <w:rFonts w:cs="Arial"/>
                <w:sz w:val="20"/>
                <w:szCs w:val="20"/>
              </w:rPr>
              <w:t>18 (38)</w:t>
            </w:r>
          </w:p>
          <w:p w:rsidR="00B942D7" w:rsidRPr="00B942D7" w:rsidRDefault="00B942D7" w:rsidP="00A552F0">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B942D7">
              <w:rPr>
                <w:rFonts w:cs="Arial"/>
                <w:sz w:val="20"/>
                <w:szCs w:val="20"/>
              </w:rPr>
              <w:t>27 (56)</w:t>
            </w:r>
          </w:p>
          <w:p w:rsidR="00B942D7" w:rsidRPr="00B942D7" w:rsidRDefault="00B942D7" w:rsidP="00A552F0">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B942D7">
              <w:rPr>
                <w:rFonts w:cs="Arial"/>
                <w:sz w:val="20"/>
                <w:szCs w:val="20"/>
              </w:rPr>
              <w:t>3 (6)</w:t>
            </w:r>
          </w:p>
          <w:p w:rsidR="00CA1377" w:rsidRPr="00B942D7" w:rsidRDefault="00B942D7" w:rsidP="00A552F0">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B942D7">
              <w:rPr>
                <w:rFonts w:cs="Arial"/>
                <w:sz w:val="20"/>
                <w:szCs w:val="20"/>
              </w:rPr>
              <w:t>-</w:t>
            </w:r>
          </w:p>
        </w:tc>
        <w:tc>
          <w:tcPr>
            <w:tcW w:w="2375" w:type="dxa"/>
            <w:tcBorders>
              <w:left w:val="none" w:sz="0" w:space="0" w:color="auto"/>
            </w:tcBorders>
            <w:shd w:val="clear" w:color="auto" w:fill="auto"/>
          </w:tcPr>
          <w:p w:rsidR="00213EAB" w:rsidRDefault="00213EAB" w:rsidP="00A552F0">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p>
          <w:p w:rsidR="00B942D7" w:rsidRPr="00B942D7" w:rsidRDefault="00B942D7" w:rsidP="00A552F0">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B942D7">
              <w:rPr>
                <w:rFonts w:cs="Arial"/>
                <w:sz w:val="20"/>
                <w:szCs w:val="20"/>
              </w:rPr>
              <w:t>29 (58)</w:t>
            </w:r>
          </w:p>
          <w:p w:rsidR="00B942D7" w:rsidRPr="00B942D7" w:rsidRDefault="00B942D7" w:rsidP="00A552F0">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B942D7">
              <w:rPr>
                <w:rFonts w:cs="Arial"/>
                <w:sz w:val="20"/>
                <w:szCs w:val="20"/>
              </w:rPr>
              <w:t>19 (38)</w:t>
            </w:r>
          </w:p>
          <w:p w:rsidR="00B942D7" w:rsidRPr="00B942D7" w:rsidRDefault="00B942D7" w:rsidP="00A552F0">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B942D7">
              <w:rPr>
                <w:rFonts w:cs="Arial"/>
                <w:sz w:val="20"/>
                <w:szCs w:val="20"/>
              </w:rPr>
              <w:t>-</w:t>
            </w:r>
          </w:p>
          <w:p w:rsidR="00CA1377" w:rsidRPr="00B942D7" w:rsidRDefault="00B942D7" w:rsidP="00A552F0">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B942D7">
              <w:rPr>
                <w:rFonts w:cs="Arial"/>
                <w:sz w:val="20"/>
                <w:szCs w:val="20"/>
              </w:rPr>
              <w:t>2 (4)</w:t>
            </w:r>
          </w:p>
        </w:tc>
      </w:tr>
      <w:tr w:rsidR="00CA1377" w:rsidRPr="00B942D7" w:rsidTr="001F3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Borders>
              <w:right w:val="none" w:sz="0" w:space="0" w:color="auto"/>
            </w:tcBorders>
          </w:tcPr>
          <w:p w:rsidR="00CA1377" w:rsidRPr="00B942D7" w:rsidRDefault="00CA1377" w:rsidP="00CA1377">
            <w:pPr>
              <w:rPr>
                <w:rFonts w:cs="Arial"/>
                <w:sz w:val="20"/>
                <w:szCs w:val="20"/>
              </w:rPr>
            </w:pPr>
            <w:r w:rsidRPr="00B942D7">
              <w:rPr>
                <w:rFonts w:cs="Arial"/>
                <w:sz w:val="20"/>
                <w:szCs w:val="20"/>
              </w:rPr>
              <w:t xml:space="preserve">Storage </w:t>
            </w:r>
          </w:p>
          <w:p w:rsidR="00CA1377" w:rsidRPr="00B942D7" w:rsidRDefault="00B942D7" w:rsidP="00CA1377">
            <w:pPr>
              <w:rPr>
                <w:rFonts w:cs="Arial"/>
                <w:b w:val="0"/>
                <w:sz w:val="20"/>
                <w:szCs w:val="20"/>
              </w:rPr>
            </w:pPr>
            <w:r w:rsidRPr="00B942D7">
              <w:rPr>
                <w:rFonts w:cs="Arial"/>
                <w:b w:val="0"/>
                <w:sz w:val="20"/>
                <w:szCs w:val="20"/>
              </w:rPr>
              <w:tab/>
            </w:r>
            <w:r w:rsidR="00CA1377" w:rsidRPr="00B942D7">
              <w:rPr>
                <w:rFonts w:cs="Arial"/>
                <w:b w:val="0"/>
                <w:sz w:val="20"/>
                <w:szCs w:val="20"/>
              </w:rPr>
              <w:t xml:space="preserve">Shelf stable </w:t>
            </w:r>
          </w:p>
          <w:p w:rsidR="00CA1377" w:rsidRPr="00B942D7" w:rsidRDefault="00B942D7" w:rsidP="00CA1377">
            <w:pPr>
              <w:rPr>
                <w:rFonts w:cs="Arial"/>
                <w:sz w:val="20"/>
                <w:szCs w:val="20"/>
              </w:rPr>
            </w:pPr>
            <w:r w:rsidRPr="00B942D7">
              <w:rPr>
                <w:rFonts w:cs="Arial"/>
                <w:b w:val="0"/>
                <w:sz w:val="20"/>
                <w:szCs w:val="20"/>
              </w:rPr>
              <w:tab/>
            </w:r>
            <w:r w:rsidR="00CA1377" w:rsidRPr="00B942D7">
              <w:rPr>
                <w:rFonts w:cs="Arial"/>
                <w:b w:val="0"/>
                <w:sz w:val="20"/>
                <w:szCs w:val="20"/>
              </w:rPr>
              <w:t>Require refrigeration</w:t>
            </w:r>
          </w:p>
        </w:tc>
        <w:tc>
          <w:tcPr>
            <w:tcW w:w="2409" w:type="dxa"/>
            <w:tcBorders>
              <w:left w:val="none" w:sz="0" w:space="0" w:color="auto"/>
              <w:right w:val="none" w:sz="0" w:space="0" w:color="auto"/>
            </w:tcBorders>
          </w:tcPr>
          <w:p w:rsidR="00213EAB" w:rsidRDefault="00213EAB" w:rsidP="00A552F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rsidR="00B942D7" w:rsidRPr="00B942D7" w:rsidRDefault="00B942D7" w:rsidP="00A552F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942D7">
              <w:rPr>
                <w:rFonts w:cs="Arial"/>
                <w:sz w:val="20"/>
                <w:szCs w:val="20"/>
              </w:rPr>
              <w:t>22 (46)</w:t>
            </w:r>
          </w:p>
          <w:p w:rsidR="00CA1377" w:rsidRPr="00B942D7" w:rsidRDefault="00B942D7" w:rsidP="00A552F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942D7">
              <w:rPr>
                <w:rFonts w:cs="Arial"/>
                <w:sz w:val="20"/>
                <w:szCs w:val="20"/>
              </w:rPr>
              <w:t>26 (54)</w:t>
            </w:r>
          </w:p>
        </w:tc>
        <w:tc>
          <w:tcPr>
            <w:tcW w:w="2375" w:type="dxa"/>
            <w:tcBorders>
              <w:left w:val="none" w:sz="0" w:space="0" w:color="auto"/>
            </w:tcBorders>
          </w:tcPr>
          <w:p w:rsidR="00213EAB" w:rsidRDefault="00213EAB" w:rsidP="00A552F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rsidR="00B942D7" w:rsidRPr="00B942D7" w:rsidRDefault="00B942D7" w:rsidP="00A552F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942D7">
              <w:rPr>
                <w:rFonts w:cs="Arial"/>
                <w:sz w:val="20"/>
                <w:szCs w:val="20"/>
              </w:rPr>
              <w:t>48 (96)</w:t>
            </w:r>
          </w:p>
          <w:p w:rsidR="00CA1377" w:rsidRPr="00B942D7" w:rsidRDefault="00B942D7" w:rsidP="00A552F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942D7">
              <w:rPr>
                <w:rFonts w:cs="Arial"/>
                <w:sz w:val="20"/>
                <w:szCs w:val="20"/>
              </w:rPr>
              <w:t>2 (4)</w:t>
            </w:r>
          </w:p>
        </w:tc>
      </w:tr>
    </w:tbl>
    <w:p w:rsidR="003F50E2" w:rsidRDefault="003F50E2" w:rsidP="00EE4365">
      <w:pPr>
        <w:rPr>
          <w:rFonts w:cs="Arial"/>
          <w:szCs w:val="22"/>
        </w:rPr>
      </w:pPr>
    </w:p>
    <w:p w:rsidR="00FE7F6D" w:rsidRPr="00EA08D9" w:rsidRDefault="00FE7F6D" w:rsidP="00D12D6D">
      <w:pPr>
        <w:pStyle w:val="Heading3"/>
      </w:pPr>
      <w:bookmarkStart w:id="55" w:name="_Toc384293492"/>
      <w:r w:rsidRPr="00EA08D9">
        <w:t>3.1.3</w:t>
      </w:r>
      <w:r w:rsidRPr="00EA08D9">
        <w:tab/>
      </w:r>
      <w:r w:rsidR="00FF6DEF" w:rsidRPr="00EA08D9">
        <w:t>Follow-up survey o</w:t>
      </w:r>
      <w:r w:rsidR="00395391">
        <w:t>f</w:t>
      </w:r>
      <w:r w:rsidR="00FF6DEF" w:rsidRPr="00EA08D9">
        <w:t xml:space="preserve"> apricot kernels and other plant-based foods (Survey 3)</w:t>
      </w:r>
      <w:bookmarkEnd w:id="55"/>
    </w:p>
    <w:p w:rsidR="00FF6DEF" w:rsidRDefault="00FF6DEF" w:rsidP="00FE7F6D">
      <w:pPr>
        <w:rPr>
          <w:rFonts w:cs="Arial"/>
          <w:szCs w:val="22"/>
        </w:rPr>
      </w:pPr>
    </w:p>
    <w:p w:rsidR="004154E3" w:rsidRDefault="00FE7F6D" w:rsidP="00FE7F6D">
      <w:pPr>
        <w:rPr>
          <w:rFonts w:cs="Arial"/>
          <w:szCs w:val="22"/>
        </w:rPr>
      </w:pPr>
      <w:r>
        <w:rPr>
          <w:rFonts w:cs="Arial"/>
          <w:szCs w:val="22"/>
        </w:rPr>
        <w:t xml:space="preserve">Survey </w:t>
      </w:r>
      <w:r w:rsidR="00E6419F">
        <w:rPr>
          <w:rFonts w:cs="Arial"/>
          <w:szCs w:val="22"/>
        </w:rPr>
        <w:t>3 foods were sampled in Christchurch, New Zealand and in the capital cities of Australian states and territories. All s</w:t>
      </w:r>
      <w:r w:rsidR="00E6419F" w:rsidRPr="00B05B51">
        <w:rPr>
          <w:rFonts w:cs="Arial"/>
          <w:szCs w:val="22"/>
        </w:rPr>
        <w:t xml:space="preserve">amples were collected </w:t>
      </w:r>
      <w:r w:rsidR="00E6419F">
        <w:rPr>
          <w:rFonts w:cs="Arial"/>
          <w:szCs w:val="22"/>
        </w:rPr>
        <w:t xml:space="preserve">from supermarkets or specialist retail outlets </w:t>
      </w:r>
      <w:r w:rsidR="00F84FF3">
        <w:rPr>
          <w:rFonts w:cs="Arial"/>
          <w:szCs w:val="22"/>
        </w:rPr>
        <w:t>(including</w:t>
      </w:r>
      <w:r w:rsidR="00E6419F">
        <w:rPr>
          <w:rFonts w:cs="Arial"/>
          <w:szCs w:val="22"/>
        </w:rPr>
        <w:t xml:space="preserve"> </w:t>
      </w:r>
      <w:r w:rsidR="00E6419F" w:rsidRPr="00E6419F">
        <w:rPr>
          <w:rFonts w:cs="Arial"/>
          <w:szCs w:val="22"/>
        </w:rPr>
        <w:t>Asian, Fijian Indian and continental supermarkets and health food shops</w:t>
      </w:r>
      <w:r w:rsidR="00F84FF3">
        <w:rPr>
          <w:rFonts w:cs="Arial"/>
          <w:szCs w:val="22"/>
        </w:rPr>
        <w:t>)</w:t>
      </w:r>
      <w:r w:rsidR="00E6419F" w:rsidRPr="00E6419F">
        <w:rPr>
          <w:rFonts w:cs="Arial"/>
          <w:szCs w:val="22"/>
        </w:rPr>
        <w:t xml:space="preserve"> </w:t>
      </w:r>
      <w:r w:rsidR="00E6419F">
        <w:rPr>
          <w:rFonts w:cs="Arial"/>
          <w:szCs w:val="22"/>
        </w:rPr>
        <w:t xml:space="preserve">in </w:t>
      </w:r>
      <w:r w:rsidR="00F84FF3">
        <w:rPr>
          <w:rFonts w:cs="Arial"/>
          <w:szCs w:val="22"/>
        </w:rPr>
        <w:t>February/March 2013</w:t>
      </w:r>
      <w:r w:rsidR="00E6419F">
        <w:rPr>
          <w:rFonts w:cs="Arial"/>
          <w:szCs w:val="22"/>
        </w:rPr>
        <w:t xml:space="preserve">. A total of </w:t>
      </w:r>
      <w:r w:rsidR="00F84FF3">
        <w:rPr>
          <w:rFonts w:cs="Arial"/>
          <w:szCs w:val="22"/>
        </w:rPr>
        <w:t xml:space="preserve">88 </w:t>
      </w:r>
      <w:r w:rsidR="00E6419F">
        <w:rPr>
          <w:rFonts w:cs="Arial"/>
          <w:szCs w:val="22"/>
        </w:rPr>
        <w:t>individual samples were purchased</w:t>
      </w:r>
      <w:r w:rsidR="00017DD7">
        <w:rPr>
          <w:rFonts w:cs="Arial"/>
          <w:szCs w:val="22"/>
        </w:rPr>
        <w:t xml:space="preserve">, making up 69 </w:t>
      </w:r>
      <w:r w:rsidR="00974815">
        <w:rPr>
          <w:rFonts w:cs="Arial"/>
          <w:szCs w:val="22"/>
        </w:rPr>
        <w:t>analytical samples</w:t>
      </w:r>
      <w:r w:rsidR="00E6419F">
        <w:rPr>
          <w:rFonts w:cs="Arial"/>
          <w:szCs w:val="22"/>
        </w:rPr>
        <w:t xml:space="preserve">. </w:t>
      </w:r>
      <w:r w:rsidR="00017DD7" w:rsidRPr="00017DD7">
        <w:rPr>
          <w:rFonts w:cs="Arial"/>
          <w:szCs w:val="22"/>
        </w:rPr>
        <w:t xml:space="preserve">The number of samples </w:t>
      </w:r>
      <w:r w:rsidR="00017DD7">
        <w:rPr>
          <w:rFonts w:cs="Arial"/>
          <w:szCs w:val="22"/>
        </w:rPr>
        <w:t>for each food type varied from 3</w:t>
      </w:r>
      <w:r w:rsidR="00017DD7" w:rsidRPr="00017DD7">
        <w:rPr>
          <w:rFonts w:cs="Arial"/>
          <w:szCs w:val="22"/>
        </w:rPr>
        <w:t xml:space="preserve"> to 1</w:t>
      </w:r>
      <w:r w:rsidR="00017DD7">
        <w:rPr>
          <w:rFonts w:cs="Arial"/>
          <w:szCs w:val="22"/>
        </w:rPr>
        <w:t>8</w:t>
      </w:r>
      <w:r w:rsidR="00017DD7" w:rsidRPr="00017DD7">
        <w:rPr>
          <w:rFonts w:cs="Arial"/>
          <w:szCs w:val="22"/>
        </w:rPr>
        <w:t xml:space="preserve"> primary purchase samples.</w:t>
      </w:r>
      <w:r w:rsidR="00017DD7">
        <w:rPr>
          <w:rFonts w:cs="Arial"/>
          <w:szCs w:val="22"/>
        </w:rPr>
        <w:t xml:space="preserve"> </w:t>
      </w:r>
      <w:r w:rsidR="00E6419F" w:rsidRPr="00065A40">
        <w:rPr>
          <w:rFonts w:cs="Arial"/>
          <w:szCs w:val="22"/>
        </w:rPr>
        <w:t>Retail units or loose product were purchased to give a sample weight of at least 500</w:t>
      </w:r>
      <w:r w:rsidR="00E6419F">
        <w:rPr>
          <w:rFonts w:cs="Arial"/>
          <w:szCs w:val="22"/>
        </w:rPr>
        <w:t> </w:t>
      </w:r>
      <w:r w:rsidR="00E6419F" w:rsidRPr="00065A40">
        <w:rPr>
          <w:rFonts w:cs="Arial"/>
          <w:szCs w:val="22"/>
        </w:rPr>
        <w:t xml:space="preserve">g. </w:t>
      </w:r>
      <w:r w:rsidR="00F84FF3">
        <w:rPr>
          <w:rFonts w:cs="Arial"/>
          <w:szCs w:val="22"/>
        </w:rPr>
        <w:t>S</w:t>
      </w:r>
      <w:r>
        <w:rPr>
          <w:rFonts w:cs="Arial"/>
          <w:szCs w:val="22"/>
        </w:rPr>
        <w:t xml:space="preserve">ample types and sample numbers </w:t>
      </w:r>
      <w:r w:rsidR="00F84FF3">
        <w:rPr>
          <w:rFonts w:cs="Arial"/>
          <w:szCs w:val="22"/>
        </w:rPr>
        <w:t>are</w:t>
      </w:r>
      <w:r>
        <w:rPr>
          <w:rFonts w:cs="Arial"/>
          <w:szCs w:val="22"/>
        </w:rPr>
        <w:t xml:space="preserve"> shown in Table </w:t>
      </w:r>
      <w:r w:rsidR="00F84FF3">
        <w:rPr>
          <w:rFonts w:cs="Arial"/>
          <w:szCs w:val="22"/>
        </w:rPr>
        <w:t>4</w:t>
      </w:r>
      <w:r w:rsidR="00D66D51">
        <w:rPr>
          <w:rFonts w:cs="Arial"/>
          <w:szCs w:val="22"/>
        </w:rPr>
        <w:t xml:space="preserve"> and examples of apricot kernels with and without skin are shown in Figure </w:t>
      </w:r>
      <w:r w:rsidR="003F4C79">
        <w:rPr>
          <w:rFonts w:cs="Arial"/>
          <w:szCs w:val="22"/>
        </w:rPr>
        <w:t>3</w:t>
      </w:r>
      <w:r w:rsidR="00D66D51">
        <w:rPr>
          <w:rFonts w:cs="Arial"/>
          <w:szCs w:val="22"/>
        </w:rPr>
        <w:t>.</w:t>
      </w:r>
    </w:p>
    <w:p w:rsidR="004154E3" w:rsidRDefault="004154E3">
      <w:pPr>
        <w:spacing w:after="200" w:line="276" w:lineRule="auto"/>
        <w:rPr>
          <w:rFonts w:cs="Arial"/>
          <w:szCs w:val="22"/>
        </w:rPr>
      </w:pPr>
      <w:r>
        <w:rPr>
          <w:rFonts w:cs="Arial"/>
          <w:szCs w:val="22"/>
        </w:rPr>
        <w:br w:type="page"/>
      </w:r>
    </w:p>
    <w:p w:rsidR="00FE7F6D" w:rsidRPr="00D72C42" w:rsidRDefault="00FE7F6D" w:rsidP="00391DE3">
      <w:pPr>
        <w:pStyle w:val="Heading3LT"/>
      </w:pPr>
      <w:bookmarkStart w:id="56" w:name="_Toc384293550"/>
      <w:r w:rsidRPr="00D72C42">
        <w:lastRenderedPageBreak/>
        <w:t xml:space="preserve">Table </w:t>
      </w:r>
      <w:r w:rsidR="00F84FF3" w:rsidRPr="00D72C42">
        <w:t>4</w:t>
      </w:r>
      <w:r w:rsidRPr="00D72C42">
        <w:t xml:space="preserve">: Sample type and sample numbers for Survey </w:t>
      </w:r>
      <w:r w:rsidR="00F84FF3" w:rsidRPr="00D72C42">
        <w:t>3</w:t>
      </w:r>
      <w:r w:rsidRPr="00D72C42">
        <w:t xml:space="preserve"> of cyanogenic glycosides in </w:t>
      </w:r>
      <w:r w:rsidR="00F84FF3" w:rsidRPr="00D72C42">
        <w:t xml:space="preserve">apricot kernels and </w:t>
      </w:r>
      <w:r w:rsidRPr="00D72C42">
        <w:t>plant-based foods</w:t>
      </w:r>
      <w:bookmarkEnd w:id="56"/>
      <w:r w:rsidRPr="00D72C42">
        <w:t xml:space="preserve"> </w:t>
      </w:r>
    </w:p>
    <w:tbl>
      <w:tblPr>
        <w:tblStyle w:val="MediumShading1-Accent1"/>
        <w:tblW w:w="0" w:type="auto"/>
        <w:tblBorders>
          <w:insideV w:val="single" w:sz="8" w:space="0" w:color="7BA0CD" w:themeColor="accent1" w:themeTint="BF"/>
        </w:tblBorders>
        <w:tblLook w:val="04A0" w:firstRow="1" w:lastRow="0" w:firstColumn="1" w:lastColumn="0" w:noHBand="0" w:noVBand="1"/>
      </w:tblPr>
      <w:tblGrid>
        <w:gridCol w:w="2696"/>
        <w:gridCol w:w="1627"/>
        <w:gridCol w:w="4919"/>
      </w:tblGrid>
      <w:tr w:rsidR="00FE7F6D" w:rsidRPr="00065A40" w:rsidTr="001F31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Borders>
              <w:top w:val="none" w:sz="0" w:space="0" w:color="auto"/>
              <w:left w:val="none" w:sz="0" w:space="0" w:color="auto"/>
              <w:bottom w:val="none" w:sz="0" w:space="0" w:color="auto"/>
              <w:right w:val="none" w:sz="0" w:space="0" w:color="auto"/>
            </w:tcBorders>
          </w:tcPr>
          <w:p w:rsidR="00FE7F6D" w:rsidRPr="00065A40" w:rsidRDefault="00FE7F6D" w:rsidP="00A552F0">
            <w:pPr>
              <w:rPr>
                <w:rFonts w:cs="Arial"/>
                <w:sz w:val="20"/>
                <w:szCs w:val="20"/>
              </w:rPr>
            </w:pPr>
            <w:r w:rsidRPr="00065A40">
              <w:rPr>
                <w:rFonts w:cs="Arial"/>
                <w:sz w:val="20"/>
                <w:szCs w:val="20"/>
              </w:rPr>
              <w:t>Sample type</w:t>
            </w:r>
          </w:p>
        </w:tc>
        <w:tc>
          <w:tcPr>
            <w:tcW w:w="1701" w:type="dxa"/>
            <w:tcBorders>
              <w:top w:val="none" w:sz="0" w:space="0" w:color="auto"/>
              <w:left w:val="none" w:sz="0" w:space="0" w:color="auto"/>
              <w:bottom w:val="none" w:sz="0" w:space="0" w:color="auto"/>
              <w:right w:val="none" w:sz="0" w:space="0" w:color="auto"/>
            </w:tcBorders>
          </w:tcPr>
          <w:p w:rsidR="00FE7F6D" w:rsidRPr="00065A40" w:rsidRDefault="00FE7F6D" w:rsidP="000644A3">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065A40">
              <w:rPr>
                <w:rFonts w:cs="Arial"/>
                <w:sz w:val="20"/>
                <w:szCs w:val="20"/>
              </w:rPr>
              <w:t>No. of samples</w:t>
            </w:r>
          </w:p>
        </w:tc>
        <w:tc>
          <w:tcPr>
            <w:tcW w:w="5351" w:type="dxa"/>
            <w:tcBorders>
              <w:top w:val="none" w:sz="0" w:space="0" w:color="auto"/>
              <w:left w:val="none" w:sz="0" w:space="0" w:color="auto"/>
              <w:bottom w:val="none" w:sz="0" w:space="0" w:color="auto"/>
              <w:right w:val="none" w:sz="0" w:space="0" w:color="auto"/>
            </w:tcBorders>
          </w:tcPr>
          <w:p w:rsidR="00FE7F6D" w:rsidRPr="00065A40" w:rsidRDefault="00FE7F6D" w:rsidP="00A552F0">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065A40">
              <w:rPr>
                <w:rFonts w:cs="Arial"/>
                <w:sz w:val="20"/>
                <w:szCs w:val="20"/>
              </w:rPr>
              <w:t>Description</w:t>
            </w:r>
          </w:p>
        </w:tc>
      </w:tr>
      <w:tr w:rsidR="00FE7F6D" w:rsidRPr="00065A40" w:rsidTr="001F3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none" w:sz="0" w:space="0" w:color="auto"/>
            </w:tcBorders>
          </w:tcPr>
          <w:p w:rsidR="00FE7F6D" w:rsidRPr="00065A40" w:rsidRDefault="00F84FF3" w:rsidP="002916C3">
            <w:pPr>
              <w:rPr>
                <w:rFonts w:cs="Arial"/>
                <w:sz w:val="20"/>
                <w:szCs w:val="20"/>
              </w:rPr>
            </w:pPr>
            <w:r>
              <w:rPr>
                <w:rFonts w:cs="Arial"/>
                <w:sz w:val="20"/>
                <w:szCs w:val="20"/>
              </w:rPr>
              <w:t>Apricot kernels</w:t>
            </w:r>
          </w:p>
        </w:tc>
        <w:tc>
          <w:tcPr>
            <w:tcW w:w="1701" w:type="dxa"/>
            <w:tcBorders>
              <w:left w:val="none" w:sz="0" w:space="0" w:color="auto"/>
              <w:right w:val="none" w:sz="0" w:space="0" w:color="auto"/>
            </w:tcBorders>
          </w:tcPr>
          <w:p w:rsidR="00FE7F6D" w:rsidRPr="00065A40" w:rsidRDefault="00F84FF3" w:rsidP="002916C3">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28</w:t>
            </w:r>
          </w:p>
        </w:tc>
        <w:tc>
          <w:tcPr>
            <w:tcW w:w="5351" w:type="dxa"/>
            <w:tcBorders>
              <w:left w:val="none" w:sz="0" w:space="0" w:color="auto"/>
            </w:tcBorders>
          </w:tcPr>
          <w:p w:rsidR="00FE7F6D" w:rsidRDefault="00F84FF3" w:rsidP="002916C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Apricot kernels with skin</w:t>
            </w:r>
          </w:p>
          <w:p w:rsidR="00F84FF3" w:rsidRPr="00065A40" w:rsidRDefault="00F84FF3" w:rsidP="002916C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Apricot kernels without skin</w:t>
            </w:r>
          </w:p>
        </w:tc>
      </w:tr>
      <w:tr w:rsidR="00FE7F6D" w:rsidRPr="00065A40" w:rsidTr="001F31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none" w:sz="0" w:space="0" w:color="auto"/>
            </w:tcBorders>
          </w:tcPr>
          <w:p w:rsidR="00974815" w:rsidRDefault="00974815" w:rsidP="002916C3">
            <w:pPr>
              <w:rPr>
                <w:rFonts w:cs="Arial"/>
                <w:sz w:val="20"/>
                <w:szCs w:val="20"/>
              </w:rPr>
            </w:pPr>
            <w:r>
              <w:rPr>
                <w:rFonts w:cs="Arial"/>
                <w:sz w:val="20"/>
                <w:szCs w:val="20"/>
              </w:rPr>
              <w:t>Apricot products/</w:t>
            </w:r>
          </w:p>
          <w:p w:rsidR="00FE7F6D" w:rsidRPr="00065A40" w:rsidRDefault="00F84FF3" w:rsidP="002916C3">
            <w:pPr>
              <w:rPr>
                <w:rFonts w:cs="Arial"/>
                <w:b w:val="0"/>
                <w:sz w:val="20"/>
                <w:szCs w:val="20"/>
              </w:rPr>
            </w:pPr>
            <w:r>
              <w:rPr>
                <w:rFonts w:cs="Arial"/>
                <w:sz w:val="20"/>
                <w:szCs w:val="20"/>
              </w:rPr>
              <w:t>Products containing apricot kernels</w:t>
            </w:r>
          </w:p>
        </w:tc>
        <w:tc>
          <w:tcPr>
            <w:tcW w:w="1701" w:type="dxa"/>
            <w:tcBorders>
              <w:left w:val="none" w:sz="0" w:space="0" w:color="auto"/>
              <w:right w:val="none" w:sz="0" w:space="0" w:color="auto"/>
            </w:tcBorders>
          </w:tcPr>
          <w:p w:rsidR="00FE7F6D" w:rsidRPr="00065A40" w:rsidRDefault="00F84FF3" w:rsidP="002916C3">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37</w:t>
            </w:r>
          </w:p>
        </w:tc>
        <w:tc>
          <w:tcPr>
            <w:tcW w:w="5351" w:type="dxa"/>
            <w:tcBorders>
              <w:left w:val="none" w:sz="0" w:space="0" w:color="auto"/>
            </w:tcBorders>
          </w:tcPr>
          <w:p w:rsidR="00FE7F6D" w:rsidRDefault="00F84FF3" w:rsidP="002916C3">
            <w:pP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Amaretti biscuits</w:t>
            </w:r>
          </w:p>
          <w:p w:rsidR="00F84FF3" w:rsidRDefault="00F84FF3" w:rsidP="002916C3">
            <w:pP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Almond fin</w:t>
            </w:r>
            <w:r w:rsidR="009F47B3">
              <w:rPr>
                <w:rFonts w:cs="Arial"/>
                <w:sz w:val="20"/>
                <w:szCs w:val="20"/>
              </w:rPr>
              <w:t>gers/</w:t>
            </w:r>
            <w:r>
              <w:rPr>
                <w:rFonts w:cs="Arial"/>
                <w:sz w:val="20"/>
                <w:szCs w:val="20"/>
              </w:rPr>
              <w:t>apple fingers</w:t>
            </w:r>
          </w:p>
          <w:p w:rsidR="00F84FF3" w:rsidRDefault="00F84FF3" w:rsidP="002916C3">
            <w:pP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Apricot jam</w:t>
            </w:r>
          </w:p>
          <w:p w:rsidR="00F84FF3" w:rsidRPr="00065A40" w:rsidRDefault="00F84FF3" w:rsidP="002916C3">
            <w:pP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Apricot nectar</w:t>
            </w:r>
          </w:p>
        </w:tc>
      </w:tr>
      <w:tr w:rsidR="00FE7F6D" w:rsidRPr="00065A40" w:rsidTr="001F3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none" w:sz="0" w:space="0" w:color="auto"/>
            </w:tcBorders>
          </w:tcPr>
          <w:p w:rsidR="00FE7F6D" w:rsidRPr="00065A40" w:rsidRDefault="00F754C9" w:rsidP="002916C3">
            <w:pPr>
              <w:rPr>
                <w:rFonts w:cs="Arial"/>
                <w:sz w:val="20"/>
                <w:szCs w:val="20"/>
              </w:rPr>
            </w:pPr>
            <w:r>
              <w:rPr>
                <w:rFonts w:cs="Arial"/>
                <w:sz w:val="20"/>
                <w:szCs w:val="20"/>
              </w:rPr>
              <w:t>Apple</w:t>
            </w:r>
            <w:r w:rsidR="00FE7F6D" w:rsidRPr="00065A40">
              <w:rPr>
                <w:rFonts w:cs="Arial"/>
                <w:sz w:val="20"/>
                <w:szCs w:val="20"/>
              </w:rPr>
              <w:t xml:space="preserve"> products</w:t>
            </w:r>
          </w:p>
        </w:tc>
        <w:tc>
          <w:tcPr>
            <w:tcW w:w="1701" w:type="dxa"/>
            <w:tcBorders>
              <w:left w:val="none" w:sz="0" w:space="0" w:color="auto"/>
              <w:right w:val="none" w:sz="0" w:space="0" w:color="auto"/>
            </w:tcBorders>
          </w:tcPr>
          <w:p w:rsidR="00FE7F6D" w:rsidRPr="00065A40" w:rsidRDefault="00F84FF3" w:rsidP="002916C3">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8</w:t>
            </w:r>
          </w:p>
        </w:tc>
        <w:tc>
          <w:tcPr>
            <w:tcW w:w="5351" w:type="dxa"/>
            <w:tcBorders>
              <w:left w:val="none" w:sz="0" w:space="0" w:color="auto"/>
            </w:tcBorders>
          </w:tcPr>
          <w:p w:rsidR="00FE7F6D" w:rsidRPr="00065A40" w:rsidRDefault="00F84FF3" w:rsidP="00D05ADB">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Infant apple puree</w:t>
            </w:r>
          </w:p>
        </w:tc>
      </w:tr>
      <w:tr w:rsidR="00F84FF3" w:rsidRPr="00065A40" w:rsidTr="001F31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none" w:sz="0" w:space="0" w:color="auto"/>
            </w:tcBorders>
          </w:tcPr>
          <w:p w:rsidR="00F84FF3" w:rsidRDefault="00F84FF3" w:rsidP="002916C3">
            <w:pPr>
              <w:rPr>
                <w:rFonts w:cs="Arial"/>
                <w:sz w:val="20"/>
                <w:szCs w:val="20"/>
              </w:rPr>
            </w:pPr>
            <w:r>
              <w:rPr>
                <w:rFonts w:cs="Arial"/>
                <w:sz w:val="20"/>
                <w:szCs w:val="20"/>
              </w:rPr>
              <w:t>Cassava</w:t>
            </w:r>
          </w:p>
        </w:tc>
        <w:tc>
          <w:tcPr>
            <w:tcW w:w="1701" w:type="dxa"/>
            <w:tcBorders>
              <w:left w:val="none" w:sz="0" w:space="0" w:color="auto"/>
              <w:right w:val="none" w:sz="0" w:space="0" w:color="auto"/>
            </w:tcBorders>
          </w:tcPr>
          <w:p w:rsidR="00F84FF3" w:rsidRPr="00065A40" w:rsidRDefault="00F84FF3" w:rsidP="002916C3">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9</w:t>
            </w:r>
          </w:p>
        </w:tc>
        <w:tc>
          <w:tcPr>
            <w:tcW w:w="5351" w:type="dxa"/>
            <w:tcBorders>
              <w:left w:val="none" w:sz="0" w:space="0" w:color="auto"/>
            </w:tcBorders>
          </w:tcPr>
          <w:p w:rsidR="00F84FF3" w:rsidRPr="00065A40" w:rsidRDefault="00F84FF3" w:rsidP="002D2572">
            <w:pP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 xml:space="preserve">Frozen cassava </w:t>
            </w:r>
            <w:r w:rsidR="002D2572">
              <w:rPr>
                <w:rFonts w:cs="Arial"/>
                <w:sz w:val="20"/>
                <w:szCs w:val="20"/>
              </w:rPr>
              <w:t>roots</w:t>
            </w:r>
          </w:p>
        </w:tc>
      </w:tr>
      <w:tr w:rsidR="00FE7F6D" w:rsidRPr="00065A40" w:rsidTr="001F3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none" w:sz="0" w:space="0" w:color="auto"/>
            </w:tcBorders>
          </w:tcPr>
          <w:p w:rsidR="00FE7F6D" w:rsidRPr="00065A40" w:rsidRDefault="00FE7F6D" w:rsidP="002916C3">
            <w:pPr>
              <w:rPr>
                <w:rFonts w:cs="Arial"/>
                <w:sz w:val="20"/>
                <w:szCs w:val="20"/>
              </w:rPr>
            </w:pPr>
            <w:r>
              <w:rPr>
                <w:rFonts w:cs="Arial"/>
                <w:sz w:val="20"/>
                <w:szCs w:val="20"/>
              </w:rPr>
              <w:t>Linseed/f</w:t>
            </w:r>
            <w:r w:rsidRPr="00065A40">
              <w:rPr>
                <w:rFonts w:cs="Arial"/>
                <w:sz w:val="20"/>
                <w:szCs w:val="20"/>
              </w:rPr>
              <w:t>laxseed</w:t>
            </w:r>
            <w:r w:rsidR="00974815">
              <w:rPr>
                <w:rFonts w:cs="Arial"/>
                <w:sz w:val="20"/>
                <w:szCs w:val="20"/>
              </w:rPr>
              <w:t xml:space="preserve"> products</w:t>
            </w:r>
          </w:p>
        </w:tc>
        <w:tc>
          <w:tcPr>
            <w:tcW w:w="1701" w:type="dxa"/>
            <w:tcBorders>
              <w:left w:val="none" w:sz="0" w:space="0" w:color="auto"/>
              <w:right w:val="none" w:sz="0" w:space="0" w:color="auto"/>
            </w:tcBorders>
          </w:tcPr>
          <w:p w:rsidR="00FE7F6D" w:rsidRPr="00065A40" w:rsidRDefault="00F84FF3" w:rsidP="002916C3">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w:t>
            </w:r>
          </w:p>
        </w:tc>
        <w:tc>
          <w:tcPr>
            <w:tcW w:w="5351" w:type="dxa"/>
            <w:tcBorders>
              <w:left w:val="none" w:sz="0" w:space="0" w:color="auto"/>
            </w:tcBorders>
          </w:tcPr>
          <w:p w:rsidR="00FE7F6D" w:rsidRPr="00065A40" w:rsidRDefault="006E1FE2" w:rsidP="00D05ADB">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Bread containing linseed</w:t>
            </w:r>
            <w:r w:rsidR="00FE7F6D">
              <w:rPr>
                <w:rFonts w:cs="Arial"/>
                <w:sz w:val="20"/>
                <w:szCs w:val="20"/>
              </w:rPr>
              <w:t xml:space="preserve"> </w:t>
            </w:r>
          </w:p>
        </w:tc>
      </w:tr>
      <w:tr w:rsidR="00FE7F6D" w:rsidRPr="00065A40" w:rsidTr="001F31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none" w:sz="0" w:space="0" w:color="auto"/>
            </w:tcBorders>
          </w:tcPr>
          <w:p w:rsidR="00FE7F6D" w:rsidRPr="00065A40" w:rsidRDefault="00F84FF3" w:rsidP="002916C3">
            <w:pPr>
              <w:rPr>
                <w:rFonts w:cs="Arial"/>
                <w:sz w:val="20"/>
                <w:szCs w:val="20"/>
              </w:rPr>
            </w:pPr>
            <w:r>
              <w:rPr>
                <w:rFonts w:cs="Arial"/>
                <w:sz w:val="20"/>
                <w:szCs w:val="20"/>
              </w:rPr>
              <w:t>Bamboo shoots</w:t>
            </w:r>
          </w:p>
        </w:tc>
        <w:tc>
          <w:tcPr>
            <w:tcW w:w="1701" w:type="dxa"/>
            <w:tcBorders>
              <w:left w:val="none" w:sz="0" w:space="0" w:color="auto"/>
              <w:right w:val="none" w:sz="0" w:space="0" w:color="auto"/>
            </w:tcBorders>
          </w:tcPr>
          <w:p w:rsidR="00FE7F6D" w:rsidRPr="00065A40" w:rsidRDefault="00F84FF3" w:rsidP="002916C3">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3</w:t>
            </w:r>
          </w:p>
        </w:tc>
        <w:tc>
          <w:tcPr>
            <w:tcW w:w="5351" w:type="dxa"/>
            <w:tcBorders>
              <w:left w:val="none" w:sz="0" w:space="0" w:color="auto"/>
            </w:tcBorders>
          </w:tcPr>
          <w:p w:rsidR="00FE7F6D" w:rsidRPr="00065A40" w:rsidRDefault="00F84FF3" w:rsidP="002916C3">
            <w:pP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Fresh and frozen bamboo shoots</w:t>
            </w:r>
          </w:p>
        </w:tc>
      </w:tr>
      <w:tr w:rsidR="00FE7F6D" w:rsidRPr="00065A40" w:rsidTr="001F3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none" w:sz="0" w:space="0" w:color="auto"/>
            </w:tcBorders>
          </w:tcPr>
          <w:p w:rsidR="00FE7F6D" w:rsidRPr="00065A40" w:rsidRDefault="00FE7F6D" w:rsidP="002916C3">
            <w:pPr>
              <w:rPr>
                <w:rFonts w:cs="Arial"/>
                <w:sz w:val="20"/>
                <w:szCs w:val="20"/>
              </w:rPr>
            </w:pPr>
            <w:r>
              <w:rPr>
                <w:rFonts w:cs="Arial"/>
                <w:sz w:val="20"/>
                <w:szCs w:val="20"/>
              </w:rPr>
              <w:t>Total number of samples</w:t>
            </w:r>
          </w:p>
        </w:tc>
        <w:tc>
          <w:tcPr>
            <w:tcW w:w="1701" w:type="dxa"/>
            <w:tcBorders>
              <w:left w:val="none" w:sz="0" w:space="0" w:color="auto"/>
              <w:right w:val="none" w:sz="0" w:space="0" w:color="auto"/>
            </w:tcBorders>
          </w:tcPr>
          <w:p w:rsidR="00FE7F6D" w:rsidRPr="00147D7B" w:rsidRDefault="00F84FF3" w:rsidP="002916C3">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Pr>
                <w:rFonts w:cs="Arial"/>
                <w:b/>
                <w:sz w:val="20"/>
                <w:szCs w:val="20"/>
              </w:rPr>
              <w:t>88</w:t>
            </w:r>
          </w:p>
        </w:tc>
        <w:tc>
          <w:tcPr>
            <w:tcW w:w="5351" w:type="dxa"/>
            <w:tcBorders>
              <w:left w:val="none" w:sz="0" w:space="0" w:color="auto"/>
            </w:tcBorders>
          </w:tcPr>
          <w:p w:rsidR="00FE7F6D" w:rsidRPr="00065A40" w:rsidRDefault="00FE7F6D" w:rsidP="002916C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bl>
    <w:p w:rsidR="00621281" w:rsidRDefault="00621281" w:rsidP="000C175B">
      <w:pPr>
        <w:jc w:val="center"/>
        <w:rPr>
          <w:rFonts w:cs="Arial"/>
          <w:szCs w:val="22"/>
        </w:rPr>
      </w:pPr>
    </w:p>
    <w:p w:rsidR="00D66D51" w:rsidRDefault="00D66D51" w:rsidP="000C175B">
      <w:pPr>
        <w:jc w:val="center"/>
        <w:rPr>
          <w:rFonts w:cs="Arial"/>
          <w:szCs w:val="22"/>
        </w:rPr>
      </w:pPr>
      <w:r>
        <w:rPr>
          <w:rFonts w:cs="Arial"/>
          <w:noProof/>
          <w:szCs w:val="22"/>
          <w:lang w:val="en-GB" w:eastAsia="en-GB"/>
        </w:rPr>
        <w:drawing>
          <wp:inline distT="0" distB="0" distL="0" distR="0" wp14:anchorId="01CB6B86" wp14:editId="73E89552">
            <wp:extent cx="2987400" cy="1912567"/>
            <wp:effectExtent l="19050" t="19050" r="2286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l="3659" t="17683" r="9902" b="8536"/>
                    <a:stretch/>
                  </pic:blipFill>
                  <pic:spPr bwMode="auto">
                    <a:xfrm>
                      <a:off x="0" y="0"/>
                      <a:ext cx="2987400" cy="1912567"/>
                    </a:xfrm>
                    <a:prstGeom prst="rect">
                      <a:avLst/>
                    </a:prstGeom>
                    <a:noFill/>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Pr>
          <w:noProof/>
          <w:color w:val="000000"/>
          <w:sz w:val="19"/>
          <w:szCs w:val="19"/>
          <w:lang w:val="en-GB" w:eastAsia="en-GB"/>
        </w:rPr>
        <w:drawing>
          <wp:inline distT="0" distB="0" distL="0" distR="0" wp14:anchorId="3CB559FC" wp14:editId="1449F83C">
            <wp:extent cx="2978435" cy="1906828"/>
            <wp:effectExtent l="19050" t="19050" r="12700" b="17780"/>
            <wp:docPr id="6" name="Picture 6" descr="Hulled bitter apricot ker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lled bitter apricot kernels"/>
                    <pic:cNvPicPr>
                      <a:picLocks noChangeAspect="1" noChangeArrowheads="1"/>
                    </pic:cNvPicPr>
                  </pic:nvPicPr>
                  <pic:blipFill rotWithShape="1">
                    <a:blip r:embed="rId24">
                      <a:extLst>
                        <a:ext uri="{28A0092B-C50C-407E-A947-70E740481C1C}">
                          <a14:useLocalDpi xmlns:a14="http://schemas.microsoft.com/office/drawing/2010/main" val="0"/>
                        </a:ext>
                      </a:extLst>
                    </a:blip>
                    <a:srcRect t="11060"/>
                    <a:stretch/>
                  </pic:blipFill>
                  <pic:spPr bwMode="auto">
                    <a:xfrm>
                      <a:off x="0" y="0"/>
                      <a:ext cx="2986433" cy="1911949"/>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rsidR="00D66D51" w:rsidRDefault="00D66D51" w:rsidP="00EE4365">
      <w:pPr>
        <w:rPr>
          <w:rFonts w:cs="Arial"/>
          <w:szCs w:val="22"/>
        </w:rPr>
      </w:pPr>
    </w:p>
    <w:p w:rsidR="00D66D51" w:rsidRPr="00D66D51" w:rsidRDefault="00D66D51" w:rsidP="000C175B">
      <w:pPr>
        <w:jc w:val="center"/>
        <w:rPr>
          <w:rFonts w:asciiTheme="minorHAnsi" w:hAnsiTheme="minorHAnsi" w:cs="Arial"/>
          <w:b/>
          <w:i/>
          <w:szCs w:val="22"/>
        </w:rPr>
      </w:pPr>
      <w:r w:rsidRPr="00D66D51">
        <w:rPr>
          <w:rFonts w:asciiTheme="minorHAnsi" w:hAnsiTheme="minorHAnsi" w:cs="Arial"/>
          <w:b/>
          <w:i/>
          <w:szCs w:val="22"/>
        </w:rPr>
        <w:t xml:space="preserve">Figure </w:t>
      </w:r>
      <w:r w:rsidR="00BC320E">
        <w:rPr>
          <w:rFonts w:asciiTheme="minorHAnsi" w:hAnsiTheme="minorHAnsi" w:cs="Arial"/>
          <w:b/>
          <w:i/>
          <w:szCs w:val="22"/>
        </w:rPr>
        <w:t>3</w:t>
      </w:r>
      <w:r w:rsidRPr="00D66D51">
        <w:rPr>
          <w:rFonts w:asciiTheme="minorHAnsi" w:hAnsiTheme="minorHAnsi" w:cs="Arial"/>
          <w:b/>
          <w:i/>
          <w:szCs w:val="22"/>
        </w:rPr>
        <w:t>: Examples of apricot kernels with and without skin</w:t>
      </w:r>
    </w:p>
    <w:p w:rsidR="00EE4365" w:rsidRPr="00B05B51" w:rsidRDefault="00C90DC0" w:rsidP="000B47BF">
      <w:pPr>
        <w:pStyle w:val="Heading2"/>
      </w:pPr>
      <w:bookmarkStart w:id="57" w:name="_Toc338160499"/>
      <w:bookmarkStart w:id="58" w:name="_Toc338161743"/>
      <w:bookmarkStart w:id="59" w:name="_Toc367957643"/>
      <w:bookmarkStart w:id="60" w:name="_Toc384293493"/>
      <w:r>
        <w:t>3.2</w:t>
      </w:r>
      <w:r>
        <w:tab/>
      </w:r>
      <w:r w:rsidR="00EE4365" w:rsidRPr="00B05B51">
        <w:t>Sample preparation</w:t>
      </w:r>
      <w:bookmarkEnd w:id="57"/>
      <w:bookmarkEnd w:id="58"/>
      <w:bookmarkEnd w:id="59"/>
      <w:bookmarkEnd w:id="60"/>
    </w:p>
    <w:p w:rsidR="00D26ACF" w:rsidRDefault="00D26ACF" w:rsidP="00EE4365">
      <w:pPr>
        <w:rPr>
          <w:rFonts w:cs="Arial"/>
          <w:szCs w:val="22"/>
        </w:rPr>
      </w:pPr>
    </w:p>
    <w:p w:rsidR="000E0889" w:rsidRDefault="00974815" w:rsidP="00EE4365">
      <w:pPr>
        <w:rPr>
          <w:rFonts w:cs="Arial"/>
          <w:szCs w:val="22"/>
        </w:rPr>
      </w:pPr>
      <w:r>
        <w:rPr>
          <w:rFonts w:cs="Arial"/>
          <w:szCs w:val="22"/>
        </w:rPr>
        <w:t>S</w:t>
      </w:r>
      <w:r w:rsidR="000E0889">
        <w:rPr>
          <w:rFonts w:cs="Arial"/>
          <w:szCs w:val="22"/>
        </w:rPr>
        <w:t xml:space="preserve">amples </w:t>
      </w:r>
      <w:r>
        <w:rPr>
          <w:rFonts w:cs="Arial"/>
          <w:szCs w:val="22"/>
        </w:rPr>
        <w:t xml:space="preserve">of fresh foods </w:t>
      </w:r>
      <w:r w:rsidR="003C54B1">
        <w:rPr>
          <w:rFonts w:cs="Arial"/>
          <w:szCs w:val="22"/>
        </w:rPr>
        <w:t xml:space="preserve">(including apple juice) </w:t>
      </w:r>
      <w:r w:rsidR="000E0889">
        <w:rPr>
          <w:rFonts w:cs="Arial"/>
          <w:szCs w:val="22"/>
        </w:rPr>
        <w:t>were frozen or assayed immediately to avoid break-down of cyanogenic glycosides by endogenous enzymes. Solid samples were homogenised in a blender.</w:t>
      </w:r>
    </w:p>
    <w:p w:rsidR="00FC358C" w:rsidRDefault="00FC358C" w:rsidP="00EE4365">
      <w:pPr>
        <w:rPr>
          <w:rFonts w:cs="Arial"/>
          <w:szCs w:val="22"/>
        </w:rPr>
      </w:pPr>
    </w:p>
    <w:p w:rsidR="00FC358C" w:rsidRDefault="00553CEC" w:rsidP="00EE4365">
      <w:pPr>
        <w:rPr>
          <w:rFonts w:cs="Arial"/>
          <w:szCs w:val="22"/>
        </w:rPr>
      </w:pPr>
      <w:r>
        <w:rPr>
          <w:rFonts w:cs="Arial"/>
          <w:szCs w:val="22"/>
        </w:rPr>
        <w:t>In</w:t>
      </w:r>
      <w:r w:rsidR="008405AF">
        <w:rPr>
          <w:rFonts w:cs="Arial"/>
          <w:szCs w:val="22"/>
        </w:rPr>
        <w:t xml:space="preserve"> Survey 3, c</w:t>
      </w:r>
      <w:r w:rsidR="00FC358C">
        <w:rPr>
          <w:rFonts w:cs="Arial"/>
          <w:szCs w:val="22"/>
        </w:rPr>
        <w:t xml:space="preserve">assava </w:t>
      </w:r>
      <w:r w:rsidR="002D2572">
        <w:rPr>
          <w:rFonts w:cs="Arial"/>
          <w:szCs w:val="22"/>
        </w:rPr>
        <w:t>roots</w:t>
      </w:r>
      <w:r w:rsidR="00FC358C">
        <w:rPr>
          <w:rFonts w:cs="Arial"/>
          <w:szCs w:val="22"/>
        </w:rPr>
        <w:t xml:space="preserve"> and bamboo shoots were analysed in both their raw and cooked states.</w:t>
      </w:r>
      <w:r w:rsidR="00974815">
        <w:rPr>
          <w:rFonts w:cs="Arial"/>
          <w:szCs w:val="22"/>
        </w:rPr>
        <w:t xml:space="preserve"> All samples of cassava roots </w:t>
      </w:r>
      <w:r w:rsidR="00602710">
        <w:rPr>
          <w:rFonts w:cs="Arial"/>
          <w:szCs w:val="22"/>
        </w:rPr>
        <w:t xml:space="preserve">were purchased ready peeled. </w:t>
      </w:r>
      <w:r w:rsidR="00E3576B">
        <w:rPr>
          <w:rFonts w:cs="Arial"/>
          <w:szCs w:val="22"/>
        </w:rPr>
        <w:t xml:space="preserve">The </w:t>
      </w:r>
      <w:r w:rsidR="00FC358C">
        <w:rPr>
          <w:rFonts w:cs="Arial"/>
          <w:szCs w:val="22"/>
        </w:rPr>
        <w:t xml:space="preserve">frozen </w:t>
      </w:r>
      <w:r w:rsidR="002D2572">
        <w:rPr>
          <w:rFonts w:cs="Arial"/>
          <w:szCs w:val="22"/>
        </w:rPr>
        <w:t>roots</w:t>
      </w:r>
      <w:r w:rsidR="00FC358C">
        <w:rPr>
          <w:rFonts w:cs="Arial"/>
          <w:szCs w:val="22"/>
        </w:rPr>
        <w:t xml:space="preserve"> were cut to a standard size of approximately 10 cm in length and 4cm in width.</w:t>
      </w:r>
      <w:r w:rsidR="00E774D8">
        <w:rPr>
          <w:rFonts w:cs="Arial"/>
          <w:szCs w:val="22"/>
        </w:rPr>
        <w:t xml:space="preserve"> </w:t>
      </w:r>
      <w:r w:rsidR="00FC358C">
        <w:rPr>
          <w:rFonts w:cs="Arial"/>
          <w:szCs w:val="22"/>
        </w:rPr>
        <w:t xml:space="preserve">Groups of three samples of frozen cassava pieces were cooked by either steaming </w:t>
      </w:r>
      <w:r w:rsidR="00FC358C" w:rsidRPr="00FC358C">
        <w:rPr>
          <w:rFonts w:cs="Arial"/>
          <w:szCs w:val="22"/>
        </w:rPr>
        <w:t xml:space="preserve">(washed and soaked for </w:t>
      </w:r>
      <w:r w:rsidR="00FC358C" w:rsidRPr="00FC358C">
        <w:rPr>
          <w:rFonts w:cs="Arial"/>
          <w:szCs w:val="22"/>
        </w:rPr>
        <w:lastRenderedPageBreak/>
        <w:t>two hours and then steamed for 20-25 minutes or until tender), boiling (20-25 minutes or until tender) or frying (sliced into 1-1.5 cm strips and then fried for 15 minutes in a deep fryer at 180ºC or until golden brown and tender).</w:t>
      </w:r>
      <w:r w:rsidR="00974815">
        <w:rPr>
          <w:rFonts w:cs="Arial"/>
          <w:szCs w:val="22"/>
        </w:rPr>
        <w:t xml:space="preserve"> </w:t>
      </w:r>
      <w:r w:rsidR="00F64BC5">
        <w:rPr>
          <w:rFonts w:cs="Arial"/>
          <w:szCs w:val="22"/>
        </w:rPr>
        <w:t>F</w:t>
      </w:r>
      <w:r w:rsidR="00FC358C">
        <w:rPr>
          <w:rFonts w:cs="Arial"/>
          <w:szCs w:val="22"/>
        </w:rPr>
        <w:t xml:space="preserve">resh or frozen </w:t>
      </w:r>
      <w:r w:rsidR="00974815">
        <w:rPr>
          <w:rFonts w:cs="Arial"/>
          <w:szCs w:val="22"/>
        </w:rPr>
        <w:t xml:space="preserve">samples of bamboo </w:t>
      </w:r>
      <w:r w:rsidR="00FC358C">
        <w:rPr>
          <w:rFonts w:cs="Arial"/>
          <w:szCs w:val="22"/>
        </w:rPr>
        <w:t xml:space="preserve">shoots were </w:t>
      </w:r>
      <w:r w:rsidR="00FC358C" w:rsidRPr="00FC358C">
        <w:rPr>
          <w:rFonts w:cs="Arial"/>
          <w:szCs w:val="22"/>
        </w:rPr>
        <w:t>cut lengthwise into two equal portions</w:t>
      </w:r>
      <w:r w:rsidR="00FC358C">
        <w:rPr>
          <w:rFonts w:cs="Arial"/>
          <w:szCs w:val="22"/>
        </w:rPr>
        <w:t xml:space="preserve"> and one portion was cooked by</w:t>
      </w:r>
      <w:r w:rsidR="00FC358C" w:rsidRPr="00FC358C">
        <w:rPr>
          <w:rFonts w:cs="Arial"/>
          <w:szCs w:val="22"/>
        </w:rPr>
        <w:t xml:space="preserve"> boiling </w:t>
      </w:r>
      <w:r w:rsidR="00FC358C">
        <w:rPr>
          <w:rFonts w:cs="Arial"/>
          <w:szCs w:val="22"/>
        </w:rPr>
        <w:t xml:space="preserve">for </w:t>
      </w:r>
      <w:r w:rsidR="00FC358C" w:rsidRPr="00FC358C">
        <w:rPr>
          <w:rFonts w:cs="Arial"/>
          <w:szCs w:val="22"/>
        </w:rPr>
        <w:t>approximately one hour or until tender</w:t>
      </w:r>
      <w:r w:rsidR="00FC358C">
        <w:rPr>
          <w:rFonts w:cs="Arial"/>
          <w:szCs w:val="22"/>
        </w:rPr>
        <w:t>.</w:t>
      </w:r>
      <w:r w:rsidR="009B2680">
        <w:rPr>
          <w:rFonts w:cs="Arial"/>
          <w:szCs w:val="22"/>
        </w:rPr>
        <w:t xml:space="preserve"> </w:t>
      </w:r>
      <w:r w:rsidR="009B2680" w:rsidRPr="00117FDB">
        <w:rPr>
          <w:rFonts w:cs="Arial"/>
          <w:szCs w:val="22"/>
        </w:rPr>
        <w:t xml:space="preserve">See Appendix </w:t>
      </w:r>
      <w:r w:rsidR="00117FDB" w:rsidRPr="00117FDB">
        <w:rPr>
          <w:rFonts w:cs="Arial"/>
          <w:szCs w:val="22"/>
        </w:rPr>
        <w:t>2</w:t>
      </w:r>
      <w:r w:rsidR="009B2680">
        <w:rPr>
          <w:rFonts w:cs="Arial"/>
          <w:szCs w:val="22"/>
        </w:rPr>
        <w:t xml:space="preserve"> for </w:t>
      </w:r>
      <w:r w:rsidR="00974815">
        <w:rPr>
          <w:rFonts w:cs="Arial"/>
          <w:szCs w:val="22"/>
        </w:rPr>
        <w:t xml:space="preserve">further </w:t>
      </w:r>
      <w:r w:rsidR="00644734">
        <w:rPr>
          <w:rFonts w:cs="Arial"/>
          <w:szCs w:val="22"/>
        </w:rPr>
        <w:t xml:space="preserve">details on </w:t>
      </w:r>
      <w:r w:rsidR="00AE74D6">
        <w:rPr>
          <w:rFonts w:cs="Arial"/>
          <w:szCs w:val="22"/>
        </w:rPr>
        <w:t xml:space="preserve">the </w:t>
      </w:r>
      <w:r w:rsidR="00644734">
        <w:rPr>
          <w:rFonts w:cs="Arial"/>
          <w:szCs w:val="22"/>
        </w:rPr>
        <w:t>food preparation instructions</w:t>
      </w:r>
      <w:r w:rsidR="00AE74D6">
        <w:rPr>
          <w:rFonts w:cs="Arial"/>
          <w:szCs w:val="22"/>
        </w:rPr>
        <w:t xml:space="preserve"> given to ESR for </w:t>
      </w:r>
      <w:r w:rsidR="00974815">
        <w:rPr>
          <w:rFonts w:cs="Arial"/>
          <w:szCs w:val="22"/>
        </w:rPr>
        <w:t>cassava roots and bamboo shoots</w:t>
      </w:r>
      <w:r w:rsidR="009B2680">
        <w:rPr>
          <w:rFonts w:cs="Arial"/>
          <w:szCs w:val="22"/>
        </w:rPr>
        <w:t>.</w:t>
      </w:r>
    </w:p>
    <w:p w:rsidR="000E0889" w:rsidRDefault="000E0889" w:rsidP="00EE4365">
      <w:pPr>
        <w:rPr>
          <w:rFonts w:cs="Arial"/>
          <w:szCs w:val="22"/>
        </w:rPr>
      </w:pPr>
    </w:p>
    <w:p w:rsidR="00EE4365" w:rsidRPr="00B05B51" w:rsidRDefault="00C90DC0" w:rsidP="000B47BF">
      <w:pPr>
        <w:pStyle w:val="Heading2"/>
      </w:pPr>
      <w:bookmarkStart w:id="61" w:name="_Toc338160500"/>
      <w:bookmarkStart w:id="62" w:name="_Toc338161744"/>
      <w:bookmarkStart w:id="63" w:name="_Toc367957644"/>
      <w:bookmarkStart w:id="64" w:name="_Toc384293494"/>
      <w:r>
        <w:t>3.3</w:t>
      </w:r>
      <w:r>
        <w:tab/>
      </w:r>
      <w:r w:rsidR="00EE4365" w:rsidRPr="00B05B51">
        <w:t>Analysis</w:t>
      </w:r>
      <w:bookmarkEnd w:id="61"/>
      <w:bookmarkEnd w:id="62"/>
      <w:bookmarkEnd w:id="63"/>
      <w:bookmarkEnd w:id="64"/>
    </w:p>
    <w:p w:rsidR="007E3C88" w:rsidRDefault="007E3C88" w:rsidP="007E3C88">
      <w:pPr>
        <w:pStyle w:val="Heading3"/>
      </w:pPr>
      <w:bookmarkStart w:id="65" w:name="_Toc369091870"/>
      <w:bookmarkStart w:id="66" w:name="_Toc384293495"/>
      <w:r>
        <w:t>3.3.1</w:t>
      </w:r>
      <w:r>
        <w:tab/>
        <w:t>Analytical method</w:t>
      </w:r>
      <w:bookmarkEnd w:id="65"/>
      <w:r>
        <w:t>s</w:t>
      </w:r>
      <w:bookmarkEnd w:id="66"/>
    </w:p>
    <w:p w:rsidR="00D26ACF" w:rsidRDefault="00D26ACF" w:rsidP="00EE4365">
      <w:pPr>
        <w:rPr>
          <w:rFonts w:cs="Arial"/>
          <w:szCs w:val="22"/>
        </w:rPr>
      </w:pPr>
    </w:p>
    <w:p w:rsidR="0050592A" w:rsidRDefault="005E3458" w:rsidP="00EE4365">
      <w:pPr>
        <w:rPr>
          <w:rFonts w:cs="Arial"/>
          <w:szCs w:val="22"/>
        </w:rPr>
      </w:pPr>
      <w:r>
        <w:rPr>
          <w:rFonts w:cs="Arial"/>
          <w:szCs w:val="22"/>
        </w:rPr>
        <w:t xml:space="preserve">ESR was engaged to analyse </w:t>
      </w:r>
      <w:r w:rsidR="0027513A">
        <w:rPr>
          <w:rFonts w:cs="Arial"/>
          <w:szCs w:val="22"/>
        </w:rPr>
        <w:t xml:space="preserve">total </w:t>
      </w:r>
      <w:r w:rsidR="00ED016C">
        <w:rPr>
          <w:rFonts w:cs="Arial"/>
          <w:szCs w:val="22"/>
        </w:rPr>
        <w:t>HCN</w:t>
      </w:r>
      <w:r w:rsidR="003C54B1">
        <w:rPr>
          <w:rFonts w:cs="Arial"/>
          <w:szCs w:val="22"/>
        </w:rPr>
        <w:t xml:space="preserve"> in </w:t>
      </w:r>
      <w:r>
        <w:rPr>
          <w:rFonts w:cs="Arial"/>
          <w:szCs w:val="22"/>
        </w:rPr>
        <w:t xml:space="preserve">the samples </w:t>
      </w:r>
      <w:r w:rsidR="003C54B1">
        <w:rPr>
          <w:rFonts w:cs="Arial"/>
          <w:szCs w:val="22"/>
        </w:rPr>
        <w:t xml:space="preserve">by acid hydrolysis of extracted cyanogens, followed by colourimetric determination (Haque and Bradbury, 2002). </w:t>
      </w:r>
      <w:r w:rsidR="003C54B1" w:rsidRPr="003C54B1">
        <w:rPr>
          <w:rFonts w:cs="Arial"/>
          <w:szCs w:val="22"/>
        </w:rPr>
        <w:t xml:space="preserve">The analysis of cyanogens </w:t>
      </w:r>
      <w:r w:rsidR="002B6C04">
        <w:rPr>
          <w:rFonts w:cs="Arial"/>
          <w:szCs w:val="22"/>
        </w:rPr>
        <w:t xml:space="preserve">using this method </w:t>
      </w:r>
      <w:r w:rsidR="003C54B1" w:rsidRPr="003C54B1">
        <w:rPr>
          <w:rFonts w:cs="Arial"/>
          <w:szCs w:val="22"/>
        </w:rPr>
        <w:t>involve</w:t>
      </w:r>
      <w:r w:rsidR="003C54B1">
        <w:rPr>
          <w:rFonts w:cs="Arial"/>
          <w:szCs w:val="22"/>
        </w:rPr>
        <w:t>d</w:t>
      </w:r>
      <w:r w:rsidR="003C54B1" w:rsidRPr="003C54B1">
        <w:rPr>
          <w:rFonts w:cs="Arial"/>
          <w:szCs w:val="22"/>
        </w:rPr>
        <w:t xml:space="preserve"> three steps</w:t>
      </w:r>
      <w:r w:rsidR="00313B65">
        <w:rPr>
          <w:rFonts w:cs="Arial"/>
          <w:szCs w:val="22"/>
        </w:rPr>
        <w:t>:</w:t>
      </w:r>
      <w:r w:rsidR="003C54B1" w:rsidRPr="003C54B1">
        <w:rPr>
          <w:rFonts w:cs="Arial"/>
          <w:szCs w:val="22"/>
        </w:rPr>
        <w:t xml:space="preserve"> (i) extraction from the foodstuff</w:t>
      </w:r>
      <w:r w:rsidR="00313B65">
        <w:rPr>
          <w:rFonts w:cs="Arial"/>
          <w:szCs w:val="22"/>
        </w:rPr>
        <w:t>;</w:t>
      </w:r>
      <w:r w:rsidR="003C54B1" w:rsidRPr="003C54B1">
        <w:rPr>
          <w:rFonts w:cs="Arial"/>
          <w:szCs w:val="22"/>
        </w:rPr>
        <w:t xml:space="preserve"> (ii) hydrolysis of cyanogenic compounds to cyanide</w:t>
      </w:r>
      <w:r w:rsidR="00313B65">
        <w:rPr>
          <w:rFonts w:cs="Arial"/>
          <w:szCs w:val="22"/>
        </w:rPr>
        <w:t>;</w:t>
      </w:r>
      <w:r w:rsidR="003C54B1" w:rsidRPr="003C54B1">
        <w:rPr>
          <w:rFonts w:cs="Arial"/>
          <w:szCs w:val="22"/>
        </w:rPr>
        <w:t xml:space="preserve"> and (iii) </w:t>
      </w:r>
      <w:r w:rsidR="003C54B1">
        <w:rPr>
          <w:rFonts w:cs="Arial"/>
          <w:szCs w:val="22"/>
        </w:rPr>
        <w:t xml:space="preserve">colourimetric </w:t>
      </w:r>
      <w:r w:rsidR="003C54B1" w:rsidRPr="003C54B1">
        <w:rPr>
          <w:rFonts w:cs="Arial"/>
          <w:szCs w:val="22"/>
        </w:rPr>
        <w:t xml:space="preserve">analysis of cyanide. </w:t>
      </w:r>
      <w:r w:rsidR="00EE4365" w:rsidRPr="00B05B51">
        <w:rPr>
          <w:rFonts w:cs="Arial"/>
          <w:szCs w:val="22"/>
        </w:rPr>
        <w:t xml:space="preserve">This method </w:t>
      </w:r>
      <w:r w:rsidR="00575A89">
        <w:rPr>
          <w:rFonts w:cs="Arial"/>
          <w:szCs w:val="22"/>
        </w:rPr>
        <w:t>has also been</w:t>
      </w:r>
      <w:r w:rsidR="00EE4365" w:rsidRPr="00B05B51">
        <w:rPr>
          <w:rFonts w:cs="Arial"/>
          <w:szCs w:val="22"/>
        </w:rPr>
        <w:t xml:space="preserve"> used in </w:t>
      </w:r>
      <w:r w:rsidR="00575A89">
        <w:rPr>
          <w:rFonts w:cs="Arial"/>
          <w:szCs w:val="22"/>
        </w:rPr>
        <w:t xml:space="preserve">another </w:t>
      </w:r>
      <w:r w:rsidR="0050592A">
        <w:rPr>
          <w:rFonts w:cs="Arial"/>
          <w:szCs w:val="22"/>
        </w:rPr>
        <w:t xml:space="preserve">New Zealand </w:t>
      </w:r>
      <w:r w:rsidR="003C54B1">
        <w:rPr>
          <w:rFonts w:cs="Arial"/>
          <w:szCs w:val="22"/>
        </w:rPr>
        <w:t xml:space="preserve">survey </w:t>
      </w:r>
      <w:r w:rsidR="0050592A">
        <w:rPr>
          <w:rFonts w:cs="Arial"/>
          <w:szCs w:val="22"/>
        </w:rPr>
        <w:t xml:space="preserve">of RTE cassava chips, also conducted by ESR in 2011 </w:t>
      </w:r>
      <w:r w:rsidR="0050592A" w:rsidRPr="008A56B8">
        <w:rPr>
          <w:rFonts w:cs="Arial"/>
          <w:szCs w:val="22"/>
        </w:rPr>
        <w:t>(</w:t>
      </w:r>
      <w:r w:rsidR="007C679A" w:rsidRPr="008A56B8">
        <w:rPr>
          <w:rFonts w:cs="Arial"/>
          <w:szCs w:val="22"/>
        </w:rPr>
        <w:t>ESR</w:t>
      </w:r>
      <w:r w:rsidR="0050592A" w:rsidRPr="008A56B8">
        <w:rPr>
          <w:rFonts w:cs="Arial"/>
          <w:szCs w:val="22"/>
        </w:rPr>
        <w:t>, 2011</w:t>
      </w:r>
      <w:r w:rsidR="003B65E6">
        <w:rPr>
          <w:rFonts w:cs="Arial"/>
          <w:szCs w:val="22"/>
        </w:rPr>
        <w:t xml:space="preserve"> - unpublished</w:t>
      </w:r>
      <w:r w:rsidR="0050592A">
        <w:rPr>
          <w:rFonts w:cs="Arial"/>
          <w:szCs w:val="22"/>
        </w:rPr>
        <w:t>)</w:t>
      </w:r>
      <w:r w:rsidR="00EE4365" w:rsidRPr="00B05B51">
        <w:rPr>
          <w:rFonts w:cs="Arial"/>
          <w:szCs w:val="22"/>
        </w:rPr>
        <w:t xml:space="preserve">. </w:t>
      </w:r>
    </w:p>
    <w:p w:rsidR="007E3C88" w:rsidRDefault="007E3C88" w:rsidP="007E3C88">
      <w:pPr>
        <w:rPr>
          <w:rFonts w:cs="Arial"/>
          <w:szCs w:val="22"/>
        </w:rPr>
      </w:pPr>
    </w:p>
    <w:p w:rsidR="00695912" w:rsidRDefault="007E3C88" w:rsidP="00695912">
      <w:r>
        <w:rPr>
          <w:rFonts w:cs="Arial"/>
          <w:szCs w:val="22"/>
        </w:rPr>
        <w:t>ESR was subsequently engaged to reanalyse a small number of samples (</w:t>
      </w:r>
      <w:r w:rsidR="00313B65">
        <w:rPr>
          <w:rFonts w:cs="Arial"/>
          <w:szCs w:val="22"/>
        </w:rPr>
        <w:t>i.e.</w:t>
      </w:r>
      <w:r>
        <w:rPr>
          <w:rFonts w:cs="Arial"/>
          <w:szCs w:val="22"/>
        </w:rPr>
        <w:t xml:space="preserve"> apple juice and infant apple puree</w:t>
      </w:r>
      <w:r w:rsidR="006E22C1">
        <w:rPr>
          <w:rFonts w:cs="Arial"/>
          <w:szCs w:val="22"/>
        </w:rPr>
        <w:t>)</w:t>
      </w:r>
      <w:r>
        <w:rPr>
          <w:rFonts w:cs="Arial"/>
          <w:szCs w:val="22"/>
        </w:rPr>
        <w:t xml:space="preserve"> using an </w:t>
      </w:r>
      <w:r w:rsidRPr="002B6C04">
        <w:rPr>
          <w:rFonts w:cs="Arial"/>
          <w:szCs w:val="22"/>
        </w:rPr>
        <w:t xml:space="preserve">alternative method of analysis agreed by the EU </w:t>
      </w:r>
      <w:r w:rsidR="00E10D18">
        <w:rPr>
          <w:rFonts w:cs="Arial"/>
          <w:szCs w:val="22"/>
        </w:rPr>
        <w:t xml:space="preserve">in 2012 </w:t>
      </w:r>
      <w:r w:rsidRPr="002B6C04">
        <w:rPr>
          <w:rFonts w:cs="Arial"/>
          <w:szCs w:val="22"/>
        </w:rPr>
        <w:t>as a standardised method for animal feeding materials (Animal feeding stuffs – Determination of hydrocyanic acid by HPLC. EN 16160:2012</w:t>
      </w:r>
      <w:r w:rsidR="00412308">
        <w:rPr>
          <w:rFonts w:cs="Arial"/>
          <w:szCs w:val="22"/>
        </w:rPr>
        <w:t>) (European Committee for Standardization, 2012</w:t>
      </w:r>
      <w:r w:rsidRPr="002B6C04">
        <w:rPr>
          <w:rFonts w:cs="Arial"/>
          <w:szCs w:val="22"/>
        </w:rPr>
        <w:t>). This method involve</w:t>
      </w:r>
      <w:r>
        <w:rPr>
          <w:rFonts w:cs="Arial"/>
          <w:szCs w:val="22"/>
        </w:rPr>
        <w:t>d</w:t>
      </w:r>
      <w:r w:rsidRPr="002B6C04">
        <w:rPr>
          <w:rFonts w:cs="Arial"/>
          <w:szCs w:val="22"/>
        </w:rPr>
        <w:t xml:space="preserve"> enzymatic hydrolysis of cyanogenic glycosides, distillation of cyanide, derivatisation and HPLC determination of the derivatised cyanide</w:t>
      </w:r>
      <w:r w:rsidR="00C12A1E">
        <w:rPr>
          <w:rFonts w:cs="Arial"/>
          <w:szCs w:val="22"/>
        </w:rPr>
        <w:t>.</w:t>
      </w:r>
    </w:p>
    <w:p w:rsidR="006E22C1" w:rsidRDefault="006E22C1" w:rsidP="006E22C1">
      <w:pPr>
        <w:pStyle w:val="Heading3"/>
      </w:pPr>
      <w:bookmarkStart w:id="67" w:name="_Toc384293496"/>
      <w:r>
        <w:t>3.3.</w:t>
      </w:r>
      <w:r w:rsidR="00861F0F">
        <w:t>2</w:t>
      </w:r>
      <w:r>
        <w:tab/>
        <w:t>Application of analytical methods to various foods</w:t>
      </w:r>
      <w:bookmarkEnd w:id="67"/>
    </w:p>
    <w:p w:rsidR="006E22C1" w:rsidRDefault="006E22C1" w:rsidP="007E3C88">
      <w:pPr>
        <w:rPr>
          <w:rFonts w:cs="Arial"/>
          <w:szCs w:val="22"/>
        </w:rPr>
      </w:pPr>
    </w:p>
    <w:p w:rsidR="007E3C88" w:rsidRDefault="007E3C88" w:rsidP="007E3C88">
      <w:pPr>
        <w:rPr>
          <w:rFonts w:cs="Arial"/>
          <w:szCs w:val="22"/>
        </w:rPr>
      </w:pPr>
      <w:r w:rsidRPr="00934591">
        <w:rPr>
          <w:rFonts w:cs="Arial"/>
          <w:szCs w:val="22"/>
        </w:rPr>
        <w:t>Analyses were carried out on the normal edible portion of the food. Specifically, analysis of canned foods was carried out on the drained contents, with the exception of the canned palusami (taro leaves in coconut cream)</w:t>
      </w:r>
      <w:r>
        <w:rPr>
          <w:rFonts w:cs="Arial"/>
          <w:szCs w:val="22"/>
        </w:rPr>
        <w:t>. T</w:t>
      </w:r>
      <w:r w:rsidRPr="00934591">
        <w:rPr>
          <w:rFonts w:cs="Arial"/>
          <w:szCs w:val="22"/>
        </w:rPr>
        <w:t>he edible flesh of the passionfruit was analysed with the skin being discarded</w:t>
      </w:r>
      <w:r>
        <w:rPr>
          <w:rFonts w:cs="Arial"/>
          <w:szCs w:val="22"/>
        </w:rPr>
        <w:t>. Cooked cassava and bamboo shoots were analysed after draining off the cooking water/frying oil</w:t>
      </w:r>
      <w:r w:rsidRPr="00934591">
        <w:rPr>
          <w:rFonts w:cs="Arial"/>
          <w:szCs w:val="22"/>
        </w:rPr>
        <w:t>. All other foods were analysed as 100% of the sample as received.</w:t>
      </w:r>
      <w:r>
        <w:rPr>
          <w:rFonts w:cs="Arial"/>
          <w:szCs w:val="22"/>
        </w:rPr>
        <w:t xml:space="preserve">  </w:t>
      </w:r>
    </w:p>
    <w:p w:rsidR="007E3C88" w:rsidRDefault="007E3C88" w:rsidP="007E3C88">
      <w:pPr>
        <w:rPr>
          <w:rFonts w:cs="Arial"/>
          <w:szCs w:val="22"/>
        </w:rPr>
      </w:pPr>
    </w:p>
    <w:p w:rsidR="007E3C88" w:rsidRDefault="007E3C88" w:rsidP="007E3C88">
      <w:pPr>
        <w:rPr>
          <w:rFonts w:cs="Arial"/>
          <w:szCs w:val="22"/>
        </w:rPr>
      </w:pPr>
      <w:r>
        <w:rPr>
          <w:rFonts w:cs="Arial"/>
          <w:szCs w:val="22"/>
        </w:rPr>
        <w:t>For Survey 1 and 2, each food and beverage was analysed individually for HCN. For Survey 3, the majority of foods were analysed as individual samples, however, m</w:t>
      </w:r>
      <w:r w:rsidRPr="00FF46BE">
        <w:rPr>
          <w:rFonts w:cs="Arial"/>
          <w:szCs w:val="22"/>
        </w:rPr>
        <w:t>ultiple retail samples were analysed as one composite sample</w:t>
      </w:r>
      <w:r>
        <w:rPr>
          <w:rFonts w:cs="Arial"/>
          <w:szCs w:val="22"/>
        </w:rPr>
        <w:t xml:space="preserve"> for amaretti biscuits, a</w:t>
      </w:r>
      <w:r w:rsidRPr="00FF46BE">
        <w:rPr>
          <w:rFonts w:cs="Arial"/>
          <w:szCs w:val="22"/>
        </w:rPr>
        <w:t>lmond fingers/apple fingers</w:t>
      </w:r>
      <w:r>
        <w:rPr>
          <w:rFonts w:cs="Arial"/>
          <w:szCs w:val="22"/>
        </w:rPr>
        <w:t xml:space="preserve"> and apricot jam. </w:t>
      </w:r>
    </w:p>
    <w:p w:rsidR="007E3C88" w:rsidRDefault="007E3C88" w:rsidP="007E3C88">
      <w:pPr>
        <w:rPr>
          <w:rFonts w:cs="Arial"/>
          <w:szCs w:val="22"/>
        </w:rPr>
      </w:pPr>
    </w:p>
    <w:p w:rsidR="007E3C88" w:rsidRDefault="007E3C88" w:rsidP="007E3C88">
      <w:pPr>
        <w:pStyle w:val="Heading3"/>
      </w:pPr>
      <w:bookmarkStart w:id="68" w:name="_Toc384293497"/>
      <w:r>
        <w:t>3.3.</w:t>
      </w:r>
      <w:r w:rsidR="00861F0F">
        <w:t>3</w:t>
      </w:r>
      <w:r>
        <w:tab/>
        <w:t>Method comments</w:t>
      </w:r>
      <w:bookmarkEnd w:id="68"/>
    </w:p>
    <w:p w:rsidR="007E3C88" w:rsidRDefault="007E3C88" w:rsidP="002B6C04">
      <w:pPr>
        <w:rPr>
          <w:rFonts w:cs="Arial"/>
          <w:szCs w:val="22"/>
        </w:rPr>
      </w:pPr>
    </w:p>
    <w:p w:rsidR="002B6C04" w:rsidRPr="002B6C04" w:rsidRDefault="002B6C04" w:rsidP="002B6C04">
      <w:pPr>
        <w:rPr>
          <w:rFonts w:cs="Arial"/>
          <w:szCs w:val="22"/>
        </w:rPr>
      </w:pPr>
      <w:r w:rsidRPr="002B6C04">
        <w:rPr>
          <w:rFonts w:cs="Arial"/>
          <w:szCs w:val="22"/>
        </w:rPr>
        <w:t xml:space="preserve">The EU </w:t>
      </w:r>
      <w:r w:rsidR="007E3C88">
        <w:rPr>
          <w:rFonts w:cs="Arial"/>
          <w:szCs w:val="22"/>
        </w:rPr>
        <w:t xml:space="preserve">HPLC </w:t>
      </w:r>
      <w:r w:rsidRPr="002B6C04">
        <w:rPr>
          <w:rFonts w:cs="Arial"/>
          <w:szCs w:val="22"/>
        </w:rPr>
        <w:t xml:space="preserve">method </w:t>
      </w:r>
      <w:r w:rsidR="00E10D18">
        <w:rPr>
          <w:rFonts w:cs="Arial"/>
          <w:szCs w:val="22"/>
        </w:rPr>
        <w:t xml:space="preserve">for HCN analysis </w:t>
      </w:r>
      <w:r w:rsidRPr="002B6C04">
        <w:rPr>
          <w:rFonts w:cs="Arial"/>
          <w:szCs w:val="22"/>
        </w:rPr>
        <w:t>was found to be more sensitive, accurate and reliable than other methods being used in Australasia and, in particular, to have superior performance characteristics in the following areas:</w:t>
      </w:r>
    </w:p>
    <w:p w:rsidR="002B6C04" w:rsidRPr="002B6C04" w:rsidRDefault="002B6C04" w:rsidP="002B6C04">
      <w:pPr>
        <w:rPr>
          <w:rFonts w:cs="Arial"/>
          <w:szCs w:val="22"/>
        </w:rPr>
      </w:pPr>
    </w:p>
    <w:p w:rsidR="002B6C04" w:rsidRDefault="002B6C04" w:rsidP="002B6C04">
      <w:pPr>
        <w:pStyle w:val="ListParagraph"/>
        <w:numPr>
          <w:ilvl w:val="0"/>
          <w:numId w:val="25"/>
        </w:numPr>
        <w:rPr>
          <w:rFonts w:ascii="Arial" w:hAnsi="Arial" w:cs="Arial"/>
        </w:rPr>
      </w:pPr>
      <w:r>
        <w:rPr>
          <w:rFonts w:ascii="Arial" w:hAnsi="Arial" w:cs="Arial"/>
        </w:rPr>
        <w:t>Sensitivity – t</w:t>
      </w:r>
      <w:r w:rsidRPr="00D9331C">
        <w:rPr>
          <w:rFonts w:ascii="Arial" w:hAnsi="Arial" w:cs="Arial"/>
        </w:rPr>
        <w:t>he method is highly sensitive</w:t>
      </w:r>
      <w:r>
        <w:rPr>
          <w:rFonts w:ascii="Arial" w:hAnsi="Arial" w:cs="Arial"/>
        </w:rPr>
        <w:t xml:space="preserve">, leading to substantially lower </w:t>
      </w:r>
      <w:r w:rsidR="00E10D18">
        <w:rPr>
          <w:rFonts w:ascii="Arial" w:hAnsi="Arial" w:cs="Arial"/>
        </w:rPr>
        <w:t>limit of detections (</w:t>
      </w:r>
      <w:r>
        <w:rPr>
          <w:rFonts w:ascii="Arial" w:hAnsi="Arial" w:cs="Arial"/>
        </w:rPr>
        <w:t>LoDs</w:t>
      </w:r>
      <w:r w:rsidR="00E10D18">
        <w:rPr>
          <w:rFonts w:ascii="Arial" w:hAnsi="Arial" w:cs="Arial"/>
        </w:rPr>
        <w:t>)</w:t>
      </w:r>
      <w:r w:rsidRPr="00D9331C">
        <w:rPr>
          <w:rFonts w:ascii="Arial" w:hAnsi="Arial" w:cs="Arial"/>
        </w:rPr>
        <w:t xml:space="preserve"> and</w:t>
      </w:r>
      <w:r>
        <w:rPr>
          <w:rFonts w:ascii="Arial" w:hAnsi="Arial" w:cs="Arial"/>
        </w:rPr>
        <w:t>, as such, it is</w:t>
      </w:r>
      <w:r w:rsidRPr="00D9331C">
        <w:rPr>
          <w:rFonts w:ascii="Arial" w:hAnsi="Arial" w:cs="Arial"/>
        </w:rPr>
        <w:t xml:space="preserve"> recommended for testing of samples containing total HCN concentrations </w:t>
      </w:r>
      <w:r w:rsidR="001F2636">
        <w:rPr>
          <w:rFonts w:ascii="Arial" w:hAnsi="Arial" w:cs="Arial"/>
        </w:rPr>
        <w:t xml:space="preserve">up to about </w:t>
      </w:r>
      <w:r>
        <w:rPr>
          <w:rFonts w:ascii="Arial" w:hAnsi="Arial" w:cs="Arial"/>
        </w:rPr>
        <w:t>10</w:t>
      </w:r>
      <w:r w:rsidRPr="00D9331C">
        <w:rPr>
          <w:rFonts w:ascii="Arial" w:hAnsi="Arial" w:cs="Arial"/>
        </w:rPr>
        <w:t xml:space="preserve"> mg HCN/kg </w:t>
      </w:r>
    </w:p>
    <w:p w:rsidR="00861F0F" w:rsidRDefault="00861F0F" w:rsidP="00861F0F">
      <w:pPr>
        <w:pStyle w:val="ListParagraph"/>
        <w:rPr>
          <w:rFonts w:ascii="Arial" w:hAnsi="Arial" w:cs="Arial"/>
        </w:rPr>
      </w:pPr>
    </w:p>
    <w:p w:rsidR="002B6C04" w:rsidRDefault="002B6C04" w:rsidP="002B6C04">
      <w:pPr>
        <w:pStyle w:val="ListParagraph"/>
        <w:numPr>
          <w:ilvl w:val="0"/>
          <w:numId w:val="25"/>
        </w:numPr>
        <w:rPr>
          <w:rFonts w:ascii="Arial" w:hAnsi="Arial" w:cs="Arial"/>
        </w:rPr>
      </w:pPr>
      <w:r>
        <w:rPr>
          <w:rFonts w:ascii="Arial" w:hAnsi="Arial" w:cs="Arial"/>
        </w:rPr>
        <w:t>Specificity – the method is highly specific to HCN, in contrast to the acid hydrolysis method which might give a positive response with certain non-HCN chemical species</w:t>
      </w:r>
    </w:p>
    <w:p w:rsidR="00861F0F" w:rsidRPr="00861F0F" w:rsidRDefault="00861F0F" w:rsidP="00861F0F">
      <w:pPr>
        <w:rPr>
          <w:rFonts w:cs="Arial"/>
        </w:rPr>
      </w:pPr>
    </w:p>
    <w:p w:rsidR="002B6C04" w:rsidRDefault="002B6C04" w:rsidP="002B6C04">
      <w:pPr>
        <w:pStyle w:val="ListParagraph"/>
        <w:numPr>
          <w:ilvl w:val="0"/>
          <w:numId w:val="25"/>
        </w:numPr>
        <w:rPr>
          <w:rFonts w:ascii="Arial" w:hAnsi="Arial" w:cs="Arial"/>
        </w:rPr>
      </w:pPr>
      <w:r>
        <w:rPr>
          <w:rFonts w:ascii="Arial" w:hAnsi="Arial" w:cs="Arial"/>
        </w:rPr>
        <w:t>Validation – it is the only cyanide method where an appropriate inter-laboratory assessment has been carried out and reported.</w:t>
      </w:r>
    </w:p>
    <w:p w:rsidR="002B6C04" w:rsidRDefault="002B6C04" w:rsidP="002B6C04">
      <w:pPr>
        <w:rPr>
          <w:rFonts w:cs="Arial"/>
          <w:szCs w:val="22"/>
        </w:rPr>
      </w:pPr>
    </w:p>
    <w:p w:rsidR="007257E6" w:rsidRDefault="002B6C04" w:rsidP="002B6C04">
      <w:pPr>
        <w:rPr>
          <w:rFonts w:cs="Arial"/>
          <w:szCs w:val="22"/>
        </w:rPr>
      </w:pPr>
      <w:r w:rsidRPr="00EA7576">
        <w:rPr>
          <w:rFonts w:cs="Arial"/>
          <w:szCs w:val="22"/>
        </w:rPr>
        <w:t xml:space="preserve">There was poor agreement between results for apple juice samples analysed by the two different methods, suggesting that the acid hydrolysis method </w:t>
      </w:r>
      <w:r>
        <w:rPr>
          <w:rFonts w:cs="Arial"/>
          <w:szCs w:val="22"/>
        </w:rPr>
        <w:t xml:space="preserve">was not </w:t>
      </w:r>
      <w:r w:rsidRPr="00EA7576">
        <w:rPr>
          <w:rFonts w:cs="Arial"/>
          <w:szCs w:val="22"/>
        </w:rPr>
        <w:t>appropriate for the measurement of very low HCN concentrations</w:t>
      </w:r>
      <w:r>
        <w:rPr>
          <w:rFonts w:cs="Arial"/>
          <w:szCs w:val="22"/>
        </w:rPr>
        <w:t>, as detected in apple juice and infant apple puree</w:t>
      </w:r>
      <w:r w:rsidRPr="00EA7576">
        <w:rPr>
          <w:rFonts w:cs="Arial"/>
          <w:szCs w:val="22"/>
        </w:rPr>
        <w:t xml:space="preserve">. </w:t>
      </w:r>
    </w:p>
    <w:p w:rsidR="007257E6" w:rsidRDefault="007257E6" w:rsidP="002B6C04">
      <w:pPr>
        <w:rPr>
          <w:rFonts w:cs="Arial"/>
          <w:szCs w:val="22"/>
        </w:rPr>
      </w:pPr>
    </w:p>
    <w:p w:rsidR="004E3C9B" w:rsidRDefault="002B6C04" w:rsidP="002B6C04">
      <w:pPr>
        <w:rPr>
          <w:rFonts w:cs="Arial"/>
          <w:szCs w:val="22"/>
        </w:rPr>
      </w:pPr>
      <w:r>
        <w:rPr>
          <w:rFonts w:cs="Arial"/>
          <w:szCs w:val="22"/>
        </w:rPr>
        <w:t>However, the acid hydrolysis method is still considered robust for the concentration range of the majority of samples in the surveys</w:t>
      </w:r>
      <w:r w:rsidR="00044578">
        <w:rPr>
          <w:rFonts w:cs="Arial"/>
          <w:szCs w:val="22"/>
        </w:rPr>
        <w:t>, with results for samples such as apricot kernels</w:t>
      </w:r>
      <w:r w:rsidR="00F84B0D">
        <w:rPr>
          <w:rFonts w:cs="Arial"/>
          <w:szCs w:val="22"/>
        </w:rPr>
        <w:t xml:space="preserve"> (which were found to have very high concentrations of HCN </w:t>
      </w:r>
      <w:r w:rsidR="00F84B0D">
        <w:rPr>
          <w:rFonts w:ascii="Times New Roman" w:hAnsi="Times New Roman"/>
          <w:szCs w:val="22"/>
        </w:rPr>
        <w:t>—</w:t>
      </w:r>
      <w:r w:rsidR="00F84B0D">
        <w:rPr>
          <w:rFonts w:cs="Arial"/>
          <w:szCs w:val="22"/>
        </w:rPr>
        <w:t>see Section 4.3.1)</w:t>
      </w:r>
      <w:r w:rsidR="00044578">
        <w:rPr>
          <w:rFonts w:cs="Arial"/>
          <w:szCs w:val="22"/>
        </w:rPr>
        <w:t xml:space="preserve">, cassava roots and bamboo shoots being </w:t>
      </w:r>
      <w:r w:rsidR="00044578" w:rsidRPr="00044578">
        <w:rPr>
          <w:rFonts w:cs="Arial"/>
          <w:szCs w:val="22"/>
        </w:rPr>
        <w:t>consistent within the survey and with results reported from other studies.</w:t>
      </w:r>
      <w:r w:rsidR="00F84B0D">
        <w:rPr>
          <w:rFonts w:cs="Arial"/>
          <w:szCs w:val="22"/>
        </w:rPr>
        <w:t xml:space="preserve"> </w:t>
      </w:r>
      <w:r w:rsidR="003353F3">
        <w:rPr>
          <w:rFonts w:cs="Arial"/>
          <w:szCs w:val="22"/>
        </w:rPr>
        <w:t xml:space="preserve">Further, for each of the three surveys, a proportion of samples were analysed in duplicate and matrix spike recovery tests were carried out on various food matrices, in line with ESR analytical quality control. </w:t>
      </w:r>
      <w:r w:rsidR="007257E6">
        <w:rPr>
          <w:rFonts w:cs="Arial"/>
          <w:szCs w:val="22"/>
        </w:rPr>
        <w:t xml:space="preserve">For the EU HPLC method to be used for samples </w:t>
      </w:r>
      <w:r w:rsidR="003353F3">
        <w:rPr>
          <w:rFonts w:cs="Arial"/>
          <w:szCs w:val="22"/>
        </w:rPr>
        <w:t>with high concentrations of HCN such as</w:t>
      </w:r>
      <w:r w:rsidR="007257E6">
        <w:rPr>
          <w:rFonts w:cs="Arial"/>
          <w:szCs w:val="22"/>
        </w:rPr>
        <w:t xml:space="preserve"> apricot kernels, extracts would need to be diluted significantly to bring them within the working concentration range of this method</w:t>
      </w:r>
      <w:r w:rsidR="003353F3">
        <w:rPr>
          <w:rFonts w:cs="Arial"/>
          <w:szCs w:val="22"/>
        </w:rPr>
        <w:t>.</w:t>
      </w:r>
      <w:r w:rsidR="004E3C9B">
        <w:rPr>
          <w:rFonts w:cs="Arial"/>
          <w:szCs w:val="22"/>
        </w:rPr>
        <w:t xml:space="preserve"> </w:t>
      </w:r>
    </w:p>
    <w:p w:rsidR="002B6C04" w:rsidRDefault="002B6C04" w:rsidP="002B6C04">
      <w:pPr>
        <w:rPr>
          <w:rFonts w:cs="Arial"/>
          <w:szCs w:val="22"/>
        </w:rPr>
      </w:pPr>
    </w:p>
    <w:p w:rsidR="007E3C88" w:rsidRDefault="007E3C88" w:rsidP="007E3C88">
      <w:pPr>
        <w:pStyle w:val="Heading3"/>
      </w:pPr>
      <w:bookmarkStart w:id="69" w:name="_Toc384293498"/>
      <w:r>
        <w:t>3.3.</w:t>
      </w:r>
      <w:r w:rsidR="00861F0F">
        <w:t>4</w:t>
      </w:r>
      <w:r>
        <w:tab/>
        <w:t>Limits of detection</w:t>
      </w:r>
      <w:r w:rsidR="000F1A27">
        <w:t xml:space="preserve"> (LoD</w:t>
      </w:r>
      <w:r w:rsidR="004154E3">
        <w:t>s</w:t>
      </w:r>
      <w:r w:rsidR="000F1A27">
        <w:t>)</w:t>
      </w:r>
      <w:bookmarkEnd w:id="69"/>
    </w:p>
    <w:p w:rsidR="007E3C88" w:rsidRDefault="007E3C88" w:rsidP="002B6C04">
      <w:pPr>
        <w:rPr>
          <w:rFonts w:cs="Arial"/>
          <w:szCs w:val="22"/>
        </w:rPr>
      </w:pPr>
    </w:p>
    <w:p w:rsidR="002E5E06" w:rsidRDefault="002F6FA0" w:rsidP="00EE4365">
      <w:pPr>
        <w:rPr>
          <w:rFonts w:cs="Arial"/>
          <w:szCs w:val="22"/>
        </w:rPr>
      </w:pPr>
      <w:r>
        <w:rPr>
          <w:rFonts w:cs="Arial"/>
          <w:szCs w:val="22"/>
        </w:rPr>
        <w:t>For Surveys 1, 2 and 3</w:t>
      </w:r>
      <w:r w:rsidR="002E5E06">
        <w:rPr>
          <w:rFonts w:cs="Arial"/>
          <w:szCs w:val="22"/>
        </w:rPr>
        <w:t>, t</w:t>
      </w:r>
      <w:r w:rsidR="007E3C88">
        <w:rPr>
          <w:rFonts w:cs="Arial"/>
          <w:szCs w:val="22"/>
        </w:rPr>
        <w:t xml:space="preserve">he LoDs for single and duplicate analyses using the acid hydrolysis method </w:t>
      </w:r>
      <w:r w:rsidR="002E5E06">
        <w:rPr>
          <w:rFonts w:cs="Arial"/>
          <w:szCs w:val="22"/>
        </w:rPr>
        <w:t>were different. The LoDs for duplicate analyses were lower than those for single analyses.</w:t>
      </w:r>
    </w:p>
    <w:p w:rsidR="002E5E06" w:rsidRDefault="002E5E06" w:rsidP="00EE4365">
      <w:pPr>
        <w:rPr>
          <w:rFonts w:cs="Arial"/>
          <w:szCs w:val="22"/>
        </w:rPr>
      </w:pPr>
    </w:p>
    <w:p w:rsidR="007E3C88" w:rsidRDefault="002E5E06" w:rsidP="00EE4365">
      <w:pPr>
        <w:rPr>
          <w:rFonts w:cs="Arial"/>
          <w:szCs w:val="22"/>
        </w:rPr>
      </w:pPr>
      <w:r>
        <w:rPr>
          <w:rFonts w:cs="Arial"/>
          <w:szCs w:val="22"/>
        </w:rPr>
        <w:t xml:space="preserve">LoDs using the acid hydrolysis method also </w:t>
      </w:r>
      <w:r w:rsidR="007E3C88">
        <w:rPr>
          <w:rFonts w:cs="Arial"/>
          <w:szCs w:val="22"/>
        </w:rPr>
        <w:t xml:space="preserve">differed across the three surveys. This is also the case with the LoDs </w:t>
      </w:r>
      <w:r w:rsidR="006E22C1">
        <w:rPr>
          <w:rFonts w:cs="Arial"/>
          <w:szCs w:val="22"/>
        </w:rPr>
        <w:t xml:space="preserve">achieved </w:t>
      </w:r>
      <w:r w:rsidR="007E3C88">
        <w:rPr>
          <w:rFonts w:cs="Arial"/>
          <w:szCs w:val="22"/>
        </w:rPr>
        <w:t>using the EU HPLC method</w:t>
      </w:r>
      <w:r w:rsidR="006E22C1">
        <w:rPr>
          <w:rFonts w:cs="Arial"/>
          <w:szCs w:val="22"/>
        </w:rPr>
        <w:t xml:space="preserve"> in the reanalysis of apple juice (from Survey 2) and infant apple puree (from Survey 3)</w:t>
      </w:r>
      <w:r w:rsidR="007E3C88">
        <w:rPr>
          <w:rFonts w:cs="Arial"/>
          <w:szCs w:val="22"/>
        </w:rPr>
        <w:t>.</w:t>
      </w:r>
      <w:r w:rsidR="006E22C1">
        <w:rPr>
          <w:rFonts w:cs="Arial"/>
          <w:szCs w:val="22"/>
        </w:rPr>
        <w:t xml:space="preserve"> A summary of the LoDs </w:t>
      </w:r>
      <w:r>
        <w:rPr>
          <w:rFonts w:cs="Arial"/>
          <w:szCs w:val="22"/>
        </w:rPr>
        <w:t>achieved in</w:t>
      </w:r>
      <w:r w:rsidR="006E22C1">
        <w:rPr>
          <w:rFonts w:cs="Arial"/>
          <w:szCs w:val="22"/>
        </w:rPr>
        <w:t xml:space="preserve"> the three surveys and</w:t>
      </w:r>
      <w:r>
        <w:rPr>
          <w:rFonts w:cs="Arial"/>
          <w:szCs w:val="22"/>
        </w:rPr>
        <w:t xml:space="preserve"> for the</w:t>
      </w:r>
      <w:r w:rsidR="006E22C1">
        <w:rPr>
          <w:rFonts w:cs="Arial"/>
          <w:szCs w:val="22"/>
        </w:rPr>
        <w:t xml:space="preserve"> two analytical methods is provided in Table 5.</w:t>
      </w:r>
    </w:p>
    <w:p w:rsidR="007E3C88" w:rsidRDefault="007E3C88" w:rsidP="00EE4365">
      <w:pPr>
        <w:rPr>
          <w:rFonts w:cs="Arial"/>
          <w:szCs w:val="22"/>
        </w:rPr>
      </w:pPr>
      <w:r>
        <w:rPr>
          <w:rFonts w:cs="Arial"/>
          <w:szCs w:val="22"/>
        </w:rPr>
        <w:t xml:space="preserve"> </w:t>
      </w:r>
    </w:p>
    <w:p w:rsidR="00EE4365" w:rsidRDefault="002E5E06" w:rsidP="00EE4365">
      <w:pPr>
        <w:rPr>
          <w:rFonts w:cs="Arial"/>
          <w:szCs w:val="22"/>
        </w:rPr>
      </w:pPr>
      <w:r>
        <w:rPr>
          <w:rFonts w:cs="Arial"/>
          <w:szCs w:val="22"/>
        </w:rPr>
        <w:t xml:space="preserve">As the LoDs for single and duplicate analyses differed within each survey, </w:t>
      </w:r>
      <w:r w:rsidR="002B244C">
        <w:rPr>
          <w:rFonts w:cs="Arial"/>
          <w:szCs w:val="22"/>
        </w:rPr>
        <w:t xml:space="preserve">for </w:t>
      </w:r>
      <w:r w:rsidR="00FF46BE">
        <w:rPr>
          <w:rFonts w:cs="Arial"/>
          <w:szCs w:val="22"/>
        </w:rPr>
        <w:t>some individual foods within some food types</w:t>
      </w:r>
      <w:r w:rsidR="002B244C">
        <w:rPr>
          <w:rFonts w:cs="Arial"/>
          <w:szCs w:val="22"/>
        </w:rPr>
        <w:t xml:space="preserve">, the </w:t>
      </w:r>
      <w:r w:rsidR="00FF46BE">
        <w:rPr>
          <w:rFonts w:cs="Arial"/>
          <w:szCs w:val="22"/>
        </w:rPr>
        <w:t>LoD</w:t>
      </w:r>
      <w:r w:rsidR="002B244C">
        <w:rPr>
          <w:rFonts w:cs="Arial"/>
          <w:szCs w:val="22"/>
        </w:rPr>
        <w:t xml:space="preserve"> varied</w:t>
      </w:r>
      <w:r w:rsidR="00FF46BE">
        <w:rPr>
          <w:rFonts w:cs="Arial"/>
          <w:szCs w:val="22"/>
        </w:rPr>
        <w:t xml:space="preserve">. For example, in Survey 1, </w:t>
      </w:r>
      <w:r w:rsidR="00FF46BE" w:rsidRPr="00FF46BE">
        <w:rPr>
          <w:rFonts w:cs="Arial"/>
          <w:szCs w:val="22"/>
        </w:rPr>
        <w:t>‘apple juice’ was made up of 8 primary purchase samples. Within these 8 samples there were two different L</w:t>
      </w:r>
      <w:r w:rsidR="00FF46BE">
        <w:rPr>
          <w:rFonts w:cs="Arial"/>
          <w:szCs w:val="22"/>
        </w:rPr>
        <w:t>o</w:t>
      </w:r>
      <w:r w:rsidR="00FF46BE" w:rsidRPr="00FF46BE">
        <w:rPr>
          <w:rFonts w:cs="Arial"/>
          <w:szCs w:val="22"/>
        </w:rPr>
        <w:t>Ds</w:t>
      </w:r>
      <w:r w:rsidR="00FF46BE">
        <w:rPr>
          <w:rFonts w:cs="Arial"/>
          <w:szCs w:val="22"/>
        </w:rPr>
        <w:t>:</w:t>
      </w:r>
      <w:r w:rsidR="00FF46BE" w:rsidRPr="00FF46BE">
        <w:rPr>
          <w:rFonts w:cs="Arial"/>
          <w:szCs w:val="22"/>
        </w:rPr>
        <w:t xml:space="preserve"> 3 mg</w:t>
      </w:r>
      <w:r w:rsidR="00FF46BE">
        <w:rPr>
          <w:rFonts w:cs="Arial"/>
          <w:szCs w:val="22"/>
        </w:rPr>
        <w:t xml:space="preserve"> HCN</w:t>
      </w:r>
      <w:r w:rsidR="00FF46BE" w:rsidRPr="00FF46BE">
        <w:rPr>
          <w:rFonts w:cs="Arial"/>
          <w:szCs w:val="22"/>
        </w:rPr>
        <w:t>/kg (for duplicate analyses) and 4 mg</w:t>
      </w:r>
      <w:r w:rsidR="00FF46BE">
        <w:rPr>
          <w:rFonts w:cs="Arial"/>
          <w:szCs w:val="22"/>
        </w:rPr>
        <w:t xml:space="preserve"> HCN</w:t>
      </w:r>
      <w:r w:rsidR="00FF46BE" w:rsidRPr="00FF46BE">
        <w:rPr>
          <w:rFonts w:cs="Arial"/>
          <w:szCs w:val="22"/>
        </w:rPr>
        <w:t>/kg (for single analyses)</w:t>
      </w:r>
      <w:r w:rsidR="00FF46BE">
        <w:rPr>
          <w:rFonts w:cs="Arial"/>
          <w:szCs w:val="22"/>
        </w:rPr>
        <w:t>.</w:t>
      </w:r>
    </w:p>
    <w:p w:rsidR="007E3C88" w:rsidRDefault="007E3C88" w:rsidP="00EE4365">
      <w:pPr>
        <w:rPr>
          <w:rFonts w:cs="Arial"/>
          <w:szCs w:val="22"/>
        </w:rPr>
      </w:pPr>
    </w:p>
    <w:p w:rsidR="007E3C88" w:rsidRPr="00391DE3" w:rsidRDefault="007E3C88" w:rsidP="007E3C88">
      <w:pPr>
        <w:pStyle w:val="Heading3LT"/>
      </w:pPr>
      <w:bookmarkStart w:id="70" w:name="_Toc384293551"/>
      <w:r w:rsidRPr="00391DE3">
        <w:t xml:space="preserve">Table 5: </w:t>
      </w:r>
      <w:r>
        <w:t xml:space="preserve">Summary information </w:t>
      </w:r>
      <w:r w:rsidR="006E22C1">
        <w:t xml:space="preserve">on </w:t>
      </w:r>
      <w:r w:rsidR="00CB5160">
        <w:t>limits of detection (LoDs)</w:t>
      </w:r>
      <w:r w:rsidR="006E22C1">
        <w:t xml:space="preserve"> achieved </w:t>
      </w:r>
      <w:r w:rsidR="002E5E06">
        <w:t xml:space="preserve">in </w:t>
      </w:r>
      <w:r w:rsidR="002F6FA0">
        <w:t>S</w:t>
      </w:r>
      <w:r w:rsidR="006E22C1">
        <w:t xml:space="preserve">urveys </w:t>
      </w:r>
      <w:r w:rsidR="002F6FA0">
        <w:t xml:space="preserve">1, 2 and 3 </w:t>
      </w:r>
      <w:r w:rsidR="006E22C1">
        <w:t xml:space="preserve">using the </w:t>
      </w:r>
      <w:r w:rsidR="00B658A2">
        <w:t xml:space="preserve">acid hydrolysis and EU HPLC methods of analysis for total </w:t>
      </w:r>
      <w:r>
        <w:t>HCN</w:t>
      </w:r>
      <w:bookmarkEnd w:id="70"/>
    </w:p>
    <w:tbl>
      <w:tblPr>
        <w:tblStyle w:val="MediumShading1-Accent1"/>
        <w:tblW w:w="9854" w:type="dxa"/>
        <w:tblLook w:val="04A0" w:firstRow="1" w:lastRow="0" w:firstColumn="1" w:lastColumn="0" w:noHBand="0" w:noVBand="1"/>
      </w:tblPr>
      <w:tblGrid>
        <w:gridCol w:w="2538"/>
        <w:gridCol w:w="2248"/>
        <w:gridCol w:w="2835"/>
        <w:gridCol w:w="2233"/>
      </w:tblGrid>
      <w:tr w:rsidR="00B658A2" w:rsidRPr="00DD19A2" w:rsidTr="00B658A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8" w:type="dxa"/>
            <w:vMerge w:val="restart"/>
            <w:tcBorders>
              <w:right w:val="single" w:sz="8" w:space="0" w:color="7BA0CD" w:themeColor="accent1" w:themeTint="BF"/>
            </w:tcBorders>
          </w:tcPr>
          <w:p w:rsidR="00B658A2" w:rsidRPr="00DD19A2" w:rsidRDefault="00B658A2" w:rsidP="00D05ADB">
            <w:pPr>
              <w:contextualSpacing/>
              <w:rPr>
                <w:rFonts w:cs="Arial"/>
                <w:sz w:val="20"/>
                <w:szCs w:val="20"/>
              </w:rPr>
            </w:pPr>
            <w:r w:rsidRPr="00DD19A2">
              <w:rPr>
                <w:rFonts w:cs="Arial"/>
                <w:sz w:val="20"/>
                <w:szCs w:val="20"/>
              </w:rPr>
              <w:t>Survey</w:t>
            </w:r>
          </w:p>
        </w:tc>
        <w:tc>
          <w:tcPr>
            <w:tcW w:w="2248" w:type="dxa"/>
            <w:vMerge w:val="restart"/>
            <w:tcBorders>
              <w:left w:val="single" w:sz="8" w:space="0" w:color="7BA0CD" w:themeColor="accent1" w:themeTint="BF"/>
              <w:right w:val="single" w:sz="8" w:space="0" w:color="7BA0CD" w:themeColor="accent1" w:themeTint="BF"/>
            </w:tcBorders>
          </w:tcPr>
          <w:p w:rsidR="00B658A2" w:rsidRPr="00DD19A2" w:rsidRDefault="00B658A2" w:rsidP="00D05ADB">
            <w:pPr>
              <w:contextualSpacing/>
              <w:jc w:val="center"/>
              <w:cnfStyle w:val="100000000000" w:firstRow="1" w:lastRow="0" w:firstColumn="0" w:lastColumn="0" w:oddVBand="0" w:evenVBand="0" w:oddHBand="0" w:evenHBand="0" w:firstRowFirstColumn="0" w:firstRowLastColumn="0" w:lastRowFirstColumn="0" w:lastRowLastColumn="0"/>
              <w:rPr>
                <w:rFonts w:cs="Arial"/>
                <w:sz w:val="20"/>
                <w:szCs w:val="20"/>
                <w:vertAlign w:val="superscript"/>
              </w:rPr>
            </w:pPr>
            <w:r w:rsidRPr="00DD19A2">
              <w:rPr>
                <w:rFonts w:cs="Arial"/>
                <w:sz w:val="20"/>
                <w:szCs w:val="20"/>
              </w:rPr>
              <w:t>Analytical method</w:t>
            </w:r>
          </w:p>
        </w:tc>
        <w:tc>
          <w:tcPr>
            <w:tcW w:w="5068" w:type="dxa"/>
            <w:gridSpan w:val="2"/>
            <w:tcBorders>
              <w:left w:val="single" w:sz="8" w:space="0" w:color="7BA0CD" w:themeColor="accent1" w:themeTint="BF"/>
            </w:tcBorders>
          </w:tcPr>
          <w:p w:rsidR="00B658A2" w:rsidRPr="00DD19A2" w:rsidRDefault="00B658A2" w:rsidP="00D05ADB">
            <w:pPr>
              <w:contextualSpacing/>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DD19A2">
              <w:rPr>
                <w:rFonts w:cs="Arial"/>
                <w:sz w:val="20"/>
                <w:szCs w:val="20"/>
              </w:rPr>
              <w:t xml:space="preserve">Limit of detection </w:t>
            </w:r>
            <w:r w:rsidR="00D05ADB" w:rsidRPr="00DD19A2">
              <w:rPr>
                <w:rFonts w:cs="Arial"/>
                <w:sz w:val="20"/>
                <w:szCs w:val="20"/>
              </w:rPr>
              <w:t xml:space="preserve">(LoD) </w:t>
            </w:r>
            <w:r w:rsidRPr="00DD19A2">
              <w:rPr>
                <w:rFonts w:cs="Arial"/>
                <w:sz w:val="20"/>
                <w:szCs w:val="20"/>
              </w:rPr>
              <w:t>(mg HCN/kg)</w:t>
            </w:r>
          </w:p>
        </w:tc>
      </w:tr>
      <w:tr w:rsidR="00B658A2" w:rsidRPr="00DD19A2" w:rsidTr="00D05AD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538" w:type="dxa"/>
            <w:vMerge/>
            <w:tcBorders>
              <w:bottom w:val="single" w:sz="8" w:space="0" w:color="7BA0CD" w:themeColor="accent1" w:themeTint="BF"/>
              <w:right w:val="single" w:sz="8" w:space="0" w:color="7BA0CD" w:themeColor="accent1" w:themeTint="BF"/>
            </w:tcBorders>
            <w:shd w:val="clear" w:color="auto" w:fill="4F81BD" w:themeFill="accent1"/>
          </w:tcPr>
          <w:p w:rsidR="00B658A2" w:rsidRPr="00DD19A2" w:rsidRDefault="00B658A2" w:rsidP="00D05ADB">
            <w:pPr>
              <w:contextualSpacing/>
              <w:rPr>
                <w:rFonts w:cs="Arial"/>
                <w:sz w:val="20"/>
                <w:szCs w:val="20"/>
              </w:rPr>
            </w:pPr>
          </w:p>
        </w:tc>
        <w:tc>
          <w:tcPr>
            <w:tcW w:w="2248" w:type="dxa"/>
            <w:vMerge/>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tcPr>
          <w:p w:rsidR="00B658A2" w:rsidRPr="00DD19A2" w:rsidRDefault="00B658A2" w:rsidP="00D05ADB">
            <w:pPr>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835" w:type="dxa"/>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tcPr>
          <w:p w:rsidR="00B658A2" w:rsidRPr="00DD19A2" w:rsidRDefault="00B658A2" w:rsidP="00D05ADB">
            <w:pPr>
              <w:contextualSpacing/>
              <w:jc w:val="center"/>
              <w:cnfStyle w:val="000000100000" w:firstRow="0" w:lastRow="0" w:firstColumn="0" w:lastColumn="0" w:oddVBand="0" w:evenVBand="0" w:oddHBand="1" w:evenHBand="0" w:firstRowFirstColumn="0" w:firstRowLastColumn="0" w:lastRowFirstColumn="0" w:lastRowLastColumn="0"/>
              <w:rPr>
                <w:rFonts w:cs="Arial"/>
                <w:b/>
                <w:color w:val="FFFFFF" w:themeColor="background1"/>
                <w:sz w:val="20"/>
                <w:szCs w:val="20"/>
              </w:rPr>
            </w:pPr>
            <w:r w:rsidRPr="00DD19A2">
              <w:rPr>
                <w:rFonts w:cs="Arial"/>
                <w:b/>
                <w:color w:val="FFFFFF" w:themeColor="background1"/>
                <w:sz w:val="20"/>
                <w:szCs w:val="20"/>
              </w:rPr>
              <w:t>Single analysis</w:t>
            </w:r>
          </w:p>
        </w:tc>
        <w:tc>
          <w:tcPr>
            <w:tcW w:w="2233" w:type="dxa"/>
            <w:tcBorders>
              <w:left w:val="single" w:sz="8" w:space="0" w:color="7BA0CD" w:themeColor="accent1" w:themeTint="BF"/>
              <w:bottom w:val="single" w:sz="8" w:space="0" w:color="7BA0CD" w:themeColor="accent1" w:themeTint="BF"/>
            </w:tcBorders>
            <w:shd w:val="clear" w:color="auto" w:fill="4F81BD" w:themeFill="accent1"/>
          </w:tcPr>
          <w:p w:rsidR="00B658A2" w:rsidRPr="00DD19A2" w:rsidRDefault="00B658A2" w:rsidP="00D05ADB">
            <w:pPr>
              <w:contextualSpacing/>
              <w:jc w:val="center"/>
              <w:cnfStyle w:val="000000100000" w:firstRow="0" w:lastRow="0" w:firstColumn="0" w:lastColumn="0" w:oddVBand="0" w:evenVBand="0" w:oddHBand="1" w:evenHBand="0" w:firstRowFirstColumn="0" w:firstRowLastColumn="0" w:lastRowFirstColumn="0" w:lastRowLastColumn="0"/>
              <w:rPr>
                <w:rFonts w:cs="Arial"/>
                <w:b/>
                <w:color w:val="FFFFFF" w:themeColor="background1"/>
                <w:sz w:val="20"/>
                <w:szCs w:val="20"/>
              </w:rPr>
            </w:pPr>
            <w:r w:rsidRPr="00DD19A2">
              <w:rPr>
                <w:rFonts w:cs="Arial"/>
                <w:b/>
                <w:color w:val="FFFFFF" w:themeColor="background1"/>
                <w:sz w:val="20"/>
                <w:szCs w:val="20"/>
              </w:rPr>
              <w:t>Duplicate analysis</w:t>
            </w:r>
          </w:p>
        </w:tc>
      </w:tr>
      <w:tr w:rsidR="00CB5160" w:rsidRPr="00DD19A2" w:rsidTr="00D05ADB">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38" w:type="dxa"/>
            <w:vMerge w:val="restart"/>
            <w:tcBorders>
              <w:right w:val="single" w:sz="8" w:space="0" w:color="7BA0CD" w:themeColor="accent1" w:themeTint="BF"/>
            </w:tcBorders>
            <w:shd w:val="clear" w:color="auto" w:fill="D3DFEE"/>
          </w:tcPr>
          <w:p w:rsidR="00CB5160" w:rsidRPr="00DD19A2" w:rsidRDefault="00CB5160" w:rsidP="00D05ADB">
            <w:pPr>
              <w:contextualSpacing/>
              <w:rPr>
                <w:rFonts w:cs="Arial"/>
                <w:sz w:val="20"/>
                <w:szCs w:val="20"/>
              </w:rPr>
            </w:pPr>
            <w:r w:rsidRPr="00DD19A2">
              <w:rPr>
                <w:rFonts w:cs="Arial"/>
                <w:sz w:val="20"/>
                <w:szCs w:val="20"/>
              </w:rPr>
              <w:t>Survey 1</w:t>
            </w:r>
          </w:p>
        </w:tc>
        <w:tc>
          <w:tcPr>
            <w:tcW w:w="2248" w:type="dxa"/>
            <w:tcBorders>
              <w:left w:val="single" w:sz="8" w:space="0" w:color="7BA0CD" w:themeColor="accent1" w:themeTint="BF"/>
              <w:right w:val="single" w:sz="8" w:space="0" w:color="7BA0CD" w:themeColor="accent1" w:themeTint="BF"/>
            </w:tcBorders>
            <w:shd w:val="clear" w:color="auto" w:fill="D3DFEE"/>
          </w:tcPr>
          <w:p w:rsidR="00CB5160" w:rsidRPr="00DD19A2" w:rsidRDefault="00CB5160" w:rsidP="00D05ADB">
            <w:pPr>
              <w:contextualSpacing/>
              <w:cnfStyle w:val="000000010000" w:firstRow="0" w:lastRow="0" w:firstColumn="0" w:lastColumn="0" w:oddVBand="0" w:evenVBand="0" w:oddHBand="0" w:evenHBand="1" w:firstRowFirstColumn="0" w:firstRowLastColumn="0" w:lastRowFirstColumn="0" w:lastRowLastColumn="0"/>
              <w:rPr>
                <w:rFonts w:cs="Arial"/>
                <w:sz w:val="20"/>
                <w:szCs w:val="20"/>
              </w:rPr>
            </w:pPr>
            <w:r w:rsidRPr="00DD19A2">
              <w:rPr>
                <w:sz w:val="20"/>
                <w:szCs w:val="20"/>
              </w:rPr>
              <w:t>Acid hydrolysis</w:t>
            </w:r>
          </w:p>
        </w:tc>
        <w:tc>
          <w:tcPr>
            <w:tcW w:w="2835" w:type="dxa"/>
            <w:tcBorders>
              <w:left w:val="single" w:sz="8" w:space="0" w:color="7BA0CD" w:themeColor="accent1" w:themeTint="BF"/>
              <w:right w:val="single" w:sz="8" w:space="0" w:color="7BA0CD" w:themeColor="accent1" w:themeTint="BF"/>
            </w:tcBorders>
            <w:shd w:val="clear" w:color="auto" w:fill="D3DFEE"/>
          </w:tcPr>
          <w:p w:rsidR="00CB5160" w:rsidRPr="00DD19A2" w:rsidRDefault="00D05ADB" w:rsidP="00D05ADB">
            <w:pPr>
              <w:contextualSpacing/>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DD19A2">
              <w:rPr>
                <w:rFonts w:cs="Arial"/>
                <w:sz w:val="20"/>
                <w:szCs w:val="20"/>
              </w:rPr>
              <w:t>4</w:t>
            </w:r>
          </w:p>
        </w:tc>
        <w:tc>
          <w:tcPr>
            <w:tcW w:w="2233" w:type="dxa"/>
            <w:tcBorders>
              <w:left w:val="single" w:sz="8" w:space="0" w:color="7BA0CD" w:themeColor="accent1" w:themeTint="BF"/>
            </w:tcBorders>
            <w:shd w:val="clear" w:color="auto" w:fill="D3DFEE"/>
          </w:tcPr>
          <w:p w:rsidR="00CB5160" w:rsidRPr="00DD19A2" w:rsidRDefault="00D05ADB" w:rsidP="00D05ADB">
            <w:pPr>
              <w:contextualSpacing/>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DD19A2">
              <w:rPr>
                <w:rFonts w:cs="Arial"/>
                <w:sz w:val="20"/>
                <w:szCs w:val="20"/>
              </w:rPr>
              <w:t>3</w:t>
            </w:r>
          </w:p>
        </w:tc>
      </w:tr>
      <w:tr w:rsidR="00CB5160" w:rsidRPr="00DD19A2" w:rsidTr="00D05AD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38" w:type="dxa"/>
            <w:vMerge/>
            <w:tcBorders>
              <w:right w:val="single" w:sz="8" w:space="0" w:color="7BA0CD" w:themeColor="accent1" w:themeTint="BF"/>
            </w:tcBorders>
          </w:tcPr>
          <w:p w:rsidR="00CB5160" w:rsidRPr="00DD19A2" w:rsidRDefault="00CB5160" w:rsidP="00D05ADB">
            <w:pPr>
              <w:contextualSpacing/>
              <w:rPr>
                <w:rFonts w:cs="Arial"/>
                <w:sz w:val="20"/>
                <w:szCs w:val="20"/>
              </w:rPr>
            </w:pPr>
          </w:p>
        </w:tc>
        <w:tc>
          <w:tcPr>
            <w:tcW w:w="2248" w:type="dxa"/>
            <w:tcBorders>
              <w:left w:val="single" w:sz="8" w:space="0" w:color="7BA0CD" w:themeColor="accent1" w:themeTint="BF"/>
              <w:right w:val="single" w:sz="8" w:space="0" w:color="7BA0CD" w:themeColor="accent1" w:themeTint="BF"/>
            </w:tcBorders>
          </w:tcPr>
          <w:p w:rsidR="00CB5160" w:rsidRPr="00DD19A2" w:rsidRDefault="00CB5160" w:rsidP="00D05AD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DD19A2">
              <w:rPr>
                <w:sz w:val="20"/>
                <w:szCs w:val="20"/>
              </w:rPr>
              <w:t>EU HPLC</w:t>
            </w:r>
          </w:p>
        </w:tc>
        <w:tc>
          <w:tcPr>
            <w:tcW w:w="2835" w:type="dxa"/>
            <w:tcBorders>
              <w:left w:val="single" w:sz="8" w:space="0" w:color="7BA0CD" w:themeColor="accent1" w:themeTint="BF"/>
              <w:right w:val="single" w:sz="8" w:space="0" w:color="7BA0CD" w:themeColor="accent1" w:themeTint="BF"/>
            </w:tcBorders>
          </w:tcPr>
          <w:p w:rsidR="00CB5160" w:rsidRPr="00DD19A2" w:rsidRDefault="00D05ADB" w:rsidP="00D05ADB">
            <w:pPr>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D19A2">
              <w:rPr>
                <w:rFonts w:cs="Arial"/>
                <w:sz w:val="20"/>
                <w:szCs w:val="20"/>
              </w:rPr>
              <w:t>NA</w:t>
            </w:r>
          </w:p>
        </w:tc>
        <w:tc>
          <w:tcPr>
            <w:tcW w:w="2233" w:type="dxa"/>
            <w:tcBorders>
              <w:left w:val="single" w:sz="8" w:space="0" w:color="7BA0CD" w:themeColor="accent1" w:themeTint="BF"/>
            </w:tcBorders>
          </w:tcPr>
          <w:p w:rsidR="00CB5160" w:rsidRPr="00DD19A2" w:rsidRDefault="00D05ADB" w:rsidP="00D05ADB">
            <w:pPr>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D19A2">
              <w:rPr>
                <w:rFonts w:cs="Arial"/>
                <w:sz w:val="20"/>
                <w:szCs w:val="20"/>
              </w:rPr>
              <w:t>NA</w:t>
            </w:r>
          </w:p>
        </w:tc>
      </w:tr>
      <w:tr w:rsidR="009A1527" w:rsidRPr="00DD19A2" w:rsidTr="00D05ADB">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538" w:type="dxa"/>
            <w:vMerge w:val="restart"/>
            <w:tcBorders>
              <w:right w:val="single" w:sz="8" w:space="0" w:color="7BA0CD" w:themeColor="accent1" w:themeTint="BF"/>
            </w:tcBorders>
          </w:tcPr>
          <w:p w:rsidR="009A1527" w:rsidRPr="00DD19A2" w:rsidRDefault="009A1527" w:rsidP="00D05ADB">
            <w:pPr>
              <w:contextualSpacing/>
              <w:rPr>
                <w:rFonts w:cs="Arial"/>
                <w:sz w:val="20"/>
                <w:szCs w:val="20"/>
              </w:rPr>
            </w:pPr>
            <w:r w:rsidRPr="00DD19A2">
              <w:rPr>
                <w:rFonts w:cs="Arial"/>
                <w:sz w:val="20"/>
                <w:szCs w:val="20"/>
              </w:rPr>
              <w:t>Survey 2</w:t>
            </w:r>
          </w:p>
        </w:tc>
        <w:tc>
          <w:tcPr>
            <w:tcW w:w="2248" w:type="dxa"/>
            <w:tcBorders>
              <w:left w:val="single" w:sz="8" w:space="0" w:color="7BA0CD" w:themeColor="accent1" w:themeTint="BF"/>
              <w:bottom w:val="single" w:sz="8" w:space="0" w:color="7BA0CD" w:themeColor="accent1" w:themeTint="BF"/>
              <w:right w:val="single" w:sz="8" w:space="0" w:color="7BA0CD" w:themeColor="accent1" w:themeTint="BF"/>
            </w:tcBorders>
          </w:tcPr>
          <w:p w:rsidR="009A1527" w:rsidRPr="00DD19A2" w:rsidRDefault="009A1527" w:rsidP="00D05ADB">
            <w:pPr>
              <w:contextualSpacing/>
              <w:cnfStyle w:val="000000010000" w:firstRow="0" w:lastRow="0" w:firstColumn="0" w:lastColumn="0" w:oddVBand="0" w:evenVBand="0" w:oddHBand="0" w:evenHBand="1" w:firstRowFirstColumn="0" w:firstRowLastColumn="0" w:lastRowFirstColumn="0" w:lastRowLastColumn="0"/>
              <w:rPr>
                <w:rFonts w:cs="Arial"/>
                <w:sz w:val="20"/>
                <w:szCs w:val="20"/>
              </w:rPr>
            </w:pPr>
            <w:r w:rsidRPr="00DD19A2">
              <w:rPr>
                <w:sz w:val="20"/>
                <w:szCs w:val="20"/>
              </w:rPr>
              <w:t>Acid hydrolysis</w:t>
            </w:r>
          </w:p>
        </w:tc>
        <w:tc>
          <w:tcPr>
            <w:tcW w:w="2835" w:type="dxa"/>
            <w:tcBorders>
              <w:left w:val="single" w:sz="8" w:space="0" w:color="7BA0CD" w:themeColor="accent1" w:themeTint="BF"/>
              <w:bottom w:val="single" w:sz="8" w:space="0" w:color="7BA0CD" w:themeColor="accent1" w:themeTint="BF"/>
              <w:right w:val="single" w:sz="8" w:space="0" w:color="7BA0CD" w:themeColor="accent1" w:themeTint="BF"/>
            </w:tcBorders>
          </w:tcPr>
          <w:p w:rsidR="009A1527" w:rsidRPr="00DD19A2" w:rsidRDefault="00D05ADB" w:rsidP="00D05ADB">
            <w:pPr>
              <w:contextualSpacing/>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DD19A2">
              <w:rPr>
                <w:rFonts w:cs="Arial"/>
                <w:sz w:val="20"/>
                <w:szCs w:val="20"/>
              </w:rPr>
              <w:t>2</w:t>
            </w:r>
          </w:p>
        </w:tc>
        <w:tc>
          <w:tcPr>
            <w:tcW w:w="2233" w:type="dxa"/>
            <w:tcBorders>
              <w:left w:val="single" w:sz="8" w:space="0" w:color="7BA0CD" w:themeColor="accent1" w:themeTint="BF"/>
              <w:bottom w:val="single" w:sz="8" w:space="0" w:color="7BA0CD" w:themeColor="accent1" w:themeTint="BF"/>
            </w:tcBorders>
          </w:tcPr>
          <w:p w:rsidR="009A1527" w:rsidRPr="00DD19A2" w:rsidRDefault="002E5E06" w:rsidP="00D05ADB">
            <w:pPr>
              <w:contextualSpacing/>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DD19A2">
              <w:rPr>
                <w:rFonts w:cs="Arial"/>
                <w:sz w:val="20"/>
                <w:szCs w:val="20"/>
              </w:rPr>
              <w:t>1.5</w:t>
            </w:r>
          </w:p>
        </w:tc>
      </w:tr>
      <w:tr w:rsidR="009A1527" w:rsidRPr="00DD19A2" w:rsidTr="00D05ADB">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38" w:type="dxa"/>
            <w:vMerge/>
            <w:tcBorders>
              <w:bottom w:val="single" w:sz="8" w:space="0" w:color="7BA0CD" w:themeColor="accent1" w:themeTint="BF"/>
              <w:right w:val="single" w:sz="8" w:space="0" w:color="7BA0CD" w:themeColor="accent1" w:themeTint="BF"/>
            </w:tcBorders>
          </w:tcPr>
          <w:p w:rsidR="009A1527" w:rsidRPr="00DD19A2" w:rsidRDefault="009A1527" w:rsidP="00D05ADB">
            <w:pPr>
              <w:contextualSpacing/>
              <w:rPr>
                <w:rFonts w:cs="Arial"/>
                <w:sz w:val="20"/>
                <w:szCs w:val="20"/>
              </w:rPr>
            </w:pPr>
          </w:p>
        </w:tc>
        <w:tc>
          <w:tcPr>
            <w:tcW w:w="2248" w:type="dxa"/>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auto"/>
          </w:tcPr>
          <w:p w:rsidR="009A1527" w:rsidRPr="00DD19A2" w:rsidRDefault="009A1527" w:rsidP="00D05AD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DD19A2">
              <w:rPr>
                <w:sz w:val="20"/>
                <w:szCs w:val="20"/>
              </w:rPr>
              <w:t>EU HPLC</w:t>
            </w:r>
            <w:r w:rsidR="008405AF" w:rsidRPr="008405AF">
              <w:rPr>
                <w:sz w:val="20"/>
                <w:szCs w:val="20"/>
              </w:rPr>
              <w:t>*</w:t>
            </w:r>
          </w:p>
        </w:tc>
        <w:tc>
          <w:tcPr>
            <w:tcW w:w="2835" w:type="dxa"/>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auto"/>
          </w:tcPr>
          <w:p w:rsidR="009A1527" w:rsidRPr="00DD19A2" w:rsidRDefault="002E5E06" w:rsidP="00D05ADB">
            <w:pPr>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D19A2">
              <w:rPr>
                <w:rFonts w:cs="Arial"/>
                <w:sz w:val="20"/>
                <w:szCs w:val="20"/>
              </w:rPr>
              <w:t>0.06</w:t>
            </w:r>
          </w:p>
        </w:tc>
        <w:tc>
          <w:tcPr>
            <w:tcW w:w="2233" w:type="dxa"/>
            <w:tcBorders>
              <w:left w:val="single" w:sz="8" w:space="0" w:color="7BA0CD" w:themeColor="accent1" w:themeTint="BF"/>
              <w:bottom w:val="single" w:sz="8" w:space="0" w:color="7BA0CD" w:themeColor="accent1" w:themeTint="BF"/>
            </w:tcBorders>
            <w:shd w:val="clear" w:color="auto" w:fill="auto"/>
          </w:tcPr>
          <w:p w:rsidR="009A1527" w:rsidRPr="00DD19A2" w:rsidRDefault="002E5E06" w:rsidP="00D05ADB">
            <w:pPr>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D19A2">
              <w:rPr>
                <w:rFonts w:cs="Arial"/>
                <w:sz w:val="20"/>
                <w:szCs w:val="20"/>
              </w:rPr>
              <w:t>NA</w:t>
            </w:r>
          </w:p>
        </w:tc>
      </w:tr>
      <w:tr w:rsidR="009A1527" w:rsidRPr="00DD19A2" w:rsidTr="00D05ADB">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538" w:type="dxa"/>
            <w:vMerge w:val="restart"/>
            <w:tcBorders>
              <w:right w:val="single" w:sz="8" w:space="0" w:color="7BA0CD" w:themeColor="accent1" w:themeTint="BF"/>
            </w:tcBorders>
            <w:shd w:val="clear" w:color="auto" w:fill="D3DFEE"/>
          </w:tcPr>
          <w:p w:rsidR="009A1527" w:rsidRPr="00DD19A2" w:rsidRDefault="009A1527" w:rsidP="00D05ADB">
            <w:pPr>
              <w:contextualSpacing/>
              <w:rPr>
                <w:rFonts w:cs="Arial"/>
                <w:sz w:val="20"/>
                <w:szCs w:val="20"/>
              </w:rPr>
            </w:pPr>
            <w:r w:rsidRPr="00DD19A2">
              <w:rPr>
                <w:rFonts w:cs="Arial"/>
                <w:sz w:val="20"/>
                <w:szCs w:val="20"/>
              </w:rPr>
              <w:t xml:space="preserve">Survey 3 </w:t>
            </w:r>
          </w:p>
        </w:tc>
        <w:tc>
          <w:tcPr>
            <w:tcW w:w="2248" w:type="dxa"/>
            <w:tcBorders>
              <w:left w:val="single" w:sz="8" w:space="0" w:color="7BA0CD" w:themeColor="accent1" w:themeTint="BF"/>
              <w:right w:val="single" w:sz="8" w:space="0" w:color="7BA0CD" w:themeColor="accent1" w:themeTint="BF"/>
            </w:tcBorders>
            <w:shd w:val="clear" w:color="auto" w:fill="D3DFEE"/>
          </w:tcPr>
          <w:p w:rsidR="009A1527" w:rsidRPr="00DD19A2" w:rsidRDefault="009A1527" w:rsidP="00D05ADB">
            <w:pPr>
              <w:contextualSpacing/>
              <w:cnfStyle w:val="000000010000" w:firstRow="0" w:lastRow="0" w:firstColumn="0" w:lastColumn="0" w:oddVBand="0" w:evenVBand="0" w:oddHBand="0" w:evenHBand="1" w:firstRowFirstColumn="0" w:firstRowLastColumn="0" w:lastRowFirstColumn="0" w:lastRowLastColumn="0"/>
              <w:rPr>
                <w:rFonts w:cs="Arial"/>
                <w:sz w:val="20"/>
                <w:szCs w:val="20"/>
              </w:rPr>
            </w:pPr>
            <w:r w:rsidRPr="00DD19A2">
              <w:rPr>
                <w:sz w:val="20"/>
                <w:szCs w:val="20"/>
              </w:rPr>
              <w:t>Acid hydrolysis</w:t>
            </w:r>
          </w:p>
        </w:tc>
        <w:tc>
          <w:tcPr>
            <w:tcW w:w="2835" w:type="dxa"/>
            <w:tcBorders>
              <w:left w:val="single" w:sz="8" w:space="0" w:color="7BA0CD" w:themeColor="accent1" w:themeTint="BF"/>
              <w:right w:val="single" w:sz="8" w:space="0" w:color="7BA0CD" w:themeColor="accent1" w:themeTint="BF"/>
            </w:tcBorders>
            <w:shd w:val="clear" w:color="auto" w:fill="D3DFEE"/>
          </w:tcPr>
          <w:p w:rsidR="009A1527" w:rsidRPr="00DD19A2" w:rsidRDefault="002E5E06" w:rsidP="00D05ADB">
            <w:pPr>
              <w:contextualSpacing/>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DD19A2">
              <w:rPr>
                <w:rFonts w:cs="Arial"/>
                <w:sz w:val="20"/>
                <w:szCs w:val="20"/>
              </w:rPr>
              <w:t>5</w:t>
            </w:r>
          </w:p>
        </w:tc>
        <w:tc>
          <w:tcPr>
            <w:tcW w:w="2233" w:type="dxa"/>
            <w:tcBorders>
              <w:left w:val="single" w:sz="8" w:space="0" w:color="7BA0CD" w:themeColor="accent1" w:themeTint="BF"/>
            </w:tcBorders>
            <w:shd w:val="clear" w:color="auto" w:fill="D3DFEE"/>
          </w:tcPr>
          <w:p w:rsidR="009A1527" w:rsidRPr="00DD19A2" w:rsidRDefault="002E5E06" w:rsidP="00D05ADB">
            <w:pPr>
              <w:contextualSpacing/>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DD19A2">
              <w:rPr>
                <w:rFonts w:cs="Arial"/>
                <w:sz w:val="20"/>
                <w:szCs w:val="20"/>
              </w:rPr>
              <w:t>4</w:t>
            </w:r>
          </w:p>
        </w:tc>
      </w:tr>
      <w:tr w:rsidR="009A1527" w:rsidRPr="00DD19A2" w:rsidTr="00D05ADB">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538" w:type="dxa"/>
            <w:vMerge/>
            <w:tcBorders>
              <w:right w:val="single" w:sz="8" w:space="0" w:color="7BA0CD" w:themeColor="accent1" w:themeTint="BF"/>
            </w:tcBorders>
          </w:tcPr>
          <w:p w:rsidR="009A1527" w:rsidRPr="00DD19A2" w:rsidRDefault="009A1527" w:rsidP="00D05ADB">
            <w:pPr>
              <w:contextualSpacing/>
              <w:rPr>
                <w:rFonts w:cs="Arial"/>
                <w:sz w:val="20"/>
                <w:szCs w:val="20"/>
              </w:rPr>
            </w:pPr>
          </w:p>
        </w:tc>
        <w:tc>
          <w:tcPr>
            <w:tcW w:w="2248" w:type="dxa"/>
            <w:tcBorders>
              <w:left w:val="single" w:sz="8" w:space="0" w:color="7BA0CD" w:themeColor="accent1" w:themeTint="BF"/>
              <w:right w:val="single" w:sz="8" w:space="0" w:color="7BA0CD" w:themeColor="accent1" w:themeTint="BF"/>
            </w:tcBorders>
          </w:tcPr>
          <w:p w:rsidR="009A1527" w:rsidRPr="00DD19A2" w:rsidRDefault="009A1527" w:rsidP="00D05AD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DD19A2">
              <w:rPr>
                <w:sz w:val="20"/>
                <w:szCs w:val="20"/>
              </w:rPr>
              <w:t>EU HPLC</w:t>
            </w:r>
            <w:r w:rsidR="008405AF" w:rsidRPr="008405AF">
              <w:rPr>
                <w:sz w:val="20"/>
                <w:szCs w:val="20"/>
                <w:vertAlign w:val="superscript"/>
              </w:rPr>
              <w:t>#</w:t>
            </w:r>
          </w:p>
        </w:tc>
        <w:tc>
          <w:tcPr>
            <w:tcW w:w="2835" w:type="dxa"/>
            <w:tcBorders>
              <w:left w:val="single" w:sz="8" w:space="0" w:color="7BA0CD" w:themeColor="accent1" w:themeTint="BF"/>
              <w:right w:val="single" w:sz="8" w:space="0" w:color="7BA0CD" w:themeColor="accent1" w:themeTint="BF"/>
            </w:tcBorders>
          </w:tcPr>
          <w:p w:rsidR="009A1527" w:rsidRPr="00DD19A2" w:rsidRDefault="002E5E06" w:rsidP="00D05ADB">
            <w:pPr>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D19A2">
              <w:rPr>
                <w:rFonts w:cs="Arial"/>
                <w:sz w:val="20"/>
                <w:szCs w:val="20"/>
              </w:rPr>
              <w:t>0.1</w:t>
            </w:r>
          </w:p>
        </w:tc>
        <w:tc>
          <w:tcPr>
            <w:tcW w:w="2233" w:type="dxa"/>
            <w:tcBorders>
              <w:left w:val="single" w:sz="8" w:space="0" w:color="7BA0CD" w:themeColor="accent1" w:themeTint="BF"/>
            </w:tcBorders>
          </w:tcPr>
          <w:p w:rsidR="009A1527" w:rsidRPr="00DD19A2" w:rsidRDefault="002E5E06" w:rsidP="00D05ADB">
            <w:pPr>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D19A2">
              <w:rPr>
                <w:rFonts w:cs="Arial"/>
                <w:sz w:val="20"/>
                <w:szCs w:val="20"/>
              </w:rPr>
              <w:t>NA</w:t>
            </w:r>
          </w:p>
        </w:tc>
      </w:tr>
    </w:tbl>
    <w:p w:rsidR="008405AF" w:rsidRDefault="00D05ADB" w:rsidP="00621281">
      <w:pPr>
        <w:rPr>
          <w:rFonts w:cs="Arial"/>
          <w:sz w:val="18"/>
          <w:szCs w:val="18"/>
        </w:rPr>
      </w:pPr>
      <w:r w:rsidRPr="00EE5FD4">
        <w:rPr>
          <w:rFonts w:cs="Arial"/>
          <w:sz w:val="18"/>
          <w:szCs w:val="18"/>
        </w:rPr>
        <w:t>NA = not applicable</w:t>
      </w:r>
      <w:r>
        <w:rPr>
          <w:rFonts w:cs="Arial"/>
          <w:sz w:val="18"/>
          <w:szCs w:val="18"/>
        </w:rPr>
        <w:t xml:space="preserve">. </w:t>
      </w:r>
    </w:p>
    <w:p w:rsidR="008405AF" w:rsidRDefault="008405AF" w:rsidP="00621281">
      <w:pPr>
        <w:rPr>
          <w:rFonts w:cs="Arial"/>
          <w:sz w:val="18"/>
          <w:szCs w:val="18"/>
        </w:rPr>
      </w:pPr>
      <w:r>
        <w:rPr>
          <w:rFonts w:cs="Arial"/>
          <w:sz w:val="18"/>
          <w:szCs w:val="18"/>
        </w:rPr>
        <w:t>* reanalysis of apple juice.</w:t>
      </w:r>
    </w:p>
    <w:p w:rsidR="00E8674B" w:rsidRPr="008405AF" w:rsidRDefault="008405AF" w:rsidP="00621281">
      <w:pPr>
        <w:rPr>
          <w:rFonts w:cs="Arial"/>
          <w:b/>
          <w:szCs w:val="22"/>
          <w:vertAlign w:val="superscript"/>
        </w:rPr>
      </w:pPr>
      <w:r w:rsidRPr="008405AF">
        <w:rPr>
          <w:rFonts w:cs="Arial"/>
          <w:sz w:val="18"/>
          <w:szCs w:val="18"/>
          <w:vertAlign w:val="superscript"/>
        </w:rPr>
        <w:t>#</w:t>
      </w:r>
      <w:r w:rsidR="00D05ADB" w:rsidRPr="008405AF">
        <w:rPr>
          <w:rFonts w:cs="Arial"/>
          <w:sz w:val="18"/>
          <w:szCs w:val="18"/>
          <w:vertAlign w:val="superscript"/>
        </w:rPr>
        <w:t xml:space="preserve"> </w:t>
      </w:r>
      <w:r>
        <w:rPr>
          <w:rFonts w:cs="Arial"/>
          <w:sz w:val="18"/>
          <w:szCs w:val="18"/>
        </w:rPr>
        <w:t>reanalysis of infant apple puree.</w:t>
      </w:r>
      <w:r w:rsidR="00E8674B" w:rsidRPr="008405AF">
        <w:rPr>
          <w:rFonts w:cs="Arial"/>
          <w:b/>
          <w:szCs w:val="22"/>
          <w:vertAlign w:val="superscript"/>
        </w:rPr>
        <w:br w:type="page"/>
      </w:r>
    </w:p>
    <w:p w:rsidR="00EE4365" w:rsidRPr="00B05B51" w:rsidRDefault="00130867" w:rsidP="000C175B">
      <w:pPr>
        <w:pStyle w:val="Heading1"/>
        <w:numPr>
          <w:ilvl w:val="0"/>
          <w:numId w:val="22"/>
        </w:numPr>
        <w:ind w:hanging="720"/>
      </w:pPr>
      <w:bookmarkStart w:id="71" w:name="_Toc338160501"/>
      <w:bookmarkStart w:id="72" w:name="_Toc338160871"/>
      <w:bookmarkStart w:id="73" w:name="_Toc338161486"/>
      <w:bookmarkStart w:id="74" w:name="_Toc338161745"/>
      <w:bookmarkStart w:id="75" w:name="_Toc367957645"/>
      <w:bookmarkStart w:id="76" w:name="_Toc367957742"/>
      <w:bookmarkStart w:id="77" w:name="_Toc384293499"/>
      <w:r>
        <w:lastRenderedPageBreak/>
        <w:t xml:space="preserve">ANALYTICAL SURVEY </w:t>
      </w:r>
      <w:r w:rsidR="00EE4365" w:rsidRPr="00B05B51">
        <w:t>RESULTS</w:t>
      </w:r>
      <w:r w:rsidR="009E338D">
        <w:t xml:space="preserve"> AND DISCUSSION</w:t>
      </w:r>
      <w:bookmarkEnd w:id="71"/>
      <w:bookmarkEnd w:id="72"/>
      <w:bookmarkEnd w:id="73"/>
      <w:bookmarkEnd w:id="74"/>
      <w:bookmarkEnd w:id="75"/>
      <w:bookmarkEnd w:id="76"/>
      <w:bookmarkEnd w:id="77"/>
    </w:p>
    <w:p w:rsidR="00EE4365" w:rsidRPr="00B05B51" w:rsidRDefault="00EE4365" w:rsidP="00EE4365">
      <w:pPr>
        <w:rPr>
          <w:rFonts w:cs="Arial"/>
          <w:b/>
          <w:szCs w:val="22"/>
        </w:rPr>
      </w:pPr>
    </w:p>
    <w:p w:rsidR="00C92C10" w:rsidRDefault="009B2680" w:rsidP="00D12D6D">
      <w:pPr>
        <w:pStyle w:val="Heading2"/>
      </w:pPr>
      <w:bookmarkStart w:id="78" w:name="_Toc367957646"/>
      <w:bookmarkStart w:id="79" w:name="_Toc384293500"/>
      <w:r w:rsidRPr="009B2680">
        <w:t>4</w:t>
      </w:r>
      <w:r>
        <w:t>.1</w:t>
      </w:r>
      <w:r w:rsidRPr="009B2680">
        <w:tab/>
      </w:r>
      <w:r>
        <w:t>S</w:t>
      </w:r>
      <w:r w:rsidRPr="009B2680">
        <w:t>urvey o</w:t>
      </w:r>
      <w:r w:rsidR="00395391">
        <w:t>f</w:t>
      </w:r>
      <w:r w:rsidRPr="009B2680">
        <w:t xml:space="preserve"> cyanogenic glycosides in plant-based foods</w:t>
      </w:r>
      <w:r>
        <w:t xml:space="preserve"> (Survey 1)</w:t>
      </w:r>
      <w:bookmarkEnd w:id="78"/>
      <w:bookmarkEnd w:id="79"/>
    </w:p>
    <w:p w:rsidR="00C92C10" w:rsidRDefault="00C92C10" w:rsidP="00EE4365">
      <w:pPr>
        <w:rPr>
          <w:rFonts w:cs="Arial"/>
          <w:szCs w:val="22"/>
        </w:rPr>
      </w:pPr>
    </w:p>
    <w:p w:rsidR="00570179" w:rsidRDefault="00660F8C" w:rsidP="00EE4365">
      <w:pPr>
        <w:rPr>
          <w:rFonts w:cs="Arial"/>
          <w:szCs w:val="22"/>
        </w:rPr>
      </w:pPr>
      <w:r>
        <w:rPr>
          <w:rFonts w:cs="Arial"/>
          <w:szCs w:val="22"/>
        </w:rPr>
        <w:t xml:space="preserve">Results of Survey 1 were reported in </w:t>
      </w:r>
      <w:r w:rsidRPr="00660F8C">
        <w:rPr>
          <w:rFonts w:cs="Arial"/>
          <w:i/>
          <w:szCs w:val="22"/>
        </w:rPr>
        <w:t xml:space="preserve">Survey of </w:t>
      </w:r>
      <w:r w:rsidR="00313B65">
        <w:rPr>
          <w:rFonts w:cs="Arial"/>
          <w:i/>
          <w:szCs w:val="22"/>
        </w:rPr>
        <w:t>c</w:t>
      </w:r>
      <w:r w:rsidRPr="00660F8C">
        <w:rPr>
          <w:rFonts w:cs="Arial"/>
          <w:i/>
          <w:szCs w:val="22"/>
        </w:rPr>
        <w:t xml:space="preserve">yanogenic </w:t>
      </w:r>
      <w:r w:rsidR="00313B65">
        <w:rPr>
          <w:rFonts w:cs="Arial"/>
          <w:i/>
          <w:szCs w:val="22"/>
        </w:rPr>
        <w:t>g</w:t>
      </w:r>
      <w:r w:rsidRPr="00660F8C">
        <w:rPr>
          <w:rFonts w:cs="Arial"/>
          <w:i/>
          <w:szCs w:val="22"/>
        </w:rPr>
        <w:t xml:space="preserve">lycosides in </w:t>
      </w:r>
      <w:r w:rsidR="00313B65">
        <w:rPr>
          <w:rFonts w:cs="Arial"/>
          <w:i/>
          <w:szCs w:val="22"/>
        </w:rPr>
        <w:t>p</w:t>
      </w:r>
      <w:r w:rsidRPr="00660F8C">
        <w:rPr>
          <w:rFonts w:cs="Arial"/>
          <w:i/>
          <w:szCs w:val="22"/>
        </w:rPr>
        <w:t>lant</w:t>
      </w:r>
      <w:r w:rsidR="00313B65">
        <w:rPr>
          <w:rFonts w:cs="Arial"/>
          <w:i/>
          <w:szCs w:val="22"/>
        </w:rPr>
        <w:t>-b</w:t>
      </w:r>
      <w:r w:rsidRPr="00660F8C">
        <w:rPr>
          <w:rFonts w:cs="Arial"/>
          <w:i/>
          <w:szCs w:val="22"/>
        </w:rPr>
        <w:t xml:space="preserve">ased </w:t>
      </w:r>
      <w:r w:rsidR="00313B65">
        <w:rPr>
          <w:rFonts w:cs="Arial"/>
          <w:i/>
          <w:szCs w:val="22"/>
        </w:rPr>
        <w:t>f</w:t>
      </w:r>
      <w:r w:rsidRPr="00660F8C">
        <w:rPr>
          <w:rFonts w:cs="Arial"/>
          <w:i/>
          <w:szCs w:val="22"/>
        </w:rPr>
        <w:t>oods</w:t>
      </w:r>
      <w:r w:rsidRPr="00660F8C">
        <w:rPr>
          <w:rFonts w:cs="Arial"/>
          <w:szCs w:val="22"/>
        </w:rPr>
        <w:t xml:space="preserve"> (ESR, 2010 </w:t>
      </w:r>
      <w:r w:rsidR="00117FDB">
        <w:rPr>
          <w:rFonts w:cs="Arial"/>
          <w:szCs w:val="22"/>
        </w:rPr>
        <w:t xml:space="preserve">– </w:t>
      </w:r>
      <w:r w:rsidRPr="00660F8C">
        <w:rPr>
          <w:rFonts w:cs="Arial"/>
          <w:szCs w:val="22"/>
        </w:rPr>
        <w:t>unpublished)</w:t>
      </w:r>
      <w:r w:rsidR="00D85A57">
        <w:rPr>
          <w:rFonts w:cs="Arial"/>
          <w:szCs w:val="22"/>
        </w:rPr>
        <w:t xml:space="preserve"> and are summarised in </w:t>
      </w:r>
      <w:r w:rsidR="00ED1DAC">
        <w:rPr>
          <w:rFonts w:cs="Arial"/>
          <w:szCs w:val="22"/>
        </w:rPr>
        <w:t>A</w:t>
      </w:r>
      <w:r w:rsidR="00D85A57">
        <w:rPr>
          <w:rFonts w:cs="Arial"/>
          <w:szCs w:val="22"/>
        </w:rPr>
        <w:t xml:space="preserve">ppendix </w:t>
      </w:r>
      <w:r w:rsidR="00ED1DAC">
        <w:rPr>
          <w:rFonts w:cs="Arial"/>
          <w:szCs w:val="22"/>
        </w:rPr>
        <w:t>3</w:t>
      </w:r>
      <w:r>
        <w:rPr>
          <w:rFonts w:cs="Arial"/>
          <w:szCs w:val="22"/>
        </w:rPr>
        <w:t>.</w:t>
      </w:r>
      <w:r w:rsidRPr="00660F8C">
        <w:rPr>
          <w:rFonts w:cs="Arial"/>
          <w:szCs w:val="22"/>
        </w:rPr>
        <w:t xml:space="preserve"> </w:t>
      </w:r>
      <w:r w:rsidR="009B2680">
        <w:rPr>
          <w:rFonts w:cs="Arial"/>
          <w:szCs w:val="22"/>
        </w:rPr>
        <w:t xml:space="preserve">In general, the cyanogenic glycoside </w:t>
      </w:r>
      <w:r w:rsidR="009B2680" w:rsidRPr="009B2680">
        <w:rPr>
          <w:rFonts w:cs="Arial"/>
          <w:szCs w:val="22"/>
        </w:rPr>
        <w:t>contents (measured as total HCN) were consistent with or lower than those</w:t>
      </w:r>
      <w:r w:rsidR="00FC0C10">
        <w:rPr>
          <w:rFonts w:cs="Arial"/>
          <w:szCs w:val="22"/>
        </w:rPr>
        <w:t xml:space="preserve"> </w:t>
      </w:r>
      <w:r w:rsidR="009B2680" w:rsidRPr="009B2680">
        <w:rPr>
          <w:rFonts w:cs="Arial"/>
          <w:szCs w:val="22"/>
        </w:rPr>
        <w:t>reported in the scientific</w:t>
      </w:r>
      <w:r w:rsidR="004C36BB">
        <w:rPr>
          <w:rFonts w:cs="Arial"/>
          <w:szCs w:val="22"/>
        </w:rPr>
        <w:t xml:space="preserve"> literature</w:t>
      </w:r>
      <w:r w:rsidR="009B2680" w:rsidRPr="009B2680">
        <w:rPr>
          <w:rFonts w:cs="Arial"/>
          <w:szCs w:val="22"/>
        </w:rPr>
        <w:t>.</w:t>
      </w:r>
      <w:r w:rsidR="00225A45">
        <w:rPr>
          <w:rFonts w:cs="Arial"/>
          <w:szCs w:val="22"/>
        </w:rPr>
        <w:t xml:space="preserve"> Linseed/flaxseed and the associated product LSA were found to contain consistently high concentrations (&gt;50 mg HCN/kg) of total HCN. Other foods with higher levels of HCN included cassava root</w:t>
      </w:r>
      <w:r w:rsidR="00D21989">
        <w:rPr>
          <w:rFonts w:cs="Arial"/>
          <w:szCs w:val="22"/>
        </w:rPr>
        <w:t>s</w:t>
      </w:r>
      <w:r w:rsidR="00225A45">
        <w:rPr>
          <w:rFonts w:cs="Arial"/>
          <w:szCs w:val="22"/>
        </w:rPr>
        <w:t xml:space="preserve"> (mean </w:t>
      </w:r>
      <w:r w:rsidR="00054E6A">
        <w:rPr>
          <w:rFonts w:cs="Arial"/>
          <w:szCs w:val="22"/>
        </w:rPr>
        <w:t>of</w:t>
      </w:r>
      <w:r w:rsidR="00225A45">
        <w:rPr>
          <w:rFonts w:cs="Arial"/>
          <w:szCs w:val="22"/>
        </w:rPr>
        <w:t xml:space="preserve"> 21</w:t>
      </w:r>
      <w:r w:rsidR="00054E6A">
        <w:rPr>
          <w:rFonts w:cs="Arial"/>
          <w:szCs w:val="22"/>
        </w:rPr>
        <w:t> </w:t>
      </w:r>
      <w:r w:rsidR="00225A45">
        <w:rPr>
          <w:rFonts w:cs="Arial"/>
          <w:szCs w:val="22"/>
        </w:rPr>
        <w:t>mg</w:t>
      </w:r>
      <w:r w:rsidR="00054E6A">
        <w:rPr>
          <w:rFonts w:cs="Arial"/>
          <w:szCs w:val="22"/>
        </w:rPr>
        <w:t> </w:t>
      </w:r>
      <w:r w:rsidR="00225A45">
        <w:rPr>
          <w:rFonts w:cs="Arial"/>
          <w:szCs w:val="22"/>
        </w:rPr>
        <w:t xml:space="preserve">HCN/kg), pickled bamboo shoots (mean </w:t>
      </w:r>
      <w:r w:rsidR="00054E6A">
        <w:rPr>
          <w:rFonts w:cs="Arial"/>
          <w:szCs w:val="22"/>
        </w:rPr>
        <w:t xml:space="preserve">of </w:t>
      </w:r>
      <w:r w:rsidR="00225A45">
        <w:rPr>
          <w:rFonts w:cs="Arial"/>
          <w:szCs w:val="22"/>
        </w:rPr>
        <w:t xml:space="preserve">21 mg HCN/kg) and </w:t>
      </w:r>
      <w:r w:rsidR="00D21989">
        <w:rPr>
          <w:rFonts w:cs="Arial"/>
          <w:szCs w:val="22"/>
        </w:rPr>
        <w:t>one sample of small green lima beans (32 mg HCN/kg).</w:t>
      </w:r>
      <w:r w:rsidR="009B2680" w:rsidRPr="009B2680">
        <w:rPr>
          <w:rFonts w:cs="Arial"/>
          <w:szCs w:val="22"/>
        </w:rPr>
        <w:t xml:space="preserve"> </w:t>
      </w:r>
    </w:p>
    <w:p w:rsidR="00570179" w:rsidRDefault="00570179" w:rsidP="00EE4365">
      <w:pPr>
        <w:rPr>
          <w:rFonts w:cs="Arial"/>
          <w:szCs w:val="22"/>
        </w:rPr>
      </w:pPr>
    </w:p>
    <w:p w:rsidR="009B2680" w:rsidRPr="00D17C57" w:rsidRDefault="009B2680" w:rsidP="00EE4365">
      <w:pPr>
        <w:rPr>
          <w:rFonts w:cs="Arial"/>
          <w:szCs w:val="22"/>
        </w:rPr>
      </w:pPr>
      <w:r w:rsidRPr="009B2680">
        <w:rPr>
          <w:rFonts w:cs="Arial"/>
          <w:szCs w:val="22"/>
        </w:rPr>
        <w:t xml:space="preserve">Findings indicate that the foods surveyed were within regulatory limits for </w:t>
      </w:r>
      <w:r w:rsidR="00EF3C7B">
        <w:rPr>
          <w:rFonts w:cs="Arial"/>
          <w:szCs w:val="22"/>
        </w:rPr>
        <w:t>H</w:t>
      </w:r>
      <w:r w:rsidRPr="009B2680">
        <w:rPr>
          <w:rFonts w:cs="Arial"/>
          <w:szCs w:val="22"/>
        </w:rPr>
        <w:t>CN, whe</w:t>
      </w:r>
      <w:r w:rsidR="00BA5DFB">
        <w:rPr>
          <w:rFonts w:cs="Arial"/>
          <w:szCs w:val="22"/>
        </w:rPr>
        <w:t>r</w:t>
      </w:r>
      <w:r w:rsidR="00313B65">
        <w:rPr>
          <w:rFonts w:cs="Arial"/>
          <w:szCs w:val="22"/>
        </w:rPr>
        <w:t xml:space="preserve">e such regulatory limits exist. </w:t>
      </w:r>
      <w:r w:rsidRPr="009B2680">
        <w:rPr>
          <w:rFonts w:cs="Arial"/>
          <w:szCs w:val="22"/>
        </w:rPr>
        <w:t>In the case of cassava</w:t>
      </w:r>
      <w:r>
        <w:rPr>
          <w:rFonts w:cs="Arial"/>
          <w:szCs w:val="22"/>
        </w:rPr>
        <w:t>,</w:t>
      </w:r>
      <w:r w:rsidRPr="009B2680">
        <w:rPr>
          <w:rFonts w:cs="Arial"/>
          <w:szCs w:val="22"/>
        </w:rPr>
        <w:t xml:space="preserve"> the samples met the regulatory requirements covering prohibited and restricted plants; namely they met the criteria for ‘sweet cassava’, which may be sold in Australia and New Zealand, as they contained less than 50 mg/kg of HCN.</w:t>
      </w:r>
      <w:r w:rsidR="00CD62FE">
        <w:rPr>
          <w:rFonts w:cs="Arial"/>
          <w:szCs w:val="22"/>
        </w:rPr>
        <w:t xml:space="preserve"> </w:t>
      </w:r>
    </w:p>
    <w:p w:rsidR="00840DD7" w:rsidRDefault="00840DD7" w:rsidP="00D57C16">
      <w:pPr>
        <w:rPr>
          <w:rFonts w:cs="Arial"/>
          <w:szCs w:val="22"/>
        </w:rPr>
      </w:pPr>
    </w:p>
    <w:p w:rsidR="00621281" w:rsidRDefault="00054E6A" w:rsidP="00D57C16">
      <w:pPr>
        <w:rPr>
          <w:rFonts w:cs="Arial"/>
          <w:szCs w:val="22"/>
        </w:rPr>
      </w:pPr>
      <w:r w:rsidRPr="00D17C57">
        <w:rPr>
          <w:rFonts w:cs="Arial"/>
          <w:szCs w:val="22"/>
        </w:rPr>
        <w:t xml:space="preserve">Eight samples of apple juice were analysed in Survey 1. Of these, </w:t>
      </w:r>
      <w:r w:rsidR="00873197">
        <w:rPr>
          <w:rFonts w:cs="Arial"/>
          <w:szCs w:val="22"/>
        </w:rPr>
        <w:t xml:space="preserve">only one was found to have measurable amounts of HCN. This sample had </w:t>
      </w:r>
      <w:r w:rsidRPr="00D17C57">
        <w:rPr>
          <w:rFonts w:cs="Arial"/>
          <w:szCs w:val="22"/>
        </w:rPr>
        <w:t xml:space="preserve">a total HCN content of 5.4 mg/kg, which was close to the LoD (4 mg HCN/kg). </w:t>
      </w:r>
      <w:r w:rsidR="00126454">
        <w:rPr>
          <w:rFonts w:cs="Arial"/>
          <w:szCs w:val="22"/>
        </w:rPr>
        <w:t xml:space="preserve">As there </w:t>
      </w:r>
      <w:r w:rsidR="00D17C57">
        <w:rPr>
          <w:rFonts w:cs="Arial"/>
          <w:szCs w:val="22"/>
        </w:rPr>
        <w:t>was some</w:t>
      </w:r>
      <w:r w:rsidR="00840DD7">
        <w:rPr>
          <w:rFonts w:cs="Arial"/>
          <w:szCs w:val="22"/>
        </w:rPr>
        <w:t xml:space="preserve"> uncertainty associated with this one positive result</w:t>
      </w:r>
      <w:r w:rsidR="005F4AE8">
        <w:rPr>
          <w:rFonts w:cs="Arial"/>
          <w:szCs w:val="22"/>
        </w:rPr>
        <w:t>,</w:t>
      </w:r>
      <w:r w:rsidR="00840DD7">
        <w:rPr>
          <w:rFonts w:cs="Arial"/>
          <w:szCs w:val="22"/>
        </w:rPr>
        <w:t xml:space="preserve"> </w:t>
      </w:r>
      <w:r w:rsidR="006A69D7" w:rsidRPr="006A69D7">
        <w:rPr>
          <w:rFonts w:cs="Arial"/>
          <w:szCs w:val="22"/>
        </w:rPr>
        <w:t>Survey 2</w:t>
      </w:r>
      <w:r>
        <w:rPr>
          <w:rFonts w:cs="Arial"/>
          <w:szCs w:val="22"/>
        </w:rPr>
        <w:t xml:space="preserve"> </w:t>
      </w:r>
      <w:r w:rsidR="00126454">
        <w:rPr>
          <w:rFonts w:cs="Arial"/>
          <w:szCs w:val="22"/>
        </w:rPr>
        <w:t>was undertaken to examine</w:t>
      </w:r>
      <w:r>
        <w:rPr>
          <w:rFonts w:cs="Arial"/>
          <w:szCs w:val="22"/>
        </w:rPr>
        <w:t xml:space="preserve"> </w:t>
      </w:r>
      <w:r w:rsidR="006A69D7" w:rsidRPr="006A69D7">
        <w:rPr>
          <w:rFonts w:cs="Arial"/>
          <w:szCs w:val="22"/>
        </w:rPr>
        <w:t>the cyanogenic glycoside content of a much larger sample of Australian and New Zealand apple juices</w:t>
      </w:r>
      <w:r w:rsidR="00840DD7">
        <w:rPr>
          <w:rFonts w:cs="Arial"/>
          <w:szCs w:val="22"/>
        </w:rPr>
        <w:t xml:space="preserve">. </w:t>
      </w:r>
    </w:p>
    <w:p w:rsidR="00D57C16" w:rsidRDefault="00D57C16" w:rsidP="00D12D6D">
      <w:pPr>
        <w:pStyle w:val="Heading2"/>
      </w:pPr>
      <w:bookmarkStart w:id="80" w:name="_Toc338160505"/>
      <w:bookmarkStart w:id="81" w:name="_Toc338161749"/>
      <w:bookmarkStart w:id="82" w:name="_Toc367957647"/>
      <w:bookmarkStart w:id="83" w:name="_Toc384293501"/>
      <w:r w:rsidRPr="00D12D6D">
        <w:t>4.2</w:t>
      </w:r>
      <w:r w:rsidRPr="00D12D6D">
        <w:tab/>
      </w:r>
      <w:bookmarkEnd w:id="80"/>
      <w:bookmarkEnd w:id="81"/>
      <w:r w:rsidRPr="00D12D6D">
        <w:t>Follow-up survey o</w:t>
      </w:r>
      <w:r w:rsidR="00395391">
        <w:t>f</w:t>
      </w:r>
      <w:r w:rsidRPr="00D12D6D">
        <w:t xml:space="preserve"> apple juice (Survey 2)</w:t>
      </w:r>
      <w:bookmarkEnd w:id="82"/>
      <w:bookmarkEnd w:id="83"/>
    </w:p>
    <w:p w:rsidR="00D12D6D" w:rsidRPr="00D12D6D" w:rsidRDefault="00D12D6D" w:rsidP="00D12D6D"/>
    <w:p w:rsidR="00CD62FE" w:rsidRDefault="00660F8C" w:rsidP="00D57C16">
      <w:pPr>
        <w:rPr>
          <w:rFonts w:cs="Arial"/>
          <w:szCs w:val="22"/>
        </w:rPr>
      </w:pPr>
      <w:r w:rsidRPr="00660F8C">
        <w:rPr>
          <w:rFonts w:cs="Arial"/>
          <w:szCs w:val="22"/>
        </w:rPr>
        <w:t>Resul</w:t>
      </w:r>
      <w:r>
        <w:rPr>
          <w:rFonts w:cs="Arial"/>
          <w:szCs w:val="22"/>
        </w:rPr>
        <w:t>ts of Survey 2</w:t>
      </w:r>
      <w:r w:rsidRPr="00660F8C">
        <w:rPr>
          <w:rFonts w:cs="Arial"/>
          <w:szCs w:val="22"/>
        </w:rPr>
        <w:t xml:space="preserve"> were reported in </w:t>
      </w:r>
      <w:r w:rsidRPr="00660F8C">
        <w:rPr>
          <w:rFonts w:cs="Arial"/>
          <w:i/>
          <w:szCs w:val="22"/>
        </w:rPr>
        <w:t>Determination of presence of cyanogenic residues in apple juices in Australia and New Zealand</w:t>
      </w:r>
      <w:r w:rsidRPr="00660F8C">
        <w:rPr>
          <w:rFonts w:cs="Arial"/>
          <w:szCs w:val="22"/>
        </w:rPr>
        <w:t xml:space="preserve"> (ESR, 2012 – unpublished)</w:t>
      </w:r>
      <w:r w:rsidR="00D85A57">
        <w:rPr>
          <w:rFonts w:cs="Arial"/>
          <w:szCs w:val="22"/>
        </w:rPr>
        <w:t xml:space="preserve"> and are summarised in </w:t>
      </w:r>
      <w:r w:rsidR="00ED1DAC">
        <w:rPr>
          <w:rFonts w:cs="Arial"/>
          <w:szCs w:val="22"/>
        </w:rPr>
        <w:t>A</w:t>
      </w:r>
      <w:r w:rsidR="00D85A57">
        <w:rPr>
          <w:rFonts w:cs="Arial"/>
          <w:szCs w:val="22"/>
        </w:rPr>
        <w:t xml:space="preserve">ppendix </w:t>
      </w:r>
      <w:r w:rsidR="00ED1DAC">
        <w:rPr>
          <w:rFonts w:cs="Arial"/>
          <w:szCs w:val="22"/>
        </w:rPr>
        <w:t>3</w:t>
      </w:r>
      <w:r w:rsidR="009E51B7">
        <w:rPr>
          <w:rFonts w:cs="Arial"/>
          <w:szCs w:val="22"/>
        </w:rPr>
        <w:t>.</w:t>
      </w:r>
      <w:r w:rsidRPr="00660F8C">
        <w:rPr>
          <w:rFonts w:cs="Arial"/>
          <w:szCs w:val="22"/>
        </w:rPr>
        <w:t xml:space="preserve"> </w:t>
      </w:r>
      <w:r w:rsidR="00644734">
        <w:rPr>
          <w:rFonts w:cs="Arial"/>
          <w:szCs w:val="22"/>
        </w:rPr>
        <w:t xml:space="preserve">Of the 108 individual samples collected, measurable amounts of HCN were found in four of the retail samples but none </w:t>
      </w:r>
      <w:r w:rsidR="00FB78C0">
        <w:rPr>
          <w:rFonts w:cs="Arial"/>
          <w:szCs w:val="22"/>
        </w:rPr>
        <w:t>in the set of</w:t>
      </w:r>
      <w:r w:rsidR="00644734">
        <w:rPr>
          <w:rFonts w:cs="Arial"/>
          <w:szCs w:val="22"/>
        </w:rPr>
        <w:t xml:space="preserve"> juice manufacturer</w:t>
      </w:r>
      <w:r w:rsidR="00FB78C0">
        <w:rPr>
          <w:rFonts w:cs="Arial"/>
          <w:szCs w:val="22"/>
        </w:rPr>
        <w:t>’s</w:t>
      </w:r>
      <w:r w:rsidR="00644734">
        <w:rPr>
          <w:rFonts w:cs="Arial"/>
          <w:szCs w:val="22"/>
        </w:rPr>
        <w:t xml:space="preserve"> samples. </w:t>
      </w:r>
    </w:p>
    <w:p w:rsidR="00AF7039" w:rsidRDefault="00AF7039" w:rsidP="00D57C16">
      <w:pPr>
        <w:rPr>
          <w:rFonts w:cs="Arial"/>
          <w:i/>
          <w:szCs w:val="22"/>
        </w:rPr>
      </w:pPr>
    </w:p>
    <w:p w:rsidR="00D57C16" w:rsidRDefault="00D57C16" w:rsidP="0026440D">
      <w:pPr>
        <w:pStyle w:val="Heading3"/>
      </w:pPr>
      <w:bookmarkStart w:id="84" w:name="_Toc384293502"/>
      <w:r>
        <w:t>4.</w:t>
      </w:r>
      <w:r w:rsidR="00644734">
        <w:t>2</w:t>
      </w:r>
      <w:r>
        <w:t>.1</w:t>
      </w:r>
      <w:r w:rsidR="008A0966">
        <w:tab/>
      </w:r>
      <w:r w:rsidRPr="00EE2497">
        <w:t>Retail samples</w:t>
      </w:r>
      <w:bookmarkEnd w:id="84"/>
    </w:p>
    <w:p w:rsidR="00D57C16" w:rsidRPr="00EE2497" w:rsidRDefault="00D57C16" w:rsidP="00D57C16">
      <w:pPr>
        <w:rPr>
          <w:rFonts w:cs="Arial"/>
          <w:i/>
          <w:szCs w:val="22"/>
        </w:rPr>
      </w:pPr>
    </w:p>
    <w:p w:rsidR="00E8674B" w:rsidRDefault="00D57C16" w:rsidP="00D57C16">
      <w:pPr>
        <w:rPr>
          <w:rFonts w:cs="Arial"/>
          <w:szCs w:val="22"/>
        </w:rPr>
      </w:pPr>
      <w:r>
        <w:rPr>
          <w:rFonts w:cs="Arial"/>
          <w:szCs w:val="22"/>
        </w:rPr>
        <w:t>For Survey 2, total HCN concentrations were above the LoD in four of 98 retail samples of juice</w:t>
      </w:r>
      <w:r w:rsidR="00313B65">
        <w:rPr>
          <w:rFonts w:cs="Arial"/>
          <w:szCs w:val="22"/>
        </w:rPr>
        <w:t xml:space="preserve">, ranging </w:t>
      </w:r>
      <w:r>
        <w:rPr>
          <w:rFonts w:cs="Arial"/>
          <w:szCs w:val="22"/>
        </w:rPr>
        <w:t>from 1.5-4.2 mg/kg. The characteristics of these samples</w:t>
      </w:r>
      <w:r w:rsidR="00644734">
        <w:rPr>
          <w:rFonts w:cs="Arial"/>
          <w:szCs w:val="22"/>
        </w:rPr>
        <w:t xml:space="preserve"> and total HCN levels detected</w:t>
      </w:r>
      <w:r>
        <w:rPr>
          <w:rFonts w:cs="Arial"/>
          <w:szCs w:val="22"/>
        </w:rPr>
        <w:t xml:space="preserve"> are summarised in Table </w:t>
      </w:r>
      <w:r w:rsidR="00DD19A2">
        <w:rPr>
          <w:rFonts w:cs="Arial"/>
          <w:szCs w:val="22"/>
        </w:rPr>
        <w:t>6</w:t>
      </w:r>
      <w:r>
        <w:rPr>
          <w:rFonts w:cs="Arial"/>
          <w:szCs w:val="22"/>
        </w:rPr>
        <w:t>.</w:t>
      </w:r>
    </w:p>
    <w:p w:rsidR="00D17C57" w:rsidRDefault="00D17C57">
      <w:pPr>
        <w:spacing w:after="200" w:line="276" w:lineRule="auto"/>
        <w:rPr>
          <w:rFonts w:cs="Arial"/>
          <w:szCs w:val="22"/>
        </w:rPr>
      </w:pPr>
      <w:r>
        <w:rPr>
          <w:rFonts w:cs="Arial"/>
          <w:szCs w:val="22"/>
        </w:rPr>
        <w:br w:type="page"/>
      </w:r>
    </w:p>
    <w:p w:rsidR="00D57C16" w:rsidRPr="00391DE3" w:rsidRDefault="00D57C16" w:rsidP="00391DE3">
      <w:pPr>
        <w:pStyle w:val="Heading3LT"/>
      </w:pPr>
      <w:bookmarkStart w:id="85" w:name="_Toc384293552"/>
      <w:r w:rsidRPr="00391DE3">
        <w:lastRenderedPageBreak/>
        <w:t xml:space="preserve">Table </w:t>
      </w:r>
      <w:r w:rsidR="00DD19A2">
        <w:t>6</w:t>
      </w:r>
      <w:r w:rsidRPr="00391DE3">
        <w:t xml:space="preserve">: </w:t>
      </w:r>
      <w:r w:rsidR="001F3122">
        <w:t xml:space="preserve">Summary information for </w:t>
      </w:r>
      <w:r w:rsidR="003E4E1F">
        <w:t xml:space="preserve">four </w:t>
      </w:r>
      <w:r w:rsidR="001F3122">
        <w:t>a</w:t>
      </w:r>
      <w:r w:rsidRPr="00391DE3">
        <w:t xml:space="preserve">pple juice </w:t>
      </w:r>
      <w:r w:rsidR="001F3122">
        <w:t xml:space="preserve">samples </w:t>
      </w:r>
      <w:r w:rsidRPr="00391DE3">
        <w:t>available in</w:t>
      </w:r>
      <w:r w:rsidR="001F3122">
        <w:t xml:space="preserve"> Australia and</w:t>
      </w:r>
      <w:r w:rsidRPr="00391DE3">
        <w:t xml:space="preserve"> New Zealand </w:t>
      </w:r>
      <w:r w:rsidR="001F3122">
        <w:t xml:space="preserve">analysed </w:t>
      </w:r>
      <w:r w:rsidR="003E4E1F">
        <w:t xml:space="preserve">which had </w:t>
      </w:r>
      <w:r w:rsidR="001F3122">
        <w:t>detectable levels of total HCN</w:t>
      </w:r>
      <w:bookmarkEnd w:id="85"/>
    </w:p>
    <w:tbl>
      <w:tblPr>
        <w:tblStyle w:val="MediumShading1-Accent1"/>
        <w:tblW w:w="9889" w:type="dxa"/>
        <w:tblBorders>
          <w:insideV w:val="single" w:sz="8" w:space="0" w:color="7BA0CD" w:themeColor="accent1" w:themeTint="BF"/>
        </w:tblBorders>
        <w:tblLook w:val="00A0" w:firstRow="1" w:lastRow="0" w:firstColumn="1" w:lastColumn="0" w:noHBand="0" w:noVBand="0"/>
      </w:tblPr>
      <w:tblGrid>
        <w:gridCol w:w="2187"/>
        <w:gridCol w:w="1543"/>
        <w:gridCol w:w="1327"/>
        <w:gridCol w:w="1197"/>
        <w:gridCol w:w="3635"/>
      </w:tblGrid>
      <w:tr w:rsidR="00ED1DAC" w:rsidRPr="00934591" w:rsidTr="00ED1D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Borders>
              <w:top w:val="none" w:sz="0" w:space="0" w:color="auto"/>
              <w:left w:val="none" w:sz="0" w:space="0" w:color="auto"/>
              <w:bottom w:val="none" w:sz="0" w:space="0" w:color="auto"/>
              <w:right w:val="none" w:sz="0" w:space="0" w:color="auto"/>
            </w:tcBorders>
          </w:tcPr>
          <w:p w:rsidR="00ED1DAC" w:rsidRPr="00D72C42" w:rsidRDefault="00ED1DAC" w:rsidP="00A552F0">
            <w:pPr>
              <w:spacing w:line="240" w:lineRule="atLeast"/>
              <w:rPr>
                <w:rFonts w:cs="Arial"/>
                <w:sz w:val="20"/>
                <w:szCs w:val="20"/>
                <w:lang w:val="en-US" w:eastAsia="en-US"/>
              </w:rPr>
            </w:pPr>
            <w:r>
              <w:rPr>
                <w:rFonts w:cs="Arial"/>
                <w:sz w:val="20"/>
                <w:szCs w:val="20"/>
                <w:lang w:val="en-US" w:eastAsia="en-US"/>
              </w:rPr>
              <w:t>Apple juice type</w:t>
            </w:r>
          </w:p>
        </w:tc>
        <w:tc>
          <w:tcPr>
            <w:cnfStyle w:val="000010000000" w:firstRow="0" w:lastRow="0" w:firstColumn="0" w:lastColumn="0" w:oddVBand="1" w:evenVBand="0" w:oddHBand="0" w:evenHBand="0" w:firstRowFirstColumn="0" w:firstRowLastColumn="0" w:lastRowFirstColumn="0" w:lastRowLastColumn="0"/>
            <w:tcW w:w="1543" w:type="dxa"/>
            <w:tcBorders>
              <w:top w:val="none" w:sz="0" w:space="0" w:color="auto"/>
              <w:left w:val="none" w:sz="0" w:space="0" w:color="auto"/>
              <w:bottom w:val="none" w:sz="0" w:space="0" w:color="auto"/>
              <w:right w:val="none" w:sz="0" w:space="0" w:color="auto"/>
            </w:tcBorders>
          </w:tcPr>
          <w:p w:rsidR="00ED1DAC" w:rsidRPr="004A29A1" w:rsidRDefault="00ED1DAC" w:rsidP="00A552F0">
            <w:pPr>
              <w:spacing w:line="240" w:lineRule="atLeast"/>
              <w:rPr>
                <w:rFonts w:cs="Arial"/>
                <w:sz w:val="20"/>
                <w:szCs w:val="20"/>
                <w:lang w:val="en-US" w:eastAsia="en-US"/>
              </w:rPr>
            </w:pPr>
            <w:r w:rsidRPr="004A29A1">
              <w:rPr>
                <w:rFonts w:cs="Arial"/>
                <w:sz w:val="20"/>
                <w:szCs w:val="20"/>
                <w:lang w:val="en-US" w:eastAsia="en-US"/>
              </w:rPr>
              <w:t>Country of purchase</w:t>
            </w:r>
          </w:p>
        </w:tc>
        <w:tc>
          <w:tcPr>
            <w:tcW w:w="1327" w:type="dxa"/>
            <w:tcBorders>
              <w:top w:val="none" w:sz="0" w:space="0" w:color="auto"/>
              <w:left w:val="none" w:sz="0" w:space="0" w:color="auto"/>
              <w:bottom w:val="none" w:sz="0" w:space="0" w:color="auto"/>
              <w:right w:val="none" w:sz="0" w:space="0" w:color="auto"/>
            </w:tcBorders>
          </w:tcPr>
          <w:p w:rsidR="00ED1DAC" w:rsidRPr="004A29A1" w:rsidRDefault="00ED1DAC" w:rsidP="00A552F0">
            <w:pPr>
              <w:spacing w:line="240" w:lineRule="atLeast"/>
              <w:cnfStyle w:val="100000000000" w:firstRow="1" w:lastRow="0" w:firstColumn="0" w:lastColumn="0" w:oddVBand="0" w:evenVBand="0" w:oddHBand="0" w:evenHBand="0" w:firstRowFirstColumn="0" w:firstRowLastColumn="0" w:lastRowFirstColumn="0" w:lastRowLastColumn="0"/>
              <w:rPr>
                <w:rFonts w:cs="Arial"/>
                <w:sz w:val="20"/>
                <w:szCs w:val="20"/>
                <w:lang w:val="en-US" w:eastAsia="en-US"/>
              </w:rPr>
            </w:pPr>
            <w:r>
              <w:rPr>
                <w:rFonts w:cs="Arial"/>
                <w:sz w:val="20"/>
                <w:szCs w:val="20"/>
                <w:lang w:val="en-US" w:eastAsia="en-US"/>
              </w:rPr>
              <w:t>Origin of product</w:t>
            </w:r>
          </w:p>
        </w:tc>
        <w:tc>
          <w:tcPr>
            <w:cnfStyle w:val="000010000000" w:firstRow="0" w:lastRow="0" w:firstColumn="0" w:lastColumn="0" w:oddVBand="1" w:evenVBand="0" w:oddHBand="0" w:evenHBand="0" w:firstRowFirstColumn="0" w:firstRowLastColumn="0" w:lastRowFirstColumn="0" w:lastRowLastColumn="0"/>
            <w:tcW w:w="1197" w:type="dxa"/>
            <w:tcBorders>
              <w:top w:val="none" w:sz="0" w:space="0" w:color="auto"/>
              <w:left w:val="none" w:sz="0" w:space="0" w:color="auto"/>
              <w:bottom w:val="none" w:sz="0" w:space="0" w:color="auto"/>
              <w:right w:val="none" w:sz="0" w:space="0" w:color="auto"/>
            </w:tcBorders>
          </w:tcPr>
          <w:p w:rsidR="00ED1DAC" w:rsidRPr="004A29A1" w:rsidRDefault="00ED1DAC" w:rsidP="00A552F0">
            <w:pPr>
              <w:spacing w:line="240" w:lineRule="atLeast"/>
              <w:rPr>
                <w:rFonts w:cs="Arial"/>
                <w:sz w:val="20"/>
                <w:szCs w:val="20"/>
                <w:lang w:val="en-US" w:eastAsia="en-US"/>
              </w:rPr>
            </w:pPr>
            <w:r w:rsidRPr="004A29A1">
              <w:rPr>
                <w:rFonts w:cs="Arial"/>
                <w:sz w:val="20"/>
                <w:szCs w:val="20"/>
                <w:lang w:val="en-US" w:eastAsia="en-US"/>
              </w:rPr>
              <w:t>Total HCN (mg HCN/kg)</w:t>
            </w:r>
            <w:r>
              <w:rPr>
                <w:rFonts w:cs="Arial"/>
                <w:sz w:val="20"/>
                <w:szCs w:val="20"/>
                <w:lang w:val="en-US" w:eastAsia="en-US"/>
              </w:rPr>
              <w:t>*</w:t>
            </w:r>
          </w:p>
        </w:tc>
        <w:tc>
          <w:tcPr>
            <w:tcW w:w="3635" w:type="dxa"/>
            <w:tcBorders>
              <w:top w:val="none" w:sz="0" w:space="0" w:color="auto"/>
              <w:left w:val="none" w:sz="0" w:space="0" w:color="auto"/>
              <w:bottom w:val="none" w:sz="0" w:space="0" w:color="auto"/>
              <w:right w:val="none" w:sz="0" w:space="0" w:color="auto"/>
            </w:tcBorders>
          </w:tcPr>
          <w:p w:rsidR="00ED1DAC" w:rsidRPr="004A29A1" w:rsidRDefault="00ED1DAC" w:rsidP="00A552F0">
            <w:pPr>
              <w:spacing w:line="240" w:lineRule="atLeast"/>
              <w:cnfStyle w:val="100000000000" w:firstRow="1" w:lastRow="0" w:firstColumn="0" w:lastColumn="0" w:oddVBand="0" w:evenVBand="0" w:oddHBand="0" w:evenHBand="0" w:firstRowFirstColumn="0" w:firstRowLastColumn="0" w:lastRowFirstColumn="0" w:lastRowLastColumn="0"/>
              <w:rPr>
                <w:rFonts w:cs="Arial"/>
                <w:sz w:val="20"/>
                <w:szCs w:val="20"/>
                <w:lang w:val="en-US" w:eastAsia="en-US"/>
              </w:rPr>
            </w:pPr>
            <w:r w:rsidRPr="004A29A1">
              <w:rPr>
                <w:rFonts w:cs="Arial"/>
                <w:sz w:val="20"/>
                <w:szCs w:val="20"/>
                <w:lang w:val="en-US" w:eastAsia="en-US"/>
              </w:rPr>
              <w:t>Comments</w:t>
            </w:r>
          </w:p>
        </w:tc>
      </w:tr>
      <w:tr w:rsidR="00ED1DAC" w:rsidRPr="0042685A" w:rsidTr="00ED1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Borders>
              <w:right w:val="none" w:sz="0" w:space="0" w:color="auto"/>
            </w:tcBorders>
            <w:shd w:val="clear" w:color="auto" w:fill="D3DFEE"/>
          </w:tcPr>
          <w:p w:rsidR="00ED1DAC" w:rsidRPr="004C18E5" w:rsidRDefault="00ED1DAC" w:rsidP="00A552F0">
            <w:pPr>
              <w:spacing w:line="240" w:lineRule="atLeast"/>
              <w:rPr>
                <w:rFonts w:cs="Arial"/>
                <w:bCs w:val="0"/>
                <w:color w:val="000000"/>
                <w:sz w:val="20"/>
                <w:szCs w:val="20"/>
                <w:lang w:val="en-US" w:eastAsia="en-US"/>
              </w:rPr>
            </w:pPr>
            <w:r w:rsidRPr="004C18E5">
              <w:rPr>
                <w:rFonts w:cs="Arial"/>
                <w:color w:val="000000"/>
                <w:sz w:val="20"/>
                <w:szCs w:val="20"/>
                <w:lang w:val="en-US" w:eastAsia="en-US"/>
              </w:rPr>
              <w:t>Shelf-stable organic juice</w:t>
            </w:r>
          </w:p>
          <w:p w:rsidR="00ED1DAC" w:rsidRPr="004C18E5" w:rsidRDefault="00ED1DAC" w:rsidP="00A552F0">
            <w:pPr>
              <w:ind w:firstLine="567"/>
              <w:rPr>
                <w:rFonts w:cs="Arial"/>
                <w:sz w:val="20"/>
                <w:szCs w:val="20"/>
                <w:lang w:val="en-US" w:eastAsia="en-US"/>
              </w:rPr>
            </w:pPr>
          </w:p>
        </w:tc>
        <w:tc>
          <w:tcPr>
            <w:cnfStyle w:val="000010000000" w:firstRow="0" w:lastRow="0" w:firstColumn="0" w:lastColumn="0" w:oddVBand="1" w:evenVBand="0" w:oddHBand="0" w:evenHBand="0" w:firstRowFirstColumn="0" w:firstRowLastColumn="0" w:lastRowFirstColumn="0" w:lastRowLastColumn="0"/>
            <w:tcW w:w="1543" w:type="dxa"/>
            <w:tcBorders>
              <w:left w:val="none" w:sz="0" w:space="0" w:color="auto"/>
              <w:right w:val="none" w:sz="0" w:space="0" w:color="auto"/>
            </w:tcBorders>
            <w:shd w:val="clear" w:color="auto" w:fill="D3DFEE"/>
          </w:tcPr>
          <w:p w:rsidR="00ED1DAC" w:rsidRPr="004A29A1" w:rsidRDefault="00ED1DAC" w:rsidP="00A552F0">
            <w:pPr>
              <w:spacing w:line="240" w:lineRule="atLeast"/>
              <w:rPr>
                <w:rFonts w:cs="Arial"/>
                <w:color w:val="000000"/>
                <w:sz w:val="20"/>
                <w:szCs w:val="20"/>
                <w:lang w:val="en-US" w:eastAsia="en-US"/>
              </w:rPr>
            </w:pPr>
            <w:r>
              <w:rPr>
                <w:rFonts w:cs="Arial"/>
                <w:color w:val="000000"/>
                <w:sz w:val="20"/>
                <w:szCs w:val="20"/>
                <w:lang w:val="en-US" w:eastAsia="en-US"/>
              </w:rPr>
              <w:t>New Zealand</w:t>
            </w:r>
          </w:p>
        </w:tc>
        <w:tc>
          <w:tcPr>
            <w:tcW w:w="1327" w:type="dxa"/>
            <w:tcBorders>
              <w:left w:val="none" w:sz="0" w:space="0" w:color="auto"/>
              <w:right w:val="none" w:sz="0" w:space="0" w:color="auto"/>
            </w:tcBorders>
            <w:shd w:val="clear" w:color="auto" w:fill="D3DFEE"/>
          </w:tcPr>
          <w:p w:rsidR="00ED1DAC" w:rsidRPr="004A29A1" w:rsidRDefault="00ED1DAC" w:rsidP="00A552F0">
            <w:pPr>
              <w:spacing w:line="240" w:lineRule="atLeast"/>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en-US" w:eastAsia="en-US"/>
              </w:rPr>
            </w:pPr>
            <w:r>
              <w:rPr>
                <w:rFonts w:cs="Arial"/>
                <w:color w:val="000000"/>
                <w:sz w:val="20"/>
                <w:szCs w:val="20"/>
                <w:lang w:val="en-US" w:eastAsia="en-US"/>
              </w:rPr>
              <w:t>New Zealand</w:t>
            </w:r>
          </w:p>
        </w:tc>
        <w:tc>
          <w:tcPr>
            <w:cnfStyle w:val="000010000000" w:firstRow="0" w:lastRow="0" w:firstColumn="0" w:lastColumn="0" w:oddVBand="1" w:evenVBand="0" w:oddHBand="0" w:evenHBand="0" w:firstRowFirstColumn="0" w:firstRowLastColumn="0" w:lastRowFirstColumn="0" w:lastRowLastColumn="0"/>
            <w:tcW w:w="1197" w:type="dxa"/>
            <w:tcBorders>
              <w:left w:val="none" w:sz="0" w:space="0" w:color="auto"/>
              <w:right w:val="none" w:sz="0" w:space="0" w:color="auto"/>
            </w:tcBorders>
            <w:shd w:val="clear" w:color="auto" w:fill="D3DFEE"/>
          </w:tcPr>
          <w:p w:rsidR="00ED1DAC" w:rsidRPr="004A29A1" w:rsidRDefault="00ED1DAC" w:rsidP="00A552F0">
            <w:pPr>
              <w:spacing w:line="240" w:lineRule="atLeast"/>
              <w:rPr>
                <w:rFonts w:cs="Arial"/>
                <w:color w:val="000000"/>
                <w:sz w:val="20"/>
                <w:szCs w:val="20"/>
                <w:lang w:val="en-US" w:eastAsia="en-US"/>
              </w:rPr>
            </w:pPr>
            <w:r w:rsidRPr="004A29A1">
              <w:rPr>
                <w:rFonts w:cs="Arial"/>
                <w:color w:val="000000"/>
                <w:sz w:val="20"/>
                <w:szCs w:val="20"/>
                <w:lang w:val="en-US" w:eastAsia="en-US"/>
              </w:rPr>
              <w:t>2</w:t>
            </w:r>
            <w:r>
              <w:rPr>
                <w:rFonts w:cs="Arial"/>
                <w:color w:val="000000"/>
                <w:sz w:val="20"/>
                <w:szCs w:val="20"/>
                <w:lang w:val="en-US" w:eastAsia="en-US"/>
              </w:rPr>
              <w:t>.6</w:t>
            </w:r>
          </w:p>
        </w:tc>
        <w:tc>
          <w:tcPr>
            <w:tcW w:w="3635" w:type="dxa"/>
            <w:tcBorders>
              <w:left w:val="none" w:sz="0" w:space="0" w:color="auto"/>
            </w:tcBorders>
            <w:shd w:val="clear" w:color="auto" w:fill="D3DFEE"/>
          </w:tcPr>
          <w:p w:rsidR="00ED1DAC" w:rsidRPr="004A29A1" w:rsidRDefault="00ED1DAC" w:rsidP="00A552F0">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US" w:eastAsia="en-US"/>
              </w:rPr>
            </w:pPr>
            <w:r w:rsidRPr="004A29A1">
              <w:rPr>
                <w:rFonts w:cs="Arial"/>
                <w:color w:val="000000"/>
                <w:sz w:val="16"/>
                <w:szCs w:val="16"/>
                <w:lang w:val="en-US" w:eastAsia="en-US"/>
              </w:rPr>
              <w:t>No further batches or products from the manufacturer of this product were collected as part of this survey.</w:t>
            </w:r>
          </w:p>
        </w:tc>
      </w:tr>
      <w:tr w:rsidR="00ED1DAC" w:rsidRPr="0042685A" w:rsidTr="00ED1D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Borders>
              <w:right w:val="none" w:sz="0" w:space="0" w:color="auto"/>
            </w:tcBorders>
            <w:shd w:val="clear" w:color="auto" w:fill="auto"/>
          </w:tcPr>
          <w:p w:rsidR="00ED1DAC" w:rsidRPr="004C18E5" w:rsidRDefault="00ED1DAC" w:rsidP="00A552F0">
            <w:pPr>
              <w:spacing w:line="240" w:lineRule="atLeast"/>
              <w:rPr>
                <w:rFonts w:cs="Arial"/>
                <w:color w:val="000000"/>
                <w:sz w:val="20"/>
                <w:szCs w:val="20"/>
                <w:lang w:val="en-US" w:eastAsia="en-US"/>
              </w:rPr>
            </w:pPr>
            <w:r w:rsidRPr="004C18E5">
              <w:rPr>
                <w:rFonts w:cs="Arial"/>
                <w:color w:val="000000"/>
                <w:sz w:val="20"/>
                <w:szCs w:val="20"/>
                <w:lang w:val="en-US" w:eastAsia="en-US"/>
              </w:rPr>
              <w:t>Shelf-stable, reconstituted juice</w:t>
            </w:r>
          </w:p>
        </w:tc>
        <w:tc>
          <w:tcPr>
            <w:cnfStyle w:val="000010000000" w:firstRow="0" w:lastRow="0" w:firstColumn="0" w:lastColumn="0" w:oddVBand="1" w:evenVBand="0" w:oddHBand="0" w:evenHBand="0" w:firstRowFirstColumn="0" w:firstRowLastColumn="0" w:lastRowFirstColumn="0" w:lastRowLastColumn="0"/>
            <w:tcW w:w="1543" w:type="dxa"/>
            <w:tcBorders>
              <w:left w:val="none" w:sz="0" w:space="0" w:color="auto"/>
              <w:right w:val="none" w:sz="0" w:space="0" w:color="auto"/>
            </w:tcBorders>
            <w:shd w:val="clear" w:color="auto" w:fill="auto"/>
          </w:tcPr>
          <w:p w:rsidR="00ED1DAC" w:rsidRPr="004A29A1" w:rsidRDefault="00ED1DAC" w:rsidP="00A552F0">
            <w:pPr>
              <w:spacing w:line="240" w:lineRule="atLeast"/>
              <w:rPr>
                <w:rFonts w:cs="Arial"/>
                <w:color w:val="000000"/>
                <w:sz w:val="20"/>
                <w:szCs w:val="20"/>
                <w:lang w:val="en-US" w:eastAsia="en-US"/>
              </w:rPr>
            </w:pPr>
            <w:r>
              <w:rPr>
                <w:rFonts w:cs="Arial"/>
                <w:color w:val="000000"/>
                <w:sz w:val="20"/>
                <w:szCs w:val="20"/>
                <w:lang w:val="en-US" w:eastAsia="en-US"/>
              </w:rPr>
              <w:t>New Zealand</w:t>
            </w:r>
          </w:p>
        </w:tc>
        <w:tc>
          <w:tcPr>
            <w:tcW w:w="1327" w:type="dxa"/>
            <w:tcBorders>
              <w:left w:val="none" w:sz="0" w:space="0" w:color="auto"/>
              <w:right w:val="none" w:sz="0" w:space="0" w:color="auto"/>
            </w:tcBorders>
            <w:shd w:val="clear" w:color="auto" w:fill="auto"/>
          </w:tcPr>
          <w:p w:rsidR="00ED1DAC" w:rsidRPr="004A29A1" w:rsidRDefault="00ED1DAC" w:rsidP="00A552F0">
            <w:pPr>
              <w:spacing w:line="240" w:lineRule="atLeast"/>
              <w:cnfStyle w:val="000000010000" w:firstRow="0" w:lastRow="0" w:firstColumn="0" w:lastColumn="0" w:oddVBand="0" w:evenVBand="0" w:oddHBand="0" w:evenHBand="1" w:firstRowFirstColumn="0" w:firstRowLastColumn="0" w:lastRowFirstColumn="0" w:lastRowLastColumn="0"/>
              <w:rPr>
                <w:rFonts w:cs="Arial"/>
                <w:color w:val="000000"/>
                <w:sz w:val="20"/>
                <w:szCs w:val="20"/>
                <w:lang w:val="en-US" w:eastAsia="en-US"/>
              </w:rPr>
            </w:pPr>
            <w:r>
              <w:rPr>
                <w:rFonts w:cs="Arial"/>
                <w:color w:val="000000"/>
                <w:sz w:val="20"/>
                <w:szCs w:val="20"/>
                <w:lang w:val="en-US" w:eastAsia="en-US"/>
              </w:rPr>
              <w:t>Made from imported and local ingredients</w:t>
            </w:r>
          </w:p>
        </w:tc>
        <w:tc>
          <w:tcPr>
            <w:cnfStyle w:val="000010000000" w:firstRow="0" w:lastRow="0" w:firstColumn="0" w:lastColumn="0" w:oddVBand="1" w:evenVBand="0" w:oddHBand="0" w:evenHBand="0" w:firstRowFirstColumn="0" w:firstRowLastColumn="0" w:lastRowFirstColumn="0" w:lastRowLastColumn="0"/>
            <w:tcW w:w="1197" w:type="dxa"/>
            <w:tcBorders>
              <w:left w:val="none" w:sz="0" w:space="0" w:color="auto"/>
              <w:right w:val="none" w:sz="0" w:space="0" w:color="auto"/>
            </w:tcBorders>
            <w:shd w:val="clear" w:color="auto" w:fill="auto"/>
          </w:tcPr>
          <w:p w:rsidR="00ED1DAC" w:rsidRPr="004A29A1" w:rsidRDefault="00ED1DAC" w:rsidP="00A552F0">
            <w:pPr>
              <w:spacing w:line="240" w:lineRule="atLeast"/>
              <w:rPr>
                <w:rFonts w:cs="Arial"/>
                <w:color w:val="000000"/>
                <w:sz w:val="20"/>
                <w:szCs w:val="20"/>
                <w:lang w:val="en-US" w:eastAsia="en-US"/>
              </w:rPr>
            </w:pPr>
            <w:r>
              <w:rPr>
                <w:rFonts w:cs="Arial"/>
                <w:color w:val="000000"/>
                <w:sz w:val="20"/>
                <w:szCs w:val="20"/>
                <w:lang w:val="en-US" w:eastAsia="en-US"/>
              </w:rPr>
              <w:t>4.2</w:t>
            </w:r>
          </w:p>
        </w:tc>
        <w:tc>
          <w:tcPr>
            <w:tcW w:w="3635" w:type="dxa"/>
            <w:tcBorders>
              <w:left w:val="none" w:sz="0" w:space="0" w:color="auto"/>
            </w:tcBorders>
            <w:shd w:val="clear" w:color="auto" w:fill="auto"/>
          </w:tcPr>
          <w:p w:rsidR="00ED1DAC" w:rsidRDefault="00ED1DAC" w:rsidP="00A552F0">
            <w:pPr>
              <w:cnfStyle w:val="000000010000" w:firstRow="0" w:lastRow="0" w:firstColumn="0" w:lastColumn="0" w:oddVBand="0" w:evenVBand="0" w:oddHBand="0" w:evenHBand="1" w:firstRowFirstColumn="0" w:firstRowLastColumn="0" w:lastRowFirstColumn="0" w:lastRowLastColumn="0"/>
              <w:rPr>
                <w:rFonts w:cs="Arial"/>
                <w:color w:val="000000"/>
                <w:sz w:val="16"/>
                <w:szCs w:val="16"/>
                <w:lang w:val="en-US" w:eastAsia="en-US"/>
              </w:rPr>
            </w:pPr>
            <w:r>
              <w:rPr>
                <w:rFonts w:cs="Arial"/>
                <w:color w:val="000000"/>
                <w:sz w:val="16"/>
                <w:szCs w:val="16"/>
                <w:lang w:val="en-US" w:eastAsia="en-US"/>
              </w:rPr>
              <w:t>A</w:t>
            </w:r>
            <w:r w:rsidRPr="00B62427">
              <w:rPr>
                <w:rFonts w:cs="Arial"/>
                <w:color w:val="000000"/>
                <w:sz w:val="16"/>
                <w:szCs w:val="16"/>
                <w:lang w:val="en-US" w:eastAsia="en-US"/>
              </w:rPr>
              <w:t xml:space="preserve"> second batch of the same product and a further five apple juices from the same manufacturer did not contain detectable </w:t>
            </w:r>
            <w:r>
              <w:rPr>
                <w:rFonts w:cs="Arial"/>
                <w:color w:val="000000"/>
                <w:sz w:val="16"/>
                <w:szCs w:val="16"/>
                <w:lang w:val="en-US" w:eastAsia="en-US"/>
              </w:rPr>
              <w:t xml:space="preserve">levels of </w:t>
            </w:r>
            <w:r w:rsidRPr="00B62427">
              <w:rPr>
                <w:rFonts w:cs="Arial"/>
                <w:color w:val="000000"/>
                <w:sz w:val="16"/>
                <w:szCs w:val="16"/>
                <w:lang w:val="en-US" w:eastAsia="en-US"/>
              </w:rPr>
              <w:t xml:space="preserve">total HCN. </w:t>
            </w:r>
          </w:p>
          <w:p w:rsidR="00ED1DAC" w:rsidRDefault="00ED1DAC" w:rsidP="00A552F0">
            <w:pPr>
              <w:cnfStyle w:val="000000010000" w:firstRow="0" w:lastRow="0" w:firstColumn="0" w:lastColumn="0" w:oddVBand="0" w:evenVBand="0" w:oddHBand="0" w:evenHBand="1" w:firstRowFirstColumn="0" w:firstRowLastColumn="0" w:lastRowFirstColumn="0" w:lastRowLastColumn="0"/>
              <w:rPr>
                <w:rFonts w:cs="Arial"/>
                <w:color w:val="000000"/>
                <w:sz w:val="16"/>
                <w:szCs w:val="16"/>
                <w:lang w:val="en-US" w:eastAsia="en-US"/>
              </w:rPr>
            </w:pPr>
          </w:p>
          <w:p w:rsidR="00ED1DAC" w:rsidRPr="00B62427" w:rsidRDefault="00ED1DAC" w:rsidP="00A552F0">
            <w:pPr>
              <w:cnfStyle w:val="000000010000" w:firstRow="0" w:lastRow="0" w:firstColumn="0" w:lastColumn="0" w:oddVBand="0" w:evenVBand="0" w:oddHBand="0" w:evenHBand="1" w:firstRowFirstColumn="0" w:firstRowLastColumn="0" w:lastRowFirstColumn="0" w:lastRowLastColumn="0"/>
              <w:rPr>
                <w:rFonts w:cs="Arial"/>
                <w:color w:val="000000"/>
                <w:sz w:val="16"/>
                <w:szCs w:val="16"/>
                <w:lang w:val="en-US" w:eastAsia="en-US"/>
              </w:rPr>
            </w:pPr>
            <w:r w:rsidRPr="00B62427">
              <w:rPr>
                <w:rFonts w:cs="Arial"/>
                <w:color w:val="000000"/>
                <w:sz w:val="16"/>
                <w:szCs w:val="16"/>
                <w:lang w:val="en-US" w:eastAsia="en-US"/>
              </w:rPr>
              <w:t xml:space="preserve">Subsequent to this survey, two retention samples for batches of apple juice concentrate that were used in producing this retail sample </w:t>
            </w:r>
            <w:r>
              <w:rPr>
                <w:rFonts w:cs="Arial"/>
                <w:color w:val="000000"/>
                <w:sz w:val="16"/>
                <w:szCs w:val="16"/>
                <w:lang w:val="en-US" w:eastAsia="en-US"/>
              </w:rPr>
              <w:t xml:space="preserve">and two </w:t>
            </w:r>
            <w:r w:rsidRPr="00B62427">
              <w:rPr>
                <w:rFonts w:cs="Arial"/>
                <w:color w:val="000000"/>
                <w:sz w:val="16"/>
                <w:szCs w:val="16"/>
                <w:lang w:val="en-US" w:eastAsia="en-US"/>
              </w:rPr>
              <w:t>retention samples for batches made just prior to this analysed retail sample were tested. All retention samples contained no detectable levels of total HCN.</w:t>
            </w:r>
          </w:p>
        </w:tc>
      </w:tr>
      <w:tr w:rsidR="00ED1DAC" w:rsidRPr="0042685A" w:rsidTr="00ED1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Borders>
              <w:right w:val="none" w:sz="0" w:space="0" w:color="auto"/>
            </w:tcBorders>
            <w:shd w:val="clear" w:color="auto" w:fill="D3DFEE"/>
          </w:tcPr>
          <w:p w:rsidR="00ED1DAC" w:rsidRPr="004C18E5" w:rsidRDefault="00ED1DAC" w:rsidP="00A552F0">
            <w:pPr>
              <w:spacing w:line="240" w:lineRule="atLeast"/>
              <w:rPr>
                <w:rFonts w:cs="Arial"/>
                <w:color w:val="000000"/>
                <w:sz w:val="20"/>
                <w:szCs w:val="20"/>
                <w:lang w:val="en-US" w:eastAsia="en-US"/>
              </w:rPr>
            </w:pPr>
            <w:r w:rsidRPr="004C18E5">
              <w:rPr>
                <w:rFonts w:cs="Arial"/>
                <w:color w:val="000000"/>
                <w:sz w:val="20"/>
                <w:szCs w:val="20"/>
                <w:lang w:val="en-US" w:eastAsia="en-US"/>
              </w:rPr>
              <w:t>Shelf-stable, reconstituted juice</w:t>
            </w:r>
          </w:p>
        </w:tc>
        <w:tc>
          <w:tcPr>
            <w:cnfStyle w:val="000010000000" w:firstRow="0" w:lastRow="0" w:firstColumn="0" w:lastColumn="0" w:oddVBand="1" w:evenVBand="0" w:oddHBand="0" w:evenHBand="0" w:firstRowFirstColumn="0" w:firstRowLastColumn="0" w:lastRowFirstColumn="0" w:lastRowLastColumn="0"/>
            <w:tcW w:w="1543" w:type="dxa"/>
            <w:tcBorders>
              <w:left w:val="none" w:sz="0" w:space="0" w:color="auto"/>
              <w:right w:val="none" w:sz="0" w:space="0" w:color="auto"/>
            </w:tcBorders>
            <w:shd w:val="clear" w:color="auto" w:fill="D3DFEE"/>
          </w:tcPr>
          <w:p w:rsidR="00ED1DAC" w:rsidRPr="004A29A1" w:rsidRDefault="00ED1DAC" w:rsidP="00A552F0">
            <w:pPr>
              <w:spacing w:line="240" w:lineRule="atLeast"/>
              <w:rPr>
                <w:rFonts w:cs="Arial"/>
                <w:color w:val="000000"/>
                <w:sz w:val="20"/>
                <w:szCs w:val="20"/>
                <w:lang w:val="en-US" w:eastAsia="en-US"/>
              </w:rPr>
            </w:pPr>
            <w:r>
              <w:rPr>
                <w:rFonts w:cs="Arial"/>
                <w:color w:val="000000"/>
                <w:sz w:val="20"/>
                <w:szCs w:val="20"/>
                <w:lang w:val="en-US" w:eastAsia="en-US"/>
              </w:rPr>
              <w:t>Australia</w:t>
            </w:r>
          </w:p>
        </w:tc>
        <w:tc>
          <w:tcPr>
            <w:tcW w:w="1327" w:type="dxa"/>
            <w:tcBorders>
              <w:left w:val="none" w:sz="0" w:space="0" w:color="auto"/>
              <w:right w:val="none" w:sz="0" w:space="0" w:color="auto"/>
            </w:tcBorders>
            <w:shd w:val="clear" w:color="auto" w:fill="D3DFEE"/>
          </w:tcPr>
          <w:p w:rsidR="00ED1DAC" w:rsidRPr="004A29A1" w:rsidRDefault="00ED1DAC" w:rsidP="00A552F0">
            <w:pPr>
              <w:spacing w:line="240" w:lineRule="atLeast"/>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en-US" w:eastAsia="en-US"/>
              </w:rPr>
            </w:pPr>
            <w:r>
              <w:rPr>
                <w:rFonts w:cs="Arial"/>
                <w:color w:val="000000"/>
                <w:sz w:val="20"/>
                <w:szCs w:val="20"/>
                <w:lang w:val="en-US" w:eastAsia="en-US"/>
              </w:rPr>
              <w:t>M</w:t>
            </w:r>
            <w:r w:rsidRPr="00B62427">
              <w:rPr>
                <w:rFonts w:cs="Arial"/>
                <w:color w:val="000000"/>
                <w:sz w:val="20"/>
                <w:szCs w:val="20"/>
                <w:lang w:val="en-US" w:eastAsia="en-US"/>
              </w:rPr>
              <w:t>ade from imported and local ingredients</w:t>
            </w:r>
          </w:p>
        </w:tc>
        <w:tc>
          <w:tcPr>
            <w:cnfStyle w:val="000010000000" w:firstRow="0" w:lastRow="0" w:firstColumn="0" w:lastColumn="0" w:oddVBand="1" w:evenVBand="0" w:oddHBand="0" w:evenHBand="0" w:firstRowFirstColumn="0" w:firstRowLastColumn="0" w:lastRowFirstColumn="0" w:lastRowLastColumn="0"/>
            <w:tcW w:w="1197" w:type="dxa"/>
            <w:tcBorders>
              <w:left w:val="none" w:sz="0" w:space="0" w:color="auto"/>
              <w:right w:val="none" w:sz="0" w:space="0" w:color="auto"/>
            </w:tcBorders>
            <w:shd w:val="clear" w:color="auto" w:fill="D3DFEE"/>
          </w:tcPr>
          <w:p w:rsidR="00ED1DAC" w:rsidRPr="004A29A1" w:rsidRDefault="00ED1DAC" w:rsidP="00A552F0">
            <w:pPr>
              <w:spacing w:line="240" w:lineRule="atLeast"/>
              <w:rPr>
                <w:rFonts w:cs="Arial"/>
                <w:color w:val="000000"/>
                <w:sz w:val="20"/>
                <w:szCs w:val="20"/>
                <w:lang w:val="en-US" w:eastAsia="en-US"/>
              </w:rPr>
            </w:pPr>
            <w:r>
              <w:rPr>
                <w:rFonts w:cs="Arial"/>
                <w:color w:val="000000"/>
                <w:sz w:val="20"/>
                <w:szCs w:val="20"/>
                <w:lang w:val="en-US" w:eastAsia="en-US"/>
              </w:rPr>
              <w:t>1.5</w:t>
            </w:r>
            <w:r w:rsidRPr="00EA08D9">
              <w:rPr>
                <w:rFonts w:cs="Arial"/>
                <w:color w:val="000000"/>
                <w:sz w:val="20"/>
                <w:szCs w:val="20"/>
                <w:vertAlign w:val="superscript"/>
                <w:lang w:val="en-US" w:eastAsia="en-US"/>
              </w:rPr>
              <w:t>#</w:t>
            </w:r>
          </w:p>
        </w:tc>
        <w:tc>
          <w:tcPr>
            <w:tcW w:w="3635" w:type="dxa"/>
            <w:tcBorders>
              <w:left w:val="none" w:sz="0" w:space="0" w:color="auto"/>
            </w:tcBorders>
            <w:shd w:val="clear" w:color="auto" w:fill="D3DFEE"/>
          </w:tcPr>
          <w:p w:rsidR="00ED1DAC" w:rsidRDefault="00ED1DAC" w:rsidP="00A552F0">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US" w:eastAsia="en-US"/>
              </w:rPr>
            </w:pPr>
            <w:r>
              <w:rPr>
                <w:rFonts w:cs="Arial"/>
                <w:color w:val="000000"/>
                <w:sz w:val="16"/>
                <w:szCs w:val="16"/>
                <w:lang w:val="en-US" w:eastAsia="en-US"/>
              </w:rPr>
              <w:t>A</w:t>
            </w:r>
            <w:r w:rsidRPr="00B62427">
              <w:rPr>
                <w:rFonts w:cs="Arial"/>
                <w:color w:val="000000"/>
                <w:sz w:val="16"/>
                <w:szCs w:val="16"/>
                <w:lang w:val="en-US" w:eastAsia="en-US"/>
              </w:rPr>
              <w:t>nalysed in duplicate</w:t>
            </w:r>
            <w:r>
              <w:rPr>
                <w:rFonts w:cs="Arial"/>
                <w:color w:val="000000"/>
                <w:sz w:val="16"/>
                <w:szCs w:val="16"/>
                <w:lang w:val="en-US" w:eastAsia="en-US"/>
              </w:rPr>
              <w:t>.</w:t>
            </w:r>
          </w:p>
          <w:p w:rsidR="00ED1DAC" w:rsidRDefault="00ED1DAC" w:rsidP="00A552F0">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US" w:eastAsia="en-US"/>
              </w:rPr>
            </w:pPr>
          </w:p>
          <w:p w:rsidR="00ED1DAC" w:rsidRPr="00B62427" w:rsidRDefault="00ED1DAC" w:rsidP="00A552F0">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US" w:eastAsia="en-US"/>
              </w:rPr>
            </w:pPr>
            <w:r w:rsidRPr="00B62427">
              <w:rPr>
                <w:rFonts w:cs="Arial"/>
                <w:color w:val="000000"/>
                <w:sz w:val="16"/>
                <w:szCs w:val="16"/>
                <w:lang w:val="en-US" w:eastAsia="en-US"/>
              </w:rPr>
              <w:t>No further products from the same manufacturer were collected as part of this survey.</w:t>
            </w:r>
          </w:p>
        </w:tc>
      </w:tr>
      <w:tr w:rsidR="00ED1DAC" w:rsidRPr="0042685A" w:rsidTr="00ED1D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Borders>
              <w:right w:val="none" w:sz="0" w:space="0" w:color="auto"/>
            </w:tcBorders>
            <w:shd w:val="clear" w:color="auto" w:fill="auto"/>
          </w:tcPr>
          <w:p w:rsidR="00ED1DAC" w:rsidRPr="004C18E5" w:rsidRDefault="00ED1DAC" w:rsidP="00A552F0">
            <w:pPr>
              <w:spacing w:line="240" w:lineRule="atLeast"/>
              <w:rPr>
                <w:rFonts w:cs="Arial"/>
                <w:color w:val="000000"/>
                <w:sz w:val="20"/>
                <w:szCs w:val="20"/>
                <w:lang w:val="en-US" w:eastAsia="en-US"/>
              </w:rPr>
            </w:pPr>
            <w:r w:rsidRPr="004C18E5">
              <w:rPr>
                <w:rFonts w:cs="Arial"/>
                <w:color w:val="000000"/>
                <w:sz w:val="20"/>
                <w:szCs w:val="20"/>
                <w:lang w:val="en-US" w:eastAsia="en-US"/>
              </w:rPr>
              <w:t>Reconstituted organic apple juice requiring refrigeration</w:t>
            </w:r>
          </w:p>
        </w:tc>
        <w:tc>
          <w:tcPr>
            <w:cnfStyle w:val="000010000000" w:firstRow="0" w:lastRow="0" w:firstColumn="0" w:lastColumn="0" w:oddVBand="1" w:evenVBand="0" w:oddHBand="0" w:evenHBand="0" w:firstRowFirstColumn="0" w:firstRowLastColumn="0" w:lastRowFirstColumn="0" w:lastRowLastColumn="0"/>
            <w:tcW w:w="1543" w:type="dxa"/>
            <w:tcBorders>
              <w:left w:val="none" w:sz="0" w:space="0" w:color="auto"/>
              <w:right w:val="none" w:sz="0" w:space="0" w:color="auto"/>
            </w:tcBorders>
            <w:shd w:val="clear" w:color="auto" w:fill="auto"/>
          </w:tcPr>
          <w:p w:rsidR="00ED1DAC" w:rsidRPr="004A29A1" w:rsidRDefault="00ED1DAC" w:rsidP="00A552F0">
            <w:pPr>
              <w:spacing w:line="240" w:lineRule="atLeast"/>
              <w:rPr>
                <w:rFonts w:cs="Arial"/>
                <w:color w:val="000000"/>
                <w:sz w:val="20"/>
                <w:szCs w:val="20"/>
                <w:lang w:val="en-US" w:eastAsia="en-US"/>
              </w:rPr>
            </w:pPr>
            <w:r>
              <w:rPr>
                <w:rFonts w:cs="Arial"/>
                <w:color w:val="000000"/>
                <w:sz w:val="20"/>
                <w:szCs w:val="20"/>
                <w:lang w:val="en-US" w:eastAsia="en-US"/>
              </w:rPr>
              <w:t>Australia</w:t>
            </w:r>
          </w:p>
        </w:tc>
        <w:tc>
          <w:tcPr>
            <w:tcW w:w="1327" w:type="dxa"/>
            <w:tcBorders>
              <w:left w:val="none" w:sz="0" w:space="0" w:color="auto"/>
              <w:right w:val="none" w:sz="0" w:space="0" w:color="auto"/>
            </w:tcBorders>
            <w:shd w:val="clear" w:color="auto" w:fill="auto"/>
          </w:tcPr>
          <w:p w:rsidR="00ED1DAC" w:rsidRPr="004A29A1" w:rsidRDefault="00ED1DAC" w:rsidP="00A552F0">
            <w:pPr>
              <w:spacing w:line="240" w:lineRule="atLeast"/>
              <w:cnfStyle w:val="000000010000" w:firstRow="0" w:lastRow="0" w:firstColumn="0" w:lastColumn="0" w:oddVBand="0" w:evenVBand="0" w:oddHBand="0" w:evenHBand="1" w:firstRowFirstColumn="0" w:firstRowLastColumn="0" w:lastRowFirstColumn="0" w:lastRowLastColumn="0"/>
              <w:rPr>
                <w:rFonts w:cs="Arial"/>
                <w:color w:val="000000"/>
                <w:sz w:val="20"/>
                <w:szCs w:val="20"/>
                <w:lang w:val="en-US" w:eastAsia="en-US"/>
              </w:rPr>
            </w:pPr>
            <w:r>
              <w:rPr>
                <w:rFonts w:cs="Arial"/>
                <w:color w:val="000000"/>
                <w:sz w:val="20"/>
                <w:szCs w:val="20"/>
                <w:lang w:val="en-US" w:eastAsia="en-US"/>
              </w:rPr>
              <w:t>Australia</w:t>
            </w:r>
          </w:p>
        </w:tc>
        <w:tc>
          <w:tcPr>
            <w:cnfStyle w:val="000010000000" w:firstRow="0" w:lastRow="0" w:firstColumn="0" w:lastColumn="0" w:oddVBand="1" w:evenVBand="0" w:oddHBand="0" w:evenHBand="0" w:firstRowFirstColumn="0" w:firstRowLastColumn="0" w:lastRowFirstColumn="0" w:lastRowLastColumn="0"/>
            <w:tcW w:w="1197" w:type="dxa"/>
            <w:tcBorders>
              <w:left w:val="none" w:sz="0" w:space="0" w:color="auto"/>
              <w:right w:val="none" w:sz="0" w:space="0" w:color="auto"/>
            </w:tcBorders>
            <w:shd w:val="clear" w:color="auto" w:fill="auto"/>
          </w:tcPr>
          <w:p w:rsidR="00ED1DAC" w:rsidRPr="004A29A1" w:rsidRDefault="00ED1DAC" w:rsidP="00A552F0">
            <w:pPr>
              <w:spacing w:line="240" w:lineRule="atLeast"/>
              <w:rPr>
                <w:rFonts w:cs="Arial"/>
                <w:color w:val="000000"/>
                <w:sz w:val="20"/>
                <w:szCs w:val="20"/>
                <w:lang w:val="en-US" w:eastAsia="en-US"/>
              </w:rPr>
            </w:pPr>
            <w:r>
              <w:rPr>
                <w:rFonts w:cs="Arial"/>
                <w:color w:val="000000"/>
                <w:sz w:val="20"/>
                <w:szCs w:val="20"/>
                <w:lang w:val="en-US" w:eastAsia="en-US"/>
              </w:rPr>
              <w:t>2.1</w:t>
            </w:r>
          </w:p>
        </w:tc>
        <w:tc>
          <w:tcPr>
            <w:tcW w:w="3635" w:type="dxa"/>
            <w:tcBorders>
              <w:left w:val="none" w:sz="0" w:space="0" w:color="auto"/>
            </w:tcBorders>
            <w:shd w:val="clear" w:color="auto" w:fill="auto"/>
          </w:tcPr>
          <w:p w:rsidR="00ED1DAC" w:rsidRPr="00B62427" w:rsidRDefault="00ED1DAC" w:rsidP="00A552F0">
            <w:pPr>
              <w:cnfStyle w:val="000000010000" w:firstRow="0" w:lastRow="0" w:firstColumn="0" w:lastColumn="0" w:oddVBand="0" w:evenVBand="0" w:oddHBand="0" w:evenHBand="1" w:firstRowFirstColumn="0" w:firstRowLastColumn="0" w:lastRowFirstColumn="0" w:lastRowLastColumn="0"/>
              <w:rPr>
                <w:rFonts w:cs="Arial"/>
                <w:color w:val="000000"/>
                <w:sz w:val="16"/>
                <w:szCs w:val="16"/>
                <w:lang w:val="en-US" w:eastAsia="en-US"/>
              </w:rPr>
            </w:pPr>
            <w:r w:rsidRPr="00B62427">
              <w:rPr>
                <w:rFonts w:cs="Arial"/>
                <w:color w:val="000000"/>
                <w:sz w:val="16"/>
                <w:szCs w:val="16"/>
                <w:lang w:val="en-US" w:eastAsia="en-US"/>
              </w:rPr>
              <w:t>Two other batches of the same product and a further two apple juices from the same manufacturer did not contain detectable</w:t>
            </w:r>
            <w:r>
              <w:rPr>
                <w:rFonts w:cs="Arial"/>
                <w:color w:val="000000"/>
                <w:sz w:val="16"/>
                <w:szCs w:val="16"/>
                <w:lang w:val="en-US" w:eastAsia="en-US"/>
              </w:rPr>
              <w:t xml:space="preserve"> levels of</w:t>
            </w:r>
            <w:r w:rsidRPr="00B62427">
              <w:rPr>
                <w:rFonts w:cs="Arial"/>
                <w:color w:val="000000"/>
                <w:sz w:val="16"/>
                <w:szCs w:val="16"/>
                <w:lang w:val="en-US" w:eastAsia="en-US"/>
              </w:rPr>
              <w:t xml:space="preserve"> total HCN.</w:t>
            </w:r>
          </w:p>
        </w:tc>
      </w:tr>
    </w:tbl>
    <w:p w:rsidR="00D57C16" w:rsidRPr="00EA08D9" w:rsidRDefault="00D57C16" w:rsidP="00D57C16">
      <w:pPr>
        <w:spacing w:line="240" w:lineRule="atLeast"/>
        <w:rPr>
          <w:rFonts w:cs="Arial"/>
          <w:color w:val="000000"/>
          <w:sz w:val="16"/>
          <w:szCs w:val="16"/>
          <w:highlight w:val="yellow"/>
          <w:lang w:val="en-US" w:eastAsia="en-US"/>
        </w:rPr>
      </w:pPr>
      <w:r w:rsidRPr="00EA08D9">
        <w:rPr>
          <w:rFonts w:cs="Arial"/>
          <w:color w:val="000000"/>
          <w:sz w:val="16"/>
          <w:szCs w:val="16"/>
          <w:lang w:val="en-US" w:eastAsia="en-US"/>
        </w:rPr>
        <w:t>*</w:t>
      </w:r>
      <w:r w:rsidR="00EF7E42">
        <w:rPr>
          <w:rFonts w:cs="Arial"/>
          <w:color w:val="000000"/>
          <w:sz w:val="16"/>
          <w:szCs w:val="16"/>
          <w:lang w:val="en-US" w:eastAsia="en-US"/>
        </w:rPr>
        <w:t xml:space="preserve"> </w:t>
      </w:r>
      <w:r w:rsidRPr="00EA08D9">
        <w:rPr>
          <w:rFonts w:cs="Arial"/>
          <w:color w:val="000000"/>
          <w:sz w:val="16"/>
          <w:szCs w:val="16"/>
          <w:lang w:val="en-US" w:eastAsia="en-US"/>
        </w:rPr>
        <w:t>LoD of 2 mg/kg for single analyses and 1.5 mg/kg for duplicate analyses.</w:t>
      </w:r>
    </w:p>
    <w:p w:rsidR="00D57C16" w:rsidRPr="00EA08D9" w:rsidRDefault="00D57C16" w:rsidP="00D57C16">
      <w:pPr>
        <w:rPr>
          <w:rFonts w:cs="Arial"/>
          <w:i/>
          <w:sz w:val="16"/>
          <w:szCs w:val="16"/>
          <w:vertAlign w:val="superscript"/>
        </w:rPr>
      </w:pPr>
      <w:r w:rsidRPr="00EA08D9">
        <w:rPr>
          <w:rFonts w:cs="Arial"/>
          <w:i/>
          <w:sz w:val="16"/>
          <w:szCs w:val="16"/>
          <w:vertAlign w:val="superscript"/>
        </w:rPr>
        <w:t>#</w:t>
      </w:r>
      <w:r w:rsidR="00313B65">
        <w:rPr>
          <w:rFonts w:cs="Arial"/>
          <w:i/>
          <w:sz w:val="16"/>
          <w:szCs w:val="16"/>
          <w:vertAlign w:val="superscript"/>
        </w:rPr>
        <w:t xml:space="preserve"> </w:t>
      </w:r>
      <w:r w:rsidR="00EF7E42">
        <w:rPr>
          <w:rFonts w:cs="Arial"/>
          <w:i/>
          <w:sz w:val="16"/>
          <w:szCs w:val="16"/>
          <w:vertAlign w:val="superscript"/>
        </w:rPr>
        <w:t xml:space="preserve"> </w:t>
      </w:r>
      <w:r w:rsidRPr="00EA08D9">
        <w:rPr>
          <w:rFonts w:cs="Arial"/>
          <w:sz w:val="16"/>
          <w:szCs w:val="16"/>
        </w:rPr>
        <w:t>Total HCN at the LoD for duplicate analyses of 1.5 mg/kg.</w:t>
      </w:r>
      <w:r w:rsidRPr="00EA08D9">
        <w:rPr>
          <w:rFonts w:cs="Arial"/>
          <w:sz w:val="16"/>
          <w:szCs w:val="16"/>
          <w:vertAlign w:val="superscript"/>
        </w:rPr>
        <w:t xml:space="preserve"> </w:t>
      </w:r>
      <w:r w:rsidRPr="00EA08D9">
        <w:rPr>
          <w:rFonts w:cs="Arial"/>
          <w:i/>
          <w:sz w:val="16"/>
          <w:szCs w:val="16"/>
          <w:vertAlign w:val="superscript"/>
        </w:rPr>
        <w:t xml:space="preserve"> </w:t>
      </w:r>
    </w:p>
    <w:p w:rsidR="00D57C16" w:rsidRDefault="00D57C16" w:rsidP="00D57C16">
      <w:pPr>
        <w:rPr>
          <w:rFonts w:cs="Arial"/>
          <w:szCs w:val="22"/>
        </w:rPr>
      </w:pPr>
    </w:p>
    <w:p w:rsidR="00D57C16" w:rsidRPr="00EE2497" w:rsidRDefault="00D57C16" w:rsidP="0026440D">
      <w:pPr>
        <w:pStyle w:val="Heading3"/>
      </w:pPr>
      <w:bookmarkStart w:id="86" w:name="_Toc384293503"/>
      <w:r>
        <w:t>4.</w:t>
      </w:r>
      <w:r w:rsidR="00644734">
        <w:t>2</w:t>
      </w:r>
      <w:r>
        <w:t>.2</w:t>
      </w:r>
      <w:r>
        <w:tab/>
      </w:r>
      <w:r w:rsidRPr="00EE2497">
        <w:t>Manufacturer samples</w:t>
      </w:r>
      <w:bookmarkEnd w:id="86"/>
    </w:p>
    <w:p w:rsidR="00D57C16" w:rsidRDefault="00D57C16" w:rsidP="00D57C16">
      <w:pPr>
        <w:rPr>
          <w:rFonts w:cs="Arial"/>
          <w:szCs w:val="22"/>
        </w:rPr>
      </w:pPr>
    </w:p>
    <w:p w:rsidR="00D57C16" w:rsidRDefault="00741FC0" w:rsidP="00AD1D2D">
      <w:pPr>
        <w:rPr>
          <w:rFonts w:cs="Arial"/>
          <w:szCs w:val="22"/>
        </w:rPr>
      </w:pPr>
      <w:r w:rsidRPr="00D17C57">
        <w:rPr>
          <w:rFonts w:cs="Arial"/>
          <w:szCs w:val="22"/>
        </w:rPr>
        <w:t xml:space="preserve">Cyanogenic glycosides are understood to be concentrated in apple pips (Haque and Bradbury, 2002). </w:t>
      </w:r>
      <w:r w:rsidR="00227A22">
        <w:rPr>
          <w:rFonts w:cs="Arial"/>
          <w:szCs w:val="22"/>
        </w:rPr>
        <w:t>Therefore, t</w:t>
      </w:r>
      <w:r w:rsidR="00D57C16">
        <w:rPr>
          <w:rFonts w:cs="Arial"/>
          <w:szCs w:val="22"/>
        </w:rPr>
        <w:t xml:space="preserve">en samples of apple juice were obtained directly from a major New Zealand juice manufacturer to explore the suggestion </w:t>
      </w:r>
      <w:r w:rsidR="00D57C16" w:rsidRPr="00EE2497">
        <w:rPr>
          <w:rFonts w:cs="Arial"/>
          <w:szCs w:val="22"/>
        </w:rPr>
        <w:t xml:space="preserve">that </w:t>
      </w:r>
      <w:r w:rsidR="00313B65">
        <w:rPr>
          <w:rFonts w:cs="Arial"/>
          <w:szCs w:val="22"/>
        </w:rPr>
        <w:t>the</w:t>
      </w:r>
      <w:r w:rsidR="00D57C16" w:rsidRPr="00EE2497">
        <w:rPr>
          <w:rFonts w:cs="Arial"/>
          <w:szCs w:val="22"/>
        </w:rPr>
        <w:t xml:space="preserve"> presence of </w:t>
      </w:r>
      <w:r w:rsidR="00D57C16">
        <w:rPr>
          <w:rFonts w:cs="Arial"/>
          <w:szCs w:val="22"/>
        </w:rPr>
        <w:t>HCN</w:t>
      </w:r>
      <w:r w:rsidR="00D57C16" w:rsidRPr="00EE2497">
        <w:rPr>
          <w:rFonts w:cs="Arial"/>
          <w:szCs w:val="22"/>
        </w:rPr>
        <w:t xml:space="preserve"> in apple juice may be due to rupture of </w:t>
      </w:r>
      <w:r w:rsidR="00313B65">
        <w:rPr>
          <w:rFonts w:cs="Arial"/>
          <w:szCs w:val="22"/>
        </w:rPr>
        <w:t>the</w:t>
      </w:r>
      <w:r w:rsidR="00D57C16" w:rsidRPr="00EE2497">
        <w:rPr>
          <w:rFonts w:cs="Arial"/>
          <w:szCs w:val="22"/>
        </w:rPr>
        <w:t xml:space="preserve"> pips</w:t>
      </w:r>
      <w:r w:rsidR="00313B65">
        <w:rPr>
          <w:rFonts w:cs="Arial"/>
          <w:szCs w:val="22"/>
        </w:rPr>
        <w:t xml:space="preserve"> during juice extraction</w:t>
      </w:r>
      <w:r w:rsidR="005F4AE8">
        <w:rPr>
          <w:rFonts w:cs="Arial"/>
          <w:szCs w:val="22"/>
        </w:rPr>
        <w:t>, even though the pips are hardy and difficult to crush</w:t>
      </w:r>
      <w:r w:rsidR="00D57C16" w:rsidRPr="00EE2497">
        <w:rPr>
          <w:rFonts w:cs="Arial"/>
          <w:szCs w:val="22"/>
        </w:rPr>
        <w:t xml:space="preserve"> (</w:t>
      </w:r>
      <w:r w:rsidR="00D57C16">
        <w:rPr>
          <w:rFonts w:cs="Arial"/>
          <w:szCs w:val="22"/>
        </w:rPr>
        <w:t>ESR</w:t>
      </w:r>
      <w:r w:rsidR="00D57C16" w:rsidRPr="00EE2497">
        <w:rPr>
          <w:rFonts w:cs="Arial"/>
          <w:szCs w:val="22"/>
        </w:rPr>
        <w:t>, 2010</w:t>
      </w:r>
      <w:r w:rsidR="00D57C16">
        <w:rPr>
          <w:rFonts w:cs="Arial"/>
          <w:szCs w:val="22"/>
        </w:rPr>
        <w:t xml:space="preserve"> </w:t>
      </w:r>
      <w:r w:rsidR="00117FDB">
        <w:rPr>
          <w:rFonts w:cs="Arial"/>
          <w:szCs w:val="22"/>
        </w:rPr>
        <w:t xml:space="preserve">– </w:t>
      </w:r>
      <w:r w:rsidR="00D57C16">
        <w:rPr>
          <w:rFonts w:cs="Arial"/>
          <w:szCs w:val="22"/>
        </w:rPr>
        <w:t>unpublished</w:t>
      </w:r>
      <w:r w:rsidR="00D57C16" w:rsidRPr="00EE2497">
        <w:rPr>
          <w:rFonts w:cs="Arial"/>
          <w:szCs w:val="22"/>
        </w:rPr>
        <w:t xml:space="preserve">). </w:t>
      </w:r>
      <w:r w:rsidR="00D57C16">
        <w:rPr>
          <w:rFonts w:cs="Arial"/>
          <w:szCs w:val="22"/>
        </w:rPr>
        <w:t xml:space="preserve">Five samples </w:t>
      </w:r>
      <w:r w:rsidR="00313B65">
        <w:rPr>
          <w:rFonts w:cs="Arial"/>
          <w:szCs w:val="22"/>
        </w:rPr>
        <w:t xml:space="preserve">of juice </w:t>
      </w:r>
      <w:r w:rsidR="00D57C16">
        <w:rPr>
          <w:rFonts w:cs="Arial"/>
          <w:szCs w:val="22"/>
        </w:rPr>
        <w:t>were taken from the ju</w:t>
      </w:r>
      <w:r w:rsidR="00313B65">
        <w:rPr>
          <w:rFonts w:cs="Arial"/>
          <w:szCs w:val="22"/>
        </w:rPr>
        <w:t>icing</w:t>
      </w:r>
      <w:r w:rsidR="00D57C16">
        <w:rPr>
          <w:rFonts w:cs="Arial"/>
          <w:szCs w:val="22"/>
        </w:rPr>
        <w:t xml:space="preserve"> press, which achieves approximately a 70% juice extraction rate; and five samples were obtained in the juice manufacturer’s laboratory, after ensuring pips were ruptured.</w:t>
      </w:r>
      <w:r w:rsidR="00AD1D2D">
        <w:rPr>
          <w:rFonts w:cs="Arial"/>
          <w:szCs w:val="22"/>
        </w:rPr>
        <w:t xml:space="preserve"> </w:t>
      </w:r>
      <w:r w:rsidR="00D57C16">
        <w:rPr>
          <w:rFonts w:cs="Arial"/>
          <w:szCs w:val="22"/>
        </w:rPr>
        <w:t xml:space="preserve">Of the ten </w:t>
      </w:r>
      <w:r w:rsidR="00313B65">
        <w:rPr>
          <w:rFonts w:cs="Arial"/>
          <w:szCs w:val="22"/>
        </w:rPr>
        <w:t xml:space="preserve">juice manufacturer </w:t>
      </w:r>
      <w:r w:rsidR="00D57C16">
        <w:rPr>
          <w:rFonts w:cs="Arial"/>
          <w:szCs w:val="22"/>
        </w:rPr>
        <w:t xml:space="preserve">samples obtained, none contained detectable concentrations of HCN. </w:t>
      </w:r>
    </w:p>
    <w:p w:rsidR="00221AA2" w:rsidRDefault="00221AA2" w:rsidP="00AD1D2D">
      <w:pPr>
        <w:rPr>
          <w:rFonts w:cs="Arial"/>
          <w:szCs w:val="22"/>
        </w:rPr>
      </w:pPr>
    </w:p>
    <w:p w:rsidR="00221AA2" w:rsidRDefault="0031022B" w:rsidP="00AD1D2D">
      <w:pPr>
        <w:rPr>
          <w:rFonts w:cs="Arial"/>
          <w:szCs w:val="22"/>
        </w:rPr>
      </w:pPr>
      <w:r>
        <w:rPr>
          <w:rFonts w:cs="Arial"/>
          <w:szCs w:val="22"/>
        </w:rPr>
        <w:t>Further</w:t>
      </w:r>
      <w:r w:rsidR="00221AA2">
        <w:rPr>
          <w:rFonts w:cs="Arial"/>
          <w:szCs w:val="22"/>
        </w:rPr>
        <w:t xml:space="preserve"> </w:t>
      </w:r>
      <w:r>
        <w:rPr>
          <w:rFonts w:cs="Arial"/>
          <w:szCs w:val="22"/>
        </w:rPr>
        <w:t>details</w:t>
      </w:r>
      <w:r w:rsidR="00221AA2">
        <w:rPr>
          <w:rFonts w:cs="Arial"/>
          <w:szCs w:val="22"/>
        </w:rPr>
        <w:t xml:space="preserve"> regarding the analytical results obtained for apple juice and subsequent investigations </w:t>
      </w:r>
      <w:r>
        <w:rPr>
          <w:rFonts w:cs="Arial"/>
          <w:szCs w:val="22"/>
        </w:rPr>
        <w:t>are</w:t>
      </w:r>
      <w:r w:rsidR="00221AA2">
        <w:rPr>
          <w:rFonts w:cs="Arial"/>
          <w:szCs w:val="22"/>
        </w:rPr>
        <w:t xml:space="preserve"> at Section 4.4.</w:t>
      </w:r>
    </w:p>
    <w:p w:rsidR="00D57C16" w:rsidRDefault="00D57C16" w:rsidP="00D57C16">
      <w:pPr>
        <w:rPr>
          <w:rFonts w:cs="Arial"/>
          <w:i/>
          <w:szCs w:val="22"/>
        </w:rPr>
      </w:pPr>
    </w:p>
    <w:p w:rsidR="0056732C" w:rsidRDefault="0056732C" w:rsidP="00D12D6D">
      <w:pPr>
        <w:pStyle w:val="Heading2"/>
      </w:pPr>
      <w:bookmarkStart w:id="87" w:name="_Toc367957648"/>
      <w:bookmarkStart w:id="88" w:name="_Toc384293504"/>
      <w:r>
        <w:t>4.3</w:t>
      </w:r>
      <w:r>
        <w:tab/>
      </w:r>
      <w:r w:rsidRPr="0056732C">
        <w:t>Follow-up survey o</w:t>
      </w:r>
      <w:r w:rsidR="00395391">
        <w:t>f</w:t>
      </w:r>
      <w:r w:rsidRPr="0056732C">
        <w:t xml:space="preserve"> apricot kernels and other plant-based foods (Survey 3)</w:t>
      </w:r>
      <w:bookmarkEnd w:id="87"/>
      <w:bookmarkEnd w:id="88"/>
    </w:p>
    <w:p w:rsidR="00D305B1" w:rsidRDefault="00D305B1" w:rsidP="00D57C16">
      <w:pPr>
        <w:pStyle w:val="Heading2LT"/>
      </w:pPr>
    </w:p>
    <w:p w:rsidR="009E51B7" w:rsidRPr="00117FDB" w:rsidRDefault="009E51B7" w:rsidP="00391DE3">
      <w:pPr>
        <w:rPr>
          <w:rFonts w:cs="Arial"/>
          <w:i/>
          <w:szCs w:val="22"/>
        </w:rPr>
      </w:pPr>
      <w:r w:rsidRPr="00391DE3">
        <w:rPr>
          <w:rFonts w:cs="Arial"/>
          <w:szCs w:val="22"/>
        </w:rPr>
        <w:t xml:space="preserve">Results of Survey 3 were reported in </w:t>
      </w:r>
      <w:r w:rsidRPr="00117FDB">
        <w:rPr>
          <w:rFonts w:cs="Arial"/>
          <w:i/>
          <w:szCs w:val="22"/>
        </w:rPr>
        <w:t xml:space="preserve">Determination of presence of cyanogenic glycosides </w:t>
      </w:r>
    </w:p>
    <w:p w:rsidR="00CD62FE" w:rsidRPr="00391DE3" w:rsidRDefault="009E51B7" w:rsidP="00391DE3">
      <w:pPr>
        <w:rPr>
          <w:rFonts w:cs="Arial"/>
          <w:szCs w:val="22"/>
        </w:rPr>
      </w:pPr>
      <w:r w:rsidRPr="00117FDB">
        <w:rPr>
          <w:rFonts w:cs="Arial"/>
          <w:i/>
          <w:szCs w:val="22"/>
        </w:rPr>
        <w:t>in apricot kernels and other plant-based foods in Australia and New Zealand</w:t>
      </w:r>
      <w:r w:rsidRPr="00391DE3">
        <w:rPr>
          <w:rFonts w:cs="Arial"/>
          <w:szCs w:val="22"/>
        </w:rPr>
        <w:t xml:space="preserve"> (ESR, 2013</w:t>
      </w:r>
      <w:r w:rsidR="002E0D2E">
        <w:rPr>
          <w:rFonts w:cs="Arial"/>
          <w:szCs w:val="22"/>
        </w:rPr>
        <w:t>a</w:t>
      </w:r>
      <w:r w:rsidRPr="00391DE3">
        <w:rPr>
          <w:rFonts w:cs="Arial"/>
          <w:szCs w:val="22"/>
        </w:rPr>
        <w:t xml:space="preserve"> – unpublished)</w:t>
      </w:r>
      <w:r w:rsidR="00D85A57">
        <w:rPr>
          <w:rFonts w:cs="Arial"/>
          <w:szCs w:val="22"/>
        </w:rPr>
        <w:t xml:space="preserve"> and are summarised in </w:t>
      </w:r>
      <w:r w:rsidR="00621281">
        <w:rPr>
          <w:rFonts w:cs="Arial"/>
          <w:szCs w:val="22"/>
        </w:rPr>
        <w:t>A</w:t>
      </w:r>
      <w:r w:rsidR="00D85A57">
        <w:rPr>
          <w:rFonts w:cs="Arial"/>
          <w:szCs w:val="22"/>
        </w:rPr>
        <w:t xml:space="preserve">ppendix </w:t>
      </w:r>
      <w:r w:rsidR="00621281">
        <w:rPr>
          <w:rFonts w:cs="Arial"/>
          <w:szCs w:val="22"/>
        </w:rPr>
        <w:t>3</w:t>
      </w:r>
      <w:r w:rsidRPr="00391DE3">
        <w:rPr>
          <w:rFonts w:cs="Arial"/>
          <w:szCs w:val="22"/>
        </w:rPr>
        <w:t xml:space="preserve">. </w:t>
      </w:r>
      <w:r w:rsidR="006E7D0F">
        <w:rPr>
          <w:rFonts w:cs="Arial"/>
          <w:szCs w:val="22"/>
        </w:rPr>
        <w:t>In</w:t>
      </w:r>
      <w:r w:rsidR="00D305B1" w:rsidRPr="00391DE3">
        <w:rPr>
          <w:rFonts w:cs="Arial"/>
          <w:szCs w:val="22"/>
        </w:rPr>
        <w:t xml:space="preserve"> general, the cyanogenic glycoside contents were consistent with or lower than those reporte</w:t>
      </w:r>
      <w:r w:rsidR="004C36BB">
        <w:rPr>
          <w:rFonts w:cs="Arial"/>
          <w:szCs w:val="22"/>
        </w:rPr>
        <w:t>d in the scientific literature</w:t>
      </w:r>
      <w:r w:rsidR="008405AF">
        <w:rPr>
          <w:rFonts w:cs="Arial"/>
          <w:szCs w:val="22"/>
        </w:rPr>
        <w:t xml:space="preserve">, </w:t>
      </w:r>
      <w:r w:rsidR="0031022B">
        <w:rPr>
          <w:rFonts w:cs="Arial"/>
          <w:szCs w:val="22"/>
        </w:rPr>
        <w:t xml:space="preserve">and </w:t>
      </w:r>
      <w:r w:rsidR="0031022B" w:rsidRPr="0031022B">
        <w:rPr>
          <w:rFonts w:cs="Arial"/>
          <w:szCs w:val="22"/>
        </w:rPr>
        <w:t xml:space="preserve">levels </w:t>
      </w:r>
      <w:r w:rsidR="0031022B">
        <w:rPr>
          <w:rFonts w:cs="Arial"/>
          <w:szCs w:val="22"/>
        </w:rPr>
        <w:t xml:space="preserve">detected </w:t>
      </w:r>
      <w:r w:rsidR="0031022B" w:rsidRPr="0031022B">
        <w:rPr>
          <w:rFonts w:cs="Arial"/>
          <w:szCs w:val="22"/>
        </w:rPr>
        <w:t>were within the regulatory limits for HCN (where such regulatory limits exist) in all but two cases</w:t>
      </w:r>
      <w:r w:rsidR="00CD2943">
        <w:rPr>
          <w:rFonts w:cs="Arial"/>
          <w:szCs w:val="22"/>
        </w:rPr>
        <w:t>,</w:t>
      </w:r>
      <w:r w:rsidR="00CD2943" w:rsidRPr="00CD2943">
        <w:t xml:space="preserve"> </w:t>
      </w:r>
      <w:r w:rsidR="00CD2943" w:rsidRPr="00CD2943">
        <w:rPr>
          <w:rFonts w:cs="Arial"/>
          <w:szCs w:val="22"/>
        </w:rPr>
        <w:t>namely, one sample of cassava root and one sample of apricot nectar did not comply with the regulatory requirements of the Code</w:t>
      </w:r>
      <w:r w:rsidR="0031022B">
        <w:rPr>
          <w:rFonts w:cs="Arial"/>
          <w:szCs w:val="22"/>
        </w:rPr>
        <w:t>.</w:t>
      </w:r>
      <w:r w:rsidR="00D305B1" w:rsidRPr="00391DE3">
        <w:rPr>
          <w:rFonts w:cs="Arial"/>
          <w:szCs w:val="22"/>
        </w:rPr>
        <w:t xml:space="preserve"> </w:t>
      </w:r>
      <w:r w:rsidR="00CD62FE" w:rsidRPr="00391DE3">
        <w:rPr>
          <w:rFonts w:cs="Arial"/>
          <w:szCs w:val="22"/>
        </w:rPr>
        <w:t xml:space="preserve">Further information regarding </w:t>
      </w:r>
      <w:r w:rsidR="00880FB6" w:rsidRPr="00391DE3">
        <w:rPr>
          <w:rFonts w:cs="Arial"/>
          <w:szCs w:val="22"/>
        </w:rPr>
        <w:lastRenderedPageBreak/>
        <w:t xml:space="preserve">the results for </w:t>
      </w:r>
      <w:r w:rsidR="00CD62FE" w:rsidRPr="00391DE3">
        <w:rPr>
          <w:rFonts w:cs="Arial"/>
          <w:szCs w:val="22"/>
        </w:rPr>
        <w:t xml:space="preserve">several of the surveyed products </w:t>
      </w:r>
      <w:r w:rsidR="0088307B">
        <w:rPr>
          <w:rFonts w:cs="Arial"/>
          <w:szCs w:val="22"/>
        </w:rPr>
        <w:t xml:space="preserve">where HCN was detected </w:t>
      </w:r>
      <w:r w:rsidRPr="00391DE3">
        <w:rPr>
          <w:rFonts w:cs="Arial"/>
          <w:szCs w:val="22"/>
        </w:rPr>
        <w:t>is</w:t>
      </w:r>
      <w:r w:rsidR="00CD62FE" w:rsidRPr="00391DE3">
        <w:rPr>
          <w:rFonts w:cs="Arial"/>
          <w:szCs w:val="22"/>
        </w:rPr>
        <w:t xml:space="preserve"> provided in Sections 4.3.1</w:t>
      </w:r>
      <w:r w:rsidR="00880FB6" w:rsidRPr="00391DE3">
        <w:rPr>
          <w:rFonts w:cs="Arial"/>
          <w:szCs w:val="22"/>
        </w:rPr>
        <w:t xml:space="preserve"> – 4.3.</w:t>
      </w:r>
      <w:r w:rsidR="00944DBE">
        <w:rPr>
          <w:rFonts w:cs="Arial"/>
          <w:szCs w:val="22"/>
        </w:rPr>
        <w:t>5</w:t>
      </w:r>
      <w:r w:rsidR="00CD62FE" w:rsidRPr="00391DE3">
        <w:rPr>
          <w:rFonts w:cs="Arial"/>
          <w:szCs w:val="22"/>
        </w:rPr>
        <w:t>.</w:t>
      </w:r>
    </w:p>
    <w:p w:rsidR="00CF25F9" w:rsidRPr="00391DE3" w:rsidRDefault="00842210" w:rsidP="0026440D">
      <w:pPr>
        <w:pStyle w:val="Heading3"/>
      </w:pPr>
      <w:bookmarkStart w:id="89" w:name="_Toc384293505"/>
      <w:r>
        <w:t>4.3.1</w:t>
      </w:r>
      <w:r>
        <w:tab/>
      </w:r>
      <w:r w:rsidR="00CF25F9" w:rsidRPr="00391DE3">
        <w:t>Apricot kernels</w:t>
      </w:r>
      <w:bookmarkEnd w:id="89"/>
    </w:p>
    <w:p w:rsidR="00CF25F9" w:rsidRPr="00391DE3" w:rsidRDefault="00CF25F9" w:rsidP="00391DE3">
      <w:pPr>
        <w:rPr>
          <w:rFonts w:cs="Arial"/>
          <w:szCs w:val="22"/>
        </w:rPr>
      </w:pPr>
    </w:p>
    <w:p w:rsidR="00CF25F9" w:rsidRPr="00391DE3" w:rsidRDefault="00CF25F9" w:rsidP="00391DE3">
      <w:pPr>
        <w:rPr>
          <w:rFonts w:cs="Arial"/>
          <w:szCs w:val="22"/>
        </w:rPr>
      </w:pPr>
      <w:r w:rsidRPr="00391DE3">
        <w:rPr>
          <w:rFonts w:cs="Arial"/>
          <w:szCs w:val="22"/>
        </w:rPr>
        <w:t xml:space="preserve">All apricot kernel samples analysed contained </w:t>
      </w:r>
      <w:r w:rsidR="00D21989">
        <w:rPr>
          <w:rFonts w:cs="Arial"/>
          <w:szCs w:val="22"/>
        </w:rPr>
        <w:t xml:space="preserve">detectable </w:t>
      </w:r>
      <w:r w:rsidRPr="00391DE3">
        <w:rPr>
          <w:rFonts w:cs="Arial"/>
          <w:szCs w:val="22"/>
        </w:rPr>
        <w:t>levels of HCN. However, there was a significant difference in HCN concentrations between samples with skin and those without.</w:t>
      </w:r>
      <w:r w:rsidR="00D21989">
        <w:rPr>
          <w:rFonts w:cs="Arial"/>
          <w:szCs w:val="22"/>
        </w:rPr>
        <w:t xml:space="preserve"> Samples with skin contained HCN concentrations that were substantially higher than those without skin and indeed </w:t>
      </w:r>
      <w:r w:rsidR="00F43ACA">
        <w:rPr>
          <w:rFonts w:cs="Arial"/>
          <w:szCs w:val="22"/>
        </w:rPr>
        <w:t xml:space="preserve">substantially </w:t>
      </w:r>
      <w:r w:rsidR="00D21989">
        <w:rPr>
          <w:rFonts w:cs="Arial"/>
          <w:szCs w:val="22"/>
        </w:rPr>
        <w:t>higher than any other food analysed. Levels ranged from 1,240-2</w:t>
      </w:r>
      <w:r w:rsidR="0025191F">
        <w:rPr>
          <w:rFonts w:cs="Arial"/>
          <w:szCs w:val="22"/>
        </w:rPr>
        <w:t>,</w:t>
      </w:r>
      <w:r w:rsidR="00D21989">
        <w:rPr>
          <w:rFonts w:cs="Arial"/>
          <w:szCs w:val="22"/>
        </w:rPr>
        <w:t xml:space="preserve">820 mg HCN/kg. </w:t>
      </w:r>
      <w:r w:rsidRPr="00391DE3">
        <w:rPr>
          <w:rFonts w:cs="Arial"/>
          <w:szCs w:val="22"/>
        </w:rPr>
        <w:t xml:space="preserve">On average, apricot kernels without skin </w:t>
      </w:r>
      <w:r w:rsidR="00F43ACA">
        <w:rPr>
          <w:rFonts w:cs="Arial"/>
          <w:szCs w:val="22"/>
        </w:rPr>
        <w:t xml:space="preserve">contained less than </w:t>
      </w:r>
      <w:r w:rsidRPr="00391DE3">
        <w:rPr>
          <w:rFonts w:cs="Arial"/>
          <w:szCs w:val="22"/>
        </w:rPr>
        <w:t xml:space="preserve">10% of the </w:t>
      </w:r>
      <w:r w:rsidR="00D66D51" w:rsidRPr="00391DE3">
        <w:rPr>
          <w:rFonts w:cs="Arial"/>
          <w:szCs w:val="22"/>
        </w:rPr>
        <w:t xml:space="preserve">HCN of those </w:t>
      </w:r>
      <w:r w:rsidRPr="00391DE3">
        <w:rPr>
          <w:rFonts w:cs="Arial"/>
          <w:szCs w:val="22"/>
        </w:rPr>
        <w:t xml:space="preserve">with skin. </w:t>
      </w:r>
    </w:p>
    <w:p w:rsidR="00D66D51" w:rsidRPr="00391DE3" w:rsidRDefault="00D66D51" w:rsidP="00391DE3">
      <w:pPr>
        <w:rPr>
          <w:rFonts w:cs="Arial"/>
          <w:szCs w:val="22"/>
        </w:rPr>
      </w:pPr>
    </w:p>
    <w:p w:rsidR="00954A02" w:rsidRPr="00391DE3" w:rsidRDefault="00954A02" w:rsidP="00391DE3">
      <w:pPr>
        <w:rPr>
          <w:rFonts w:cs="Arial"/>
          <w:szCs w:val="22"/>
        </w:rPr>
      </w:pPr>
      <w:r w:rsidRPr="00391DE3">
        <w:rPr>
          <w:rFonts w:cs="Arial"/>
          <w:szCs w:val="22"/>
        </w:rPr>
        <w:t>Higher concentrations of HCN detected in samples with skin may indicate that the cyanide-producing compounds are concentrated within the skin. The processing methods used to remove the skin may also contribute to a reduction in HCN concentrations.</w:t>
      </w:r>
    </w:p>
    <w:p w:rsidR="00954A02" w:rsidRPr="00391DE3" w:rsidRDefault="00954A02" w:rsidP="00391DE3">
      <w:pPr>
        <w:rPr>
          <w:rFonts w:cs="Arial"/>
          <w:szCs w:val="22"/>
        </w:rPr>
      </w:pPr>
    </w:p>
    <w:p w:rsidR="00CF25F9" w:rsidRPr="00391DE3" w:rsidRDefault="00CF25F9" w:rsidP="00391DE3">
      <w:pPr>
        <w:rPr>
          <w:rFonts w:cs="Arial"/>
          <w:szCs w:val="22"/>
        </w:rPr>
      </w:pPr>
      <w:r w:rsidRPr="00391DE3">
        <w:rPr>
          <w:rFonts w:cs="Arial"/>
          <w:szCs w:val="22"/>
        </w:rPr>
        <w:t xml:space="preserve">Concentration of cyanide-producing compounds in the skin </w:t>
      </w:r>
      <w:r w:rsidR="00954A02" w:rsidRPr="00391DE3">
        <w:rPr>
          <w:rFonts w:cs="Arial"/>
          <w:szCs w:val="22"/>
        </w:rPr>
        <w:t xml:space="preserve">may support the </w:t>
      </w:r>
      <w:r w:rsidRPr="00391DE3">
        <w:rPr>
          <w:rFonts w:cs="Arial"/>
          <w:szCs w:val="22"/>
        </w:rPr>
        <w:t>prevailing theory that these compounds have a role in plant defence (Vetter, 2000)</w:t>
      </w:r>
      <w:r w:rsidR="00954A02" w:rsidRPr="00391DE3">
        <w:rPr>
          <w:rFonts w:cs="Arial"/>
          <w:szCs w:val="22"/>
        </w:rPr>
        <w:t xml:space="preserve">, </w:t>
      </w:r>
      <w:r w:rsidR="00117FDB">
        <w:rPr>
          <w:rFonts w:cs="Arial"/>
          <w:szCs w:val="22"/>
        </w:rPr>
        <w:t>in that</w:t>
      </w:r>
      <w:r w:rsidR="00954A02" w:rsidRPr="00391DE3">
        <w:rPr>
          <w:rFonts w:cs="Arial"/>
          <w:szCs w:val="22"/>
        </w:rPr>
        <w:t xml:space="preserve"> a concentration of these compounds at the point at which pests are </w:t>
      </w:r>
      <w:r w:rsidR="00CD62FE" w:rsidRPr="00391DE3">
        <w:rPr>
          <w:rFonts w:cs="Arial"/>
          <w:szCs w:val="22"/>
        </w:rPr>
        <w:t xml:space="preserve">first </w:t>
      </w:r>
      <w:r w:rsidR="00954A02" w:rsidRPr="00391DE3">
        <w:rPr>
          <w:rFonts w:cs="Arial"/>
          <w:szCs w:val="22"/>
        </w:rPr>
        <w:t>likely to attack would be of most benefit to the plant</w:t>
      </w:r>
      <w:r w:rsidR="00313B65">
        <w:rPr>
          <w:rFonts w:cs="Arial"/>
          <w:szCs w:val="22"/>
        </w:rPr>
        <w:t xml:space="preserve"> </w:t>
      </w:r>
      <w:r w:rsidR="00313B65" w:rsidRPr="00391DE3">
        <w:rPr>
          <w:rFonts w:cs="Arial"/>
          <w:szCs w:val="22"/>
        </w:rPr>
        <w:t>(ESR, 2013</w:t>
      </w:r>
      <w:r w:rsidR="00313B65">
        <w:rPr>
          <w:rFonts w:cs="Arial"/>
          <w:szCs w:val="22"/>
        </w:rPr>
        <w:t>a</w:t>
      </w:r>
      <w:r w:rsidR="00313B65" w:rsidRPr="00391DE3">
        <w:rPr>
          <w:rFonts w:cs="Arial"/>
          <w:szCs w:val="22"/>
        </w:rPr>
        <w:t xml:space="preserve"> – unpublished).</w:t>
      </w:r>
      <w:r w:rsidR="00954A02" w:rsidRPr="00391DE3">
        <w:rPr>
          <w:rFonts w:cs="Arial"/>
          <w:szCs w:val="22"/>
        </w:rPr>
        <w:t xml:space="preserve"> </w:t>
      </w:r>
    </w:p>
    <w:p w:rsidR="00621281" w:rsidRDefault="00621281" w:rsidP="00391DE3">
      <w:pPr>
        <w:rPr>
          <w:rFonts w:cs="Arial"/>
          <w:szCs w:val="22"/>
        </w:rPr>
      </w:pPr>
    </w:p>
    <w:p w:rsidR="00944DBE" w:rsidRPr="00391DE3" w:rsidRDefault="00944DBE" w:rsidP="00F156B2">
      <w:pPr>
        <w:pStyle w:val="Heading3"/>
        <w:keepNext/>
        <w:keepLines/>
      </w:pPr>
      <w:bookmarkStart w:id="90" w:name="_Toc384293506"/>
      <w:r w:rsidRPr="00391DE3">
        <w:t>4.3.2</w:t>
      </w:r>
      <w:r w:rsidRPr="00391DE3">
        <w:tab/>
      </w:r>
      <w:r>
        <w:t>Apricot nectar</w:t>
      </w:r>
      <w:bookmarkEnd w:id="90"/>
    </w:p>
    <w:p w:rsidR="00944DBE" w:rsidRDefault="00944DBE" w:rsidP="00F156B2">
      <w:pPr>
        <w:keepNext/>
        <w:keepLines/>
        <w:rPr>
          <w:rFonts w:cs="Arial"/>
          <w:szCs w:val="22"/>
        </w:rPr>
      </w:pPr>
    </w:p>
    <w:p w:rsidR="00B52F4D" w:rsidRDefault="00944DBE" w:rsidP="00F156B2">
      <w:pPr>
        <w:keepNext/>
        <w:keepLines/>
        <w:rPr>
          <w:rFonts w:cs="Arial"/>
          <w:szCs w:val="22"/>
        </w:rPr>
      </w:pPr>
      <w:r>
        <w:rPr>
          <w:rFonts w:cs="Arial"/>
          <w:szCs w:val="22"/>
        </w:rPr>
        <w:t>HCN was detected in one of four samples of apricot nectar analysed. The total HCN concentration in this sample was 6.5 mg/kg</w:t>
      </w:r>
      <w:r w:rsidR="00B52F4D">
        <w:rPr>
          <w:rFonts w:cs="Arial"/>
          <w:szCs w:val="22"/>
        </w:rPr>
        <w:t xml:space="preserve">. </w:t>
      </w:r>
      <w:r w:rsidR="00993F27">
        <w:rPr>
          <w:rFonts w:cs="Arial"/>
          <w:szCs w:val="22"/>
        </w:rPr>
        <w:t xml:space="preserve">This </w:t>
      </w:r>
      <w:r w:rsidR="00B52F4D">
        <w:rPr>
          <w:rFonts w:cs="Arial"/>
          <w:szCs w:val="22"/>
        </w:rPr>
        <w:t xml:space="preserve">sample did not comply with the current ML of </w:t>
      </w:r>
      <w:r w:rsidR="00B52F4D" w:rsidRPr="00944DBE">
        <w:rPr>
          <w:rFonts w:cs="Arial"/>
          <w:szCs w:val="22"/>
        </w:rPr>
        <w:t xml:space="preserve">5 mg HCN/kg </w:t>
      </w:r>
      <w:r w:rsidR="00B52F4D">
        <w:rPr>
          <w:rFonts w:cs="Arial"/>
          <w:szCs w:val="22"/>
        </w:rPr>
        <w:t xml:space="preserve">permitted in stone fruit juices in </w:t>
      </w:r>
      <w:r w:rsidRPr="00944DBE">
        <w:rPr>
          <w:rFonts w:cs="Arial"/>
          <w:szCs w:val="22"/>
        </w:rPr>
        <w:t>Standard 1.4.1</w:t>
      </w:r>
      <w:r w:rsidR="00B52F4D">
        <w:rPr>
          <w:rFonts w:cs="Arial"/>
          <w:szCs w:val="22"/>
        </w:rPr>
        <w:t xml:space="preserve"> of the Code. </w:t>
      </w:r>
    </w:p>
    <w:p w:rsidR="00DA3B8E" w:rsidRDefault="00DA3B8E">
      <w:pPr>
        <w:spacing w:after="200" w:line="276" w:lineRule="auto"/>
        <w:rPr>
          <w:rFonts w:cs="Arial"/>
          <w:szCs w:val="22"/>
        </w:rPr>
      </w:pPr>
    </w:p>
    <w:p w:rsidR="00822527" w:rsidRPr="00391DE3" w:rsidRDefault="00822527" w:rsidP="0026440D">
      <w:pPr>
        <w:pStyle w:val="Heading3"/>
      </w:pPr>
      <w:bookmarkStart w:id="91" w:name="_Toc384293507"/>
      <w:r w:rsidRPr="00391DE3">
        <w:t>4.3.</w:t>
      </w:r>
      <w:r w:rsidR="00944DBE">
        <w:t>3</w:t>
      </w:r>
      <w:r w:rsidRPr="00391DE3">
        <w:tab/>
        <w:t xml:space="preserve">Cassava </w:t>
      </w:r>
      <w:r w:rsidR="00944DBE">
        <w:t>roots</w:t>
      </w:r>
      <w:bookmarkEnd w:id="91"/>
    </w:p>
    <w:p w:rsidR="00822527" w:rsidRPr="00391DE3" w:rsidRDefault="00822527" w:rsidP="00391DE3">
      <w:pPr>
        <w:rPr>
          <w:rFonts w:cs="Arial"/>
          <w:szCs w:val="22"/>
        </w:rPr>
      </w:pPr>
    </w:p>
    <w:p w:rsidR="00822527" w:rsidRDefault="00822527" w:rsidP="00391DE3">
      <w:pPr>
        <w:rPr>
          <w:rFonts w:cs="Arial"/>
          <w:szCs w:val="22"/>
        </w:rPr>
      </w:pPr>
      <w:r w:rsidRPr="00391DE3">
        <w:rPr>
          <w:rFonts w:cs="Arial"/>
          <w:szCs w:val="22"/>
        </w:rPr>
        <w:t xml:space="preserve">HCN was detected in all nine samples of raw frozen cassava </w:t>
      </w:r>
      <w:r w:rsidR="002D2572" w:rsidRPr="00391DE3">
        <w:rPr>
          <w:rFonts w:cs="Arial"/>
          <w:szCs w:val="22"/>
        </w:rPr>
        <w:t>root</w:t>
      </w:r>
      <w:r w:rsidRPr="00391DE3">
        <w:rPr>
          <w:rFonts w:cs="Arial"/>
          <w:szCs w:val="22"/>
        </w:rPr>
        <w:t>s</w:t>
      </w:r>
      <w:r w:rsidR="00874EFF">
        <w:rPr>
          <w:rFonts w:cs="Arial"/>
          <w:szCs w:val="22"/>
        </w:rPr>
        <w:t>.</w:t>
      </w:r>
      <w:r w:rsidRPr="00391DE3">
        <w:rPr>
          <w:rFonts w:cs="Arial"/>
          <w:szCs w:val="22"/>
        </w:rPr>
        <w:t xml:space="preserve"> One </w:t>
      </w:r>
      <w:r w:rsidR="00874EFF">
        <w:rPr>
          <w:rFonts w:cs="Arial"/>
          <w:szCs w:val="22"/>
        </w:rPr>
        <w:t xml:space="preserve">raw sample had a maximum total </w:t>
      </w:r>
      <w:r w:rsidR="00874EFF" w:rsidRPr="00863370">
        <w:rPr>
          <w:rFonts w:cs="Arial"/>
          <w:szCs w:val="22"/>
        </w:rPr>
        <w:t xml:space="preserve">HCN concentration </w:t>
      </w:r>
      <w:r w:rsidR="00874EFF">
        <w:rPr>
          <w:rFonts w:cs="Arial"/>
          <w:szCs w:val="22"/>
        </w:rPr>
        <w:t xml:space="preserve">of </w:t>
      </w:r>
      <w:r w:rsidR="00874EFF" w:rsidRPr="00863370">
        <w:rPr>
          <w:rFonts w:cs="Arial"/>
          <w:szCs w:val="22"/>
        </w:rPr>
        <w:t>81 mg</w:t>
      </w:r>
      <w:r w:rsidR="00874EFF">
        <w:rPr>
          <w:rFonts w:cs="Arial"/>
          <w:szCs w:val="22"/>
        </w:rPr>
        <w:t xml:space="preserve"> HCN</w:t>
      </w:r>
      <w:r w:rsidR="00874EFF" w:rsidRPr="00863370">
        <w:rPr>
          <w:rFonts w:cs="Arial"/>
          <w:szCs w:val="22"/>
        </w:rPr>
        <w:t>/kg</w:t>
      </w:r>
      <w:r w:rsidR="0039581F">
        <w:rPr>
          <w:rFonts w:cs="Arial"/>
          <w:szCs w:val="22"/>
        </w:rPr>
        <w:t xml:space="preserve"> and therefore</w:t>
      </w:r>
      <w:r w:rsidR="00874EFF">
        <w:rPr>
          <w:rFonts w:cs="Arial"/>
          <w:szCs w:val="22"/>
        </w:rPr>
        <w:t xml:space="preserve"> </w:t>
      </w:r>
      <w:r w:rsidR="00D85A57">
        <w:rPr>
          <w:rFonts w:cs="Arial"/>
          <w:szCs w:val="22"/>
        </w:rPr>
        <w:t>did not comply with</w:t>
      </w:r>
      <w:r w:rsidRPr="00391DE3">
        <w:rPr>
          <w:rFonts w:cs="Arial"/>
          <w:szCs w:val="22"/>
        </w:rPr>
        <w:t xml:space="preserve"> the regulatory requirements</w:t>
      </w:r>
      <w:r w:rsidR="00874EFF">
        <w:rPr>
          <w:rFonts w:cs="Arial"/>
          <w:szCs w:val="22"/>
        </w:rPr>
        <w:t xml:space="preserve"> set out in the Code</w:t>
      </w:r>
      <w:r w:rsidR="0039581F">
        <w:rPr>
          <w:rFonts w:cs="Arial"/>
          <w:szCs w:val="22"/>
        </w:rPr>
        <w:t xml:space="preserve"> of less</w:t>
      </w:r>
      <w:r w:rsidRPr="00391DE3">
        <w:rPr>
          <w:rFonts w:cs="Arial"/>
          <w:szCs w:val="22"/>
        </w:rPr>
        <w:t xml:space="preserve"> than 50 mg HCN/kg</w:t>
      </w:r>
      <w:r w:rsidR="00AF5911">
        <w:rPr>
          <w:rStyle w:val="FootnoteReference"/>
          <w:rFonts w:cs="Arial"/>
          <w:szCs w:val="22"/>
        </w:rPr>
        <w:footnoteReference w:id="7"/>
      </w:r>
      <w:r w:rsidR="00AF5911">
        <w:rPr>
          <w:rFonts w:cs="Arial"/>
          <w:szCs w:val="22"/>
        </w:rPr>
        <w:t>.</w:t>
      </w:r>
    </w:p>
    <w:p w:rsidR="00387112" w:rsidRDefault="00387112" w:rsidP="00387112">
      <w:pPr>
        <w:rPr>
          <w:rFonts w:cs="Arial"/>
          <w:szCs w:val="22"/>
        </w:rPr>
      </w:pPr>
    </w:p>
    <w:p w:rsidR="00C268F2" w:rsidRDefault="00387112" w:rsidP="00391DE3">
      <w:pPr>
        <w:rPr>
          <w:rFonts w:cs="Arial"/>
          <w:szCs w:val="22"/>
        </w:rPr>
      </w:pPr>
      <w:r>
        <w:rPr>
          <w:rFonts w:cs="Arial"/>
          <w:szCs w:val="22"/>
        </w:rPr>
        <w:t>HCN was detected in all nine samples of cooked cassava roots. However, a</w:t>
      </w:r>
      <w:r w:rsidR="00822527" w:rsidRPr="00391DE3">
        <w:rPr>
          <w:rFonts w:cs="Arial"/>
          <w:szCs w:val="22"/>
        </w:rPr>
        <w:t xml:space="preserve">ll cooking methods resulted in a marked reduction in the HCN content of cassava </w:t>
      </w:r>
      <w:r w:rsidR="002D2572" w:rsidRPr="00391DE3">
        <w:rPr>
          <w:rFonts w:cs="Arial"/>
          <w:szCs w:val="22"/>
        </w:rPr>
        <w:t>root</w:t>
      </w:r>
      <w:r w:rsidR="00822527" w:rsidRPr="00391DE3">
        <w:rPr>
          <w:rFonts w:cs="Arial"/>
          <w:szCs w:val="22"/>
        </w:rPr>
        <w:t>s, with a mean reduction of 56%</w:t>
      </w:r>
      <w:r w:rsidR="00CD5C30">
        <w:rPr>
          <w:rFonts w:cs="Arial"/>
          <w:szCs w:val="22"/>
        </w:rPr>
        <w:t xml:space="preserve"> (range of 28-83%)</w:t>
      </w:r>
      <w:r w:rsidR="00822527" w:rsidRPr="00391DE3">
        <w:rPr>
          <w:rFonts w:cs="Arial"/>
          <w:szCs w:val="22"/>
        </w:rPr>
        <w:t>.</w:t>
      </w:r>
      <w:r w:rsidR="00E13994">
        <w:rPr>
          <w:rFonts w:cs="Arial"/>
          <w:szCs w:val="22"/>
        </w:rPr>
        <w:t xml:space="preserve"> </w:t>
      </w:r>
      <w:r>
        <w:rPr>
          <w:rFonts w:cs="Arial"/>
          <w:szCs w:val="22"/>
        </w:rPr>
        <w:t>Th</w:t>
      </w:r>
      <w:r w:rsidR="00C268F2">
        <w:rPr>
          <w:rFonts w:cs="Arial"/>
          <w:szCs w:val="22"/>
        </w:rPr>
        <w:t xml:space="preserve">e HCN concentration of the non-compliant sample decreased from 81 mg HCN/kg </w:t>
      </w:r>
      <w:r>
        <w:rPr>
          <w:rFonts w:cs="Arial"/>
          <w:szCs w:val="22"/>
        </w:rPr>
        <w:t xml:space="preserve">to 37 </w:t>
      </w:r>
      <w:r w:rsidRPr="00863370">
        <w:rPr>
          <w:rFonts w:cs="Arial"/>
          <w:szCs w:val="22"/>
        </w:rPr>
        <w:t>mg</w:t>
      </w:r>
      <w:r>
        <w:rPr>
          <w:rFonts w:cs="Arial"/>
          <w:szCs w:val="22"/>
        </w:rPr>
        <w:t xml:space="preserve"> HCN</w:t>
      </w:r>
      <w:r w:rsidRPr="00863370">
        <w:rPr>
          <w:rFonts w:cs="Arial"/>
          <w:szCs w:val="22"/>
        </w:rPr>
        <w:t>/kg</w:t>
      </w:r>
      <w:r>
        <w:rPr>
          <w:rFonts w:cs="Arial"/>
          <w:szCs w:val="22"/>
        </w:rPr>
        <w:t xml:space="preserve"> after cooking. </w:t>
      </w:r>
    </w:p>
    <w:p w:rsidR="00C268F2" w:rsidRDefault="00C268F2" w:rsidP="00391DE3">
      <w:pPr>
        <w:rPr>
          <w:rFonts w:cs="Arial"/>
          <w:szCs w:val="22"/>
        </w:rPr>
      </w:pPr>
    </w:p>
    <w:p w:rsidR="00D305B1" w:rsidRPr="00391DE3" w:rsidRDefault="00E13994" w:rsidP="00391DE3">
      <w:pPr>
        <w:rPr>
          <w:rFonts w:cs="Arial"/>
          <w:szCs w:val="22"/>
        </w:rPr>
      </w:pPr>
      <w:r>
        <w:rPr>
          <w:rFonts w:cs="Arial"/>
          <w:szCs w:val="22"/>
        </w:rPr>
        <w:t>Unfortunately, the sample numbers were too small to determine if there is any statistically significant difference between the HCN reductions that occurred by different cooking methods.</w:t>
      </w:r>
    </w:p>
    <w:p w:rsidR="00CD2943" w:rsidRDefault="00CD2943">
      <w:pPr>
        <w:spacing w:after="200" w:line="276" w:lineRule="auto"/>
        <w:rPr>
          <w:rFonts w:cs="Arial"/>
          <w:szCs w:val="22"/>
        </w:rPr>
      </w:pPr>
      <w:r>
        <w:rPr>
          <w:rFonts w:cs="Arial"/>
          <w:szCs w:val="22"/>
        </w:rPr>
        <w:br w:type="page"/>
      </w:r>
    </w:p>
    <w:p w:rsidR="00D305B1" w:rsidRPr="00391DE3" w:rsidRDefault="00D305B1" w:rsidP="00391DE3">
      <w:pPr>
        <w:rPr>
          <w:rFonts w:cs="Arial"/>
          <w:szCs w:val="22"/>
        </w:rPr>
      </w:pPr>
    </w:p>
    <w:p w:rsidR="00822527" w:rsidRPr="00391DE3" w:rsidRDefault="00822527" w:rsidP="0026440D">
      <w:pPr>
        <w:pStyle w:val="Heading3"/>
      </w:pPr>
      <w:bookmarkStart w:id="92" w:name="_Toc384293508"/>
      <w:r w:rsidRPr="00391DE3">
        <w:t>4.3.</w:t>
      </w:r>
      <w:r w:rsidR="00944DBE">
        <w:t>4</w:t>
      </w:r>
      <w:r w:rsidRPr="00391DE3">
        <w:tab/>
        <w:t>Bamboo shoots</w:t>
      </w:r>
      <w:bookmarkEnd w:id="92"/>
      <w:r w:rsidRPr="00391DE3">
        <w:t xml:space="preserve"> </w:t>
      </w:r>
    </w:p>
    <w:p w:rsidR="00D305B1" w:rsidRPr="00391DE3" w:rsidRDefault="00D305B1" w:rsidP="00391DE3">
      <w:pPr>
        <w:rPr>
          <w:rFonts w:cs="Arial"/>
          <w:szCs w:val="22"/>
        </w:rPr>
      </w:pPr>
    </w:p>
    <w:p w:rsidR="00954172" w:rsidRPr="00391DE3" w:rsidRDefault="002C72A2" w:rsidP="00391DE3">
      <w:pPr>
        <w:rPr>
          <w:rFonts w:cs="Arial"/>
          <w:szCs w:val="22"/>
        </w:rPr>
      </w:pPr>
      <w:r w:rsidRPr="00391DE3">
        <w:rPr>
          <w:rFonts w:cs="Arial"/>
          <w:szCs w:val="22"/>
        </w:rPr>
        <w:t xml:space="preserve">Of the three samples of raw bamboo shoots collected, two were purchased fresh and one was purchased frozen. Fresh varieties proved difficult to locate and do not appear to be </w:t>
      </w:r>
      <w:r w:rsidR="00954172" w:rsidRPr="00391DE3">
        <w:rPr>
          <w:rFonts w:cs="Arial"/>
          <w:szCs w:val="22"/>
        </w:rPr>
        <w:t>regularly</w:t>
      </w:r>
      <w:r w:rsidRPr="00391DE3">
        <w:rPr>
          <w:rFonts w:cs="Arial"/>
          <w:szCs w:val="22"/>
        </w:rPr>
        <w:t xml:space="preserve"> available in </w:t>
      </w:r>
      <w:r w:rsidR="00455C2C" w:rsidRPr="00391DE3">
        <w:rPr>
          <w:rFonts w:cs="Arial"/>
          <w:szCs w:val="22"/>
        </w:rPr>
        <w:t xml:space="preserve">major </w:t>
      </w:r>
      <w:r w:rsidRPr="00391DE3">
        <w:rPr>
          <w:rFonts w:cs="Arial"/>
          <w:szCs w:val="22"/>
        </w:rPr>
        <w:t xml:space="preserve">retail outlets. </w:t>
      </w:r>
    </w:p>
    <w:p w:rsidR="00954172" w:rsidRPr="00391DE3" w:rsidRDefault="00954172" w:rsidP="00391DE3">
      <w:pPr>
        <w:rPr>
          <w:rFonts w:cs="Arial"/>
          <w:szCs w:val="22"/>
        </w:rPr>
      </w:pPr>
    </w:p>
    <w:p w:rsidR="002C72A2" w:rsidRPr="00391DE3" w:rsidRDefault="002C72A2" w:rsidP="00391DE3">
      <w:pPr>
        <w:rPr>
          <w:rFonts w:cs="Arial"/>
          <w:szCs w:val="22"/>
        </w:rPr>
      </w:pPr>
      <w:r w:rsidRPr="00391DE3">
        <w:rPr>
          <w:rFonts w:cs="Arial"/>
          <w:szCs w:val="22"/>
        </w:rPr>
        <w:t xml:space="preserve">All </w:t>
      </w:r>
      <w:r w:rsidR="00954172" w:rsidRPr="00391DE3">
        <w:rPr>
          <w:rFonts w:cs="Arial"/>
          <w:szCs w:val="22"/>
        </w:rPr>
        <w:t xml:space="preserve">three </w:t>
      </w:r>
      <w:r w:rsidRPr="00391DE3">
        <w:rPr>
          <w:rFonts w:cs="Arial"/>
          <w:szCs w:val="22"/>
        </w:rPr>
        <w:t>samples of raw bamboo shoot</w:t>
      </w:r>
      <w:r w:rsidR="00136AF4">
        <w:rPr>
          <w:rFonts w:cs="Arial"/>
          <w:szCs w:val="22"/>
        </w:rPr>
        <w:t>s</w:t>
      </w:r>
      <w:r w:rsidRPr="00391DE3">
        <w:rPr>
          <w:rFonts w:cs="Arial"/>
          <w:szCs w:val="22"/>
        </w:rPr>
        <w:t xml:space="preserve"> contained detectable concentrations of HCN. </w:t>
      </w:r>
      <w:r w:rsidR="00954172" w:rsidRPr="00391DE3">
        <w:rPr>
          <w:rFonts w:cs="Arial"/>
          <w:szCs w:val="22"/>
        </w:rPr>
        <w:t>The t</w:t>
      </w:r>
      <w:r w:rsidRPr="00391DE3">
        <w:rPr>
          <w:rFonts w:cs="Arial"/>
          <w:szCs w:val="22"/>
        </w:rPr>
        <w:t xml:space="preserve">wo </w:t>
      </w:r>
      <w:r w:rsidR="00954172" w:rsidRPr="00391DE3">
        <w:rPr>
          <w:rFonts w:cs="Arial"/>
          <w:szCs w:val="22"/>
        </w:rPr>
        <w:t xml:space="preserve">fresh </w:t>
      </w:r>
      <w:r w:rsidRPr="00391DE3">
        <w:rPr>
          <w:rFonts w:cs="Arial"/>
          <w:szCs w:val="22"/>
        </w:rPr>
        <w:t xml:space="preserve">samples contained </w:t>
      </w:r>
      <w:r w:rsidR="00954172" w:rsidRPr="00391DE3">
        <w:rPr>
          <w:rFonts w:cs="Arial"/>
          <w:szCs w:val="22"/>
        </w:rPr>
        <w:t xml:space="preserve">significantly </w:t>
      </w:r>
      <w:r w:rsidRPr="00391DE3">
        <w:rPr>
          <w:rFonts w:cs="Arial"/>
          <w:szCs w:val="22"/>
        </w:rPr>
        <w:t>high</w:t>
      </w:r>
      <w:r w:rsidR="00954172" w:rsidRPr="00391DE3">
        <w:rPr>
          <w:rFonts w:cs="Arial"/>
          <w:szCs w:val="22"/>
        </w:rPr>
        <w:t>er</w:t>
      </w:r>
      <w:r w:rsidRPr="00391DE3">
        <w:rPr>
          <w:rFonts w:cs="Arial"/>
          <w:szCs w:val="22"/>
        </w:rPr>
        <w:t xml:space="preserve"> concentrations </w:t>
      </w:r>
      <w:r w:rsidR="00954172" w:rsidRPr="00391DE3">
        <w:rPr>
          <w:rFonts w:cs="Arial"/>
          <w:szCs w:val="22"/>
        </w:rPr>
        <w:t>than the frozen sample. I</w:t>
      </w:r>
      <w:r w:rsidRPr="00391DE3">
        <w:rPr>
          <w:rFonts w:cs="Arial"/>
          <w:szCs w:val="22"/>
        </w:rPr>
        <w:t xml:space="preserve">t is likely that the lower concentration of </w:t>
      </w:r>
      <w:r w:rsidR="00954172" w:rsidRPr="00391DE3">
        <w:rPr>
          <w:rFonts w:cs="Arial"/>
          <w:szCs w:val="22"/>
        </w:rPr>
        <w:t>HCN</w:t>
      </w:r>
      <w:r w:rsidRPr="00391DE3">
        <w:rPr>
          <w:rFonts w:cs="Arial"/>
          <w:szCs w:val="22"/>
        </w:rPr>
        <w:t xml:space="preserve"> </w:t>
      </w:r>
      <w:r w:rsidR="00136AF4">
        <w:rPr>
          <w:rFonts w:cs="Arial"/>
          <w:szCs w:val="22"/>
        </w:rPr>
        <w:t>was</w:t>
      </w:r>
      <w:r w:rsidRPr="00391DE3">
        <w:rPr>
          <w:rFonts w:cs="Arial"/>
          <w:szCs w:val="22"/>
        </w:rPr>
        <w:t xml:space="preserve"> due to further processing (i.e. blanching before freezing)</w:t>
      </w:r>
      <w:r w:rsidR="00FB1D42" w:rsidRPr="00FB1D42">
        <w:rPr>
          <w:rStyle w:val="FootnoteReference"/>
          <w:rFonts w:cs="Arial"/>
          <w:szCs w:val="22"/>
        </w:rPr>
        <w:t xml:space="preserve"> </w:t>
      </w:r>
      <w:r w:rsidR="00FB1D42">
        <w:rPr>
          <w:rStyle w:val="FootnoteReference"/>
          <w:rFonts w:cs="Arial"/>
          <w:szCs w:val="22"/>
        </w:rPr>
        <w:footnoteReference w:id="8"/>
      </w:r>
      <w:r w:rsidR="00FB1D42">
        <w:rPr>
          <w:rFonts w:cs="Arial"/>
          <w:szCs w:val="22"/>
        </w:rPr>
        <w:t>.</w:t>
      </w:r>
    </w:p>
    <w:p w:rsidR="002C72A2" w:rsidRDefault="002C72A2" w:rsidP="00391DE3">
      <w:pPr>
        <w:rPr>
          <w:rFonts w:cs="Arial"/>
          <w:szCs w:val="22"/>
        </w:rPr>
      </w:pPr>
    </w:p>
    <w:p w:rsidR="00A27C4A" w:rsidRDefault="00C268F2" w:rsidP="00391DE3">
      <w:pPr>
        <w:rPr>
          <w:rFonts w:cs="Arial"/>
          <w:szCs w:val="22"/>
        </w:rPr>
      </w:pPr>
      <w:r>
        <w:rPr>
          <w:rFonts w:cs="Arial"/>
          <w:szCs w:val="22"/>
        </w:rPr>
        <w:t xml:space="preserve">HCN was detected in all three </w:t>
      </w:r>
      <w:r w:rsidR="00D63F74">
        <w:rPr>
          <w:rFonts w:cs="Arial"/>
          <w:szCs w:val="22"/>
        </w:rPr>
        <w:t xml:space="preserve">samples of cooked bamboo shoots. </w:t>
      </w:r>
      <w:r w:rsidR="00954172" w:rsidRPr="00391DE3">
        <w:rPr>
          <w:rFonts w:cs="Arial"/>
          <w:szCs w:val="22"/>
        </w:rPr>
        <w:t xml:space="preserve">Cooking </w:t>
      </w:r>
      <w:r w:rsidR="00F25DB3">
        <w:rPr>
          <w:rFonts w:cs="Arial"/>
          <w:szCs w:val="22"/>
        </w:rPr>
        <w:t xml:space="preserve">the raw samples </w:t>
      </w:r>
      <w:r w:rsidR="00954172" w:rsidRPr="00391DE3">
        <w:rPr>
          <w:rFonts w:cs="Arial"/>
          <w:szCs w:val="22"/>
        </w:rPr>
        <w:t xml:space="preserve">resulted in an approximate 90% reduction in the cyanide generating potential of the two high-cyanide samples. For two of three samples, the reduction in HCN upon cooking </w:t>
      </w:r>
      <w:r w:rsidR="00455C2C" w:rsidRPr="00391DE3">
        <w:rPr>
          <w:rFonts w:cs="Arial"/>
          <w:szCs w:val="22"/>
        </w:rPr>
        <w:t>was</w:t>
      </w:r>
      <w:r w:rsidR="00954172" w:rsidRPr="00391DE3">
        <w:rPr>
          <w:rFonts w:cs="Arial"/>
          <w:szCs w:val="22"/>
        </w:rPr>
        <w:t xml:space="preserve"> within the range of concentrations reported for canned/pickled varieties in Survey 1. </w:t>
      </w:r>
    </w:p>
    <w:p w:rsidR="00AF5911" w:rsidRDefault="00AF5911" w:rsidP="00391DE3">
      <w:pPr>
        <w:rPr>
          <w:rFonts w:cs="Arial"/>
          <w:szCs w:val="22"/>
        </w:rPr>
      </w:pPr>
    </w:p>
    <w:p w:rsidR="00455C2C" w:rsidRPr="00391DE3" w:rsidRDefault="00455C2C" w:rsidP="0026440D">
      <w:pPr>
        <w:pStyle w:val="Heading3"/>
      </w:pPr>
      <w:bookmarkStart w:id="93" w:name="_Toc384293509"/>
      <w:r w:rsidRPr="00391DE3">
        <w:t>4.3.</w:t>
      </w:r>
      <w:r w:rsidR="00944DBE">
        <w:t>5</w:t>
      </w:r>
      <w:r w:rsidRPr="00391DE3">
        <w:tab/>
      </w:r>
      <w:r w:rsidR="006E1FE2" w:rsidRPr="00391DE3">
        <w:t>Bread containing linseed</w:t>
      </w:r>
      <w:bookmarkEnd w:id="93"/>
      <w:r w:rsidRPr="00391DE3">
        <w:t xml:space="preserve"> </w:t>
      </w:r>
    </w:p>
    <w:p w:rsidR="00455C2C" w:rsidRPr="00391DE3" w:rsidRDefault="00455C2C" w:rsidP="00391DE3">
      <w:pPr>
        <w:rPr>
          <w:rFonts w:cs="Arial"/>
          <w:szCs w:val="22"/>
        </w:rPr>
      </w:pPr>
    </w:p>
    <w:p w:rsidR="00CE2454" w:rsidRPr="00391DE3" w:rsidRDefault="00EF67FC" w:rsidP="00391DE3">
      <w:pPr>
        <w:rPr>
          <w:rFonts w:cs="Arial"/>
          <w:szCs w:val="22"/>
        </w:rPr>
      </w:pPr>
      <w:r>
        <w:rPr>
          <w:rFonts w:cs="Arial"/>
          <w:szCs w:val="22"/>
        </w:rPr>
        <w:t xml:space="preserve">The source of HCN in bread containing linseed is assumed to be solely from the linseeds. </w:t>
      </w:r>
      <w:r w:rsidR="00CE2454" w:rsidRPr="00391DE3">
        <w:rPr>
          <w:rFonts w:cs="Arial"/>
          <w:szCs w:val="22"/>
        </w:rPr>
        <w:t xml:space="preserve">For Survey 3, all three samples of </w:t>
      </w:r>
      <w:r w:rsidR="006E1FE2" w:rsidRPr="00391DE3">
        <w:rPr>
          <w:rFonts w:cs="Arial"/>
          <w:szCs w:val="22"/>
        </w:rPr>
        <w:t>bread containing linseed</w:t>
      </w:r>
      <w:r w:rsidR="00CE2454" w:rsidRPr="00391DE3">
        <w:rPr>
          <w:rFonts w:cs="Arial"/>
          <w:szCs w:val="22"/>
        </w:rPr>
        <w:t xml:space="preserve"> were collected in Australia. HCN </w:t>
      </w:r>
      <w:r w:rsidR="00455C2C" w:rsidRPr="00391DE3">
        <w:rPr>
          <w:rFonts w:cs="Arial"/>
          <w:szCs w:val="22"/>
        </w:rPr>
        <w:t xml:space="preserve">was detected in all </w:t>
      </w:r>
      <w:r w:rsidR="00CE2454" w:rsidRPr="00391DE3">
        <w:rPr>
          <w:rFonts w:cs="Arial"/>
          <w:szCs w:val="22"/>
        </w:rPr>
        <w:t>of these.</w:t>
      </w:r>
    </w:p>
    <w:p w:rsidR="00CE2454" w:rsidRPr="00391DE3" w:rsidRDefault="00CE2454" w:rsidP="00391DE3">
      <w:pPr>
        <w:rPr>
          <w:rFonts w:cs="Arial"/>
          <w:szCs w:val="22"/>
        </w:rPr>
      </w:pPr>
    </w:p>
    <w:p w:rsidR="00CE2454" w:rsidRPr="00391DE3" w:rsidRDefault="00CE2454" w:rsidP="00391DE3">
      <w:pPr>
        <w:rPr>
          <w:rFonts w:cs="Arial"/>
          <w:szCs w:val="22"/>
        </w:rPr>
      </w:pPr>
      <w:r w:rsidRPr="00391DE3">
        <w:rPr>
          <w:rFonts w:cs="Arial"/>
          <w:szCs w:val="22"/>
        </w:rPr>
        <w:t xml:space="preserve">HCN </w:t>
      </w:r>
      <w:r w:rsidR="00455C2C" w:rsidRPr="00391DE3">
        <w:rPr>
          <w:rFonts w:cs="Arial"/>
          <w:szCs w:val="22"/>
        </w:rPr>
        <w:t xml:space="preserve">concentrations </w:t>
      </w:r>
      <w:r w:rsidRPr="00391DE3">
        <w:rPr>
          <w:rFonts w:cs="Arial"/>
          <w:szCs w:val="22"/>
        </w:rPr>
        <w:t xml:space="preserve">were found to be </w:t>
      </w:r>
      <w:r w:rsidR="00455C2C" w:rsidRPr="00391DE3">
        <w:rPr>
          <w:rFonts w:cs="Arial"/>
          <w:szCs w:val="22"/>
        </w:rPr>
        <w:t xml:space="preserve">higher than those reported </w:t>
      </w:r>
      <w:r w:rsidRPr="00391DE3">
        <w:rPr>
          <w:rFonts w:cs="Arial"/>
          <w:szCs w:val="22"/>
        </w:rPr>
        <w:t xml:space="preserve">in Survey 1 </w:t>
      </w:r>
      <w:r w:rsidR="00455C2C" w:rsidRPr="00391DE3">
        <w:rPr>
          <w:rFonts w:cs="Arial"/>
          <w:szCs w:val="22"/>
        </w:rPr>
        <w:t xml:space="preserve">for </w:t>
      </w:r>
      <w:r w:rsidR="006E1FE2" w:rsidRPr="00391DE3">
        <w:rPr>
          <w:rFonts w:cs="Arial"/>
          <w:szCs w:val="22"/>
        </w:rPr>
        <w:t>bread containing linseed</w:t>
      </w:r>
      <w:r w:rsidR="00455C2C" w:rsidRPr="00391DE3">
        <w:rPr>
          <w:rFonts w:cs="Arial"/>
          <w:szCs w:val="22"/>
        </w:rPr>
        <w:t xml:space="preserve"> from New Zealand</w:t>
      </w:r>
      <w:r w:rsidRPr="00391DE3">
        <w:rPr>
          <w:rFonts w:cs="Arial"/>
          <w:szCs w:val="22"/>
        </w:rPr>
        <w:t>.</w:t>
      </w:r>
    </w:p>
    <w:p w:rsidR="00455C2C" w:rsidRPr="00391DE3" w:rsidRDefault="00455C2C" w:rsidP="00391DE3">
      <w:pPr>
        <w:rPr>
          <w:rFonts w:cs="Arial"/>
          <w:szCs w:val="22"/>
        </w:rPr>
      </w:pPr>
    </w:p>
    <w:p w:rsidR="00880FB6" w:rsidRDefault="008C4722" w:rsidP="00391DE3">
      <w:pPr>
        <w:rPr>
          <w:rFonts w:cs="Arial"/>
          <w:szCs w:val="22"/>
        </w:rPr>
      </w:pPr>
      <w:r>
        <w:rPr>
          <w:rFonts w:cs="Arial"/>
          <w:szCs w:val="22"/>
        </w:rPr>
        <w:t>T</w:t>
      </w:r>
      <w:r w:rsidRPr="00391DE3">
        <w:rPr>
          <w:rFonts w:cs="Arial"/>
          <w:szCs w:val="22"/>
        </w:rPr>
        <w:t>he higher HCN content of Australian bread containing linseed may be due to higher HCN concentrations in Australian-sourced linseed</w:t>
      </w:r>
      <w:r>
        <w:rPr>
          <w:rFonts w:cs="Arial"/>
          <w:szCs w:val="22"/>
        </w:rPr>
        <w:t xml:space="preserve">, as </w:t>
      </w:r>
      <w:r w:rsidR="00CE2454" w:rsidRPr="00391DE3">
        <w:rPr>
          <w:rFonts w:cs="Arial"/>
          <w:szCs w:val="22"/>
        </w:rPr>
        <w:t>a</w:t>
      </w:r>
      <w:r w:rsidR="00455C2C" w:rsidRPr="00391DE3">
        <w:rPr>
          <w:rFonts w:cs="Arial"/>
          <w:szCs w:val="22"/>
        </w:rPr>
        <w:t xml:space="preserve">n Australian study of cyanogenic plant materials reported </w:t>
      </w:r>
      <w:r w:rsidR="00CE2454" w:rsidRPr="00391DE3">
        <w:rPr>
          <w:rFonts w:cs="Arial"/>
          <w:szCs w:val="22"/>
        </w:rPr>
        <w:t xml:space="preserve">higher </w:t>
      </w:r>
      <w:r w:rsidR="00455C2C" w:rsidRPr="00391DE3">
        <w:rPr>
          <w:rFonts w:cs="Arial"/>
          <w:szCs w:val="22"/>
        </w:rPr>
        <w:t xml:space="preserve">concentrations of total </w:t>
      </w:r>
      <w:r w:rsidR="00CE2454" w:rsidRPr="00391DE3">
        <w:rPr>
          <w:rFonts w:cs="Arial"/>
          <w:szCs w:val="22"/>
        </w:rPr>
        <w:t xml:space="preserve">HCN </w:t>
      </w:r>
      <w:r w:rsidR="00455C2C" w:rsidRPr="00391DE3">
        <w:rPr>
          <w:rFonts w:cs="Arial"/>
          <w:szCs w:val="22"/>
        </w:rPr>
        <w:t>in linseed</w:t>
      </w:r>
      <w:r w:rsidR="00CE2454" w:rsidRPr="00391DE3">
        <w:rPr>
          <w:rFonts w:cs="Arial"/>
          <w:szCs w:val="22"/>
        </w:rPr>
        <w:t>s</w:t>
      </w:r>
      <w:r w:rsidR="00455C2C" w:rsidRPr="00391DE3">
        <w:rPr>
          <w:rFonts w:cs="Arial"/>
          <w:szCs w:val="22"/>
        </w:rPr>
        <w:t xml:space="preserve"> </w:t>
      </w:r>
      <w:r w:rsidR="00CE2454" w:rsidRPr="00391DE3">
        <w:rPr>
          <w:rFonts w:cs="Arial"/>
          <w:szCs w:val="22"/>
        </w:rPr>
        <w:t xml:space="preserve">of </w:t>
      </w:r>
      <w:r w:rsidR="00455C2C" w:rsidRPr="00391DE3">
        <w:rPr>
          <w:rFonts w:cs="Arial"/>
          <w:szCs w:val="22"/>
        </w:rPr>
        <w:t>up to 390 mg</w:t>
      </w:r>
      <w:r w:rsidR="00CE2454" w:rsidRPr="00391DE3">
        <w:rPr>
          <w:rFonts w:cs="Arial"/>
          <w:szCs w:val="22"/>
        </w:rPr>
        <w:t xml:space="preserve"> HCN</w:t>
      </w:r>
      <w:r w:rsidR="00455C2C" w:rsidRPr="00391DE3">
        <w:rPr>
          <w:rFonts w:cs="Arial"/>
          <w:szCs w:val="22"/>
        </w:rPr>
        <w:t xml:space="preserve">/kg (Haque and Bradbury, 2002), </w:t>
      </w:r>
      <w:r w:rsidR="00CE2454" w:rsidRPr="00391DE3">
        <w:rPr>
          <w:rFonts w:cs="Arial"/>
          <w:szCs w:val="22"/>
        </w:rPr>
        <w:t xml:space="preserve">compared with concentrations of 180 mg HCN/kg for </w:t>
      </w:r>
      <w:r w:rsidR="00455C2C" w:rsidRPr="00391DE3">
        <w:rPr>
          <w:rFonts w:cs="Arial"/>
          <w:szCs w:val="22"/>
        </w:rPr>
        <w:t>equivalent analyses in New Zealand</w:t>
      </w:r>
      <w:r w:rsidR="00D63F74">
        <w:rPr>
          <w:rFonts w:cs="Arial"/>
          <w:szCs w:val="22"/>
        </w:rPr>
        <w:t xml:space="preserve"> (ESR, 2010 – unpublished)</w:t>
      </w:r>
      <w:r w:rsidR="00CE2454" w:rsidRPr="00391DE3">
        <w:rPr>
          <w:rFonts w:cs="Arial"/>
          <w:szCs w:val="22"/>
        </w:rPr>
        <w:t xml:space="preserve">. </w:t>
      </w:r>
    </w:p>
    <w:p w:rsidR="00EF3C7B" w:rsidRPr="00391DE3" w:rsidRDefault="00EF3C7B" w:rsidP="00391DE3">
      <w:pPr>
        <w:rPr>
          <w:rFonts w:cs="Arial"/>
          <w:szCs w:val="22"/>
        </w:rPr>
      </w:pPr>
    </w:p>
    <w:p w:rsidR="00621281" w:rsidRDefault="00880FB6" w:rsidP="00621281">
      <w:pPr>
        <w:rPr>
          <w:rFonts w:cs="Arial"/>
          <w:szCs w:val="22"/>
        </w:rPr>
      </w:pPr>
      <w:r w:rsidRPr="00391DE3">
        <w:rPr>
          <w:rFonts w:cs="Arial"/>
          <w:szCs w:val="22"/>
        </w:rPr>
        <w:t xml:space="preserve">Australian breads analysed in Survey 3 contained 5-7% linseed according to the label, which </w:t>
      </w:r>
      <w:r w:rsidR="009B5F68">
        <w:rPr>
          <w:rFonts w:cs="Arial"/>
          <w:szCs w:val="22"/>
        </w:rPr>
        <w:t>was</w:t>
      </w:r>
      <w:r w:rsidR="009B5F68" w:rsidRPr="00391DE3">
        <w:rPr>
          <w:rFonts w:cs="Arial"/>
          <w:szCs w:val="22"/>
        </w:rPr>
        <w:t xml:space="preserve"> </w:t>
      </w:r>
      <w:r w:rsidRPr="00391DE3">
        <w:rPr>
          <w:rFonts w:cs="Arial"/>
          <w:szCs w:val="22"/>
        </w:rPr>
        <w:t xml:space="preserve">similar to </w:t>
      </w:r>
      <w:r w:rsidR="00136AF4">
        <w:rPr>
          <w:rFonts w:cs="Arial"/>
          <w:szCs w:val="22"/>
        </w:rPr>
        <w:t>the</w:t>
      </w:r>
      <w:r w:rsidRPr="00391DE3">
        <w:rPr>
          <w:rFonts w:cs="Arial"/>
          <w:szCs w:val="22"/>
        </w:rPr>
        <w:t xml:space="preserve"> New Zealand breads analysed in Survey 1 (7-8%). In both cases, HCN concentrati</w:t>
      </w:r>
      <w:r w:rsidR="003C5D70">
        <w:rPr>
          <w:rFonts w:cs="Arial"/>
          <w:szCs w:val="22"/>
        </w:rPr>
        <w:t>ons in bread containing linseed</w:t>
      </w:r>
      <w:r w:rsidRPr="00391DE3">
        <w:rPr>
          <w:rFonts w:cs="Arial"/>
          <w:szCs w:val="22"/>
        </w:rPr>
        <w:t xml:space="preserve"> were relatively consistent with </w:t>
      </w:r>
      <w:r w:rsidR="008C4722">
        <w:rPr>
          <w:rFonts w:cs="Arial"/>
          <w:szCs w:val="22"/>
        </w:rPr>
        <w:t xml:space="preserve">linseed being the only source of HCN, </w:t>
      </w:r>
      <w:r w:rsidRPr="00391DE3">
        <w:rPr>
          <w:rFonts w:cs="Arial"/>
          <w:szCs w:val="22"/>
        </w:rPr>
        <w:t>the stated linseed content of the breads according to the label</w:t>
      </w:r>
      <w:r w:rsidR="009B5F68">
        <w:rPr>
          <w:rFonts w:cs="Arial"/>
          <w:szCs w:val="22"/>
        </w:rPr>
        <w:t>,</w:t>
      </w:r>
      <w:r w:rsidRPr="00391DE3">
        <w:rPr>
          <w:rFonts w:cs="Arial"/>
          <w:szCs w:val="22"/>
        </w:rPr>
        <w:t xml:space="preserve"> and the reported concentrations of HCN in linseed</w:t>
      </w:r>
      <w:r w:rsidR="00136AF4">
        <w:rPr>
          <w:rFonts w:cs="Arial"/>
          <w:szCs w:val="22"/>
        </w:rPr>
        <w:t>, for each country</w:t>
      </w:r>
      <w:r w:rsidRPr="00391DE3">
        <w:rPr>
          <w:rFonts w:cs="Arial"/>
          <w:szCs w:val="22"/>
        </w:rPr>
        <w:t>.</w:t>
      </w:r>
    </w:p>
    <w:p w:rsidR="00336EBC" w:rsidRDefault="00336EBC">
      <w:pPr>
        <w:spacing w:after="200" w:line="276" w:lineRule="auto"/>
      </w:pPr>
      <w:r>
        <w:br w:type="page"/>
      </w:r>
    </w:p>
    <w:p w:rsidR="00822527" w:rsidRDefault="00822527" w:rsidP="00D12D6D">
      <w:pPr>
        <w:pStyle w:val="Heading2"/>
      </w:pPr>
      <w:bookmarkStart w:id="94" w:name="_Toc367957649"/>
      <w:bookmarkStart w:id="95" w:name="_Toc384293510"/>
      <w:bookmarkStart w:id="96" w:name="_Toc338160510"/>
      <w:bookmarkStart w:id="97" w:name="_Toc338160872"/>
      <w:bookmarkStart w:id="98" w:name="_Toc338161487"/>
      <w:bookmarkStart w:id="99" w:name="_Toc338161754"/>
      <w:r>
        <w:lastRenderedPageBreak/>
        <w:t>4.</w:t>
      </w:r>
      <w:r w:rsidR="00F43ACA">
        <w:t>4</w:t>
      </w:r>
      <w:r>
        <w:tab/>
      </w:r>
      <w:bookmarkEnd w:id="94"/>
      <w:r w:rsidR="00227A22">
        <w:t>A</w:t>
      </w:r>
      <w:r w:rsidR="00D17C57">
        <w:t>pple juice and apple products</w:t>
      </w:r>
      <w:bookmarkEnd w:id="95"/>
      <w:r w:rsidR="00227A22">
        <w:t xml:space="preserve"> </w:t>
      </w:r>
    </w:p>
    <w:p w:rsidR="00D17C57" w:rsidRDefault="008845F2" w:rsidP="00523A14">
      <w:pPr>
        <w:pStyle w:val="Heading3"/>
      </w:pPr>
      <w:bookmarkStart w:id="100" w:name="_Toc384293511"/>
      <w:r w:rsidRPr="00391DE3">
        <w:t>4.</w:t>
      </w:r>
      <w:r>
        <w:t>4</w:t>
      </w:r>
      <w:r w:rsidRPr="00391DE3">
        <w:t>.</w:t>
      </w:r>
      <w:r>
        <w:t>1</w:t>
      </w:r>
      <w:r>
        <w:tab/>
        <w:t>Survey results for apple</w:t>
      </w:r>
      <w:r w:rsidR="00D17C57" w:rsidRPr="00D17C57">
        <w:t xml:space="preserve"> juice</w:t>
      </w:r>
      <w:bookmarkEnd w:id="100"/>
    </w:p>
    <w:p w:rsidR="00523A14" w:rsidRPr="00523A14" w:rsidRDefault="00523A14" w:rsidP="00523A14"/>
    <w:p w:rsidR="008845F2" w:rsidRDefault="00541B9D" w:rsidP="00E4343D">
      <w:pPr>
        <w:rPr>
          <w:rFonts w:cs="Arial"/>
        </w:rPr>
      </w:pPr>
      <w:r w:rsidRPr="008F3DCC">
        <w:rPr>
          <w:rFonts w:cs="Arial"/>
          <w:szCs w:val="22"/>
        </w:rPr>
        <w:t>Results of Survey</w:t>
      </w:r>
      <w:r w:rsidR="007E2C58">
        <w:rPr>
          <w:rFonts w:cs="Arial"/>
          <w:szCs w:val="22"/>
        </w:rPr>
        <w:t>s</w:t>
      </w:r>
      <w:r w:rsidRPr="008F3DCC">
        <w:rPr>
          <w:rFonts w:cs="Arial"/>
          <w:szCs w:val="22"/>
        </w:rPr>
        <w:t xml:space="preserve"> </w:t>
      </w:r>
      <w:r w:rsidR="00F65FD2">
        <w:rPr>
          <w:rFonts w:cs="Arial"/>
          <w:szCs w:val="22"/>
        </w:rPr>
        <w:t xml:space="preserve">1 and </w:t>
      </w:r>
      <w:r w:rsidRPr="008F3DCC">
        <w:rPr>
          <w:rFonts w:cs="Arial"/>
          <w:szCs w:val="22"/>
        </w:rPr>
        <w:t xml:space="preserve">2 </w:t>
      </w:r>
      <w:r w:rsidR="00F65FD2">
        <w:rPr>
          <w:rFonts w:cs="Arial"/>
          <w:szCs w:val="22"/>
        </w:rPr>
        <w:t>suggest that there is</w:t>
      </w:r>
      <w:r w:rsidR="00045382" w:rsidRPr="008F3DCC">
        <w:rPr>
          <w:rFonts w:cs="Arial"/>
          <w:szCs w:val="22"/>
        </w:rPr>
        <w:t xml:space="preserve"> </w:t>
      </w:r>
      <w:r w:rsidRPr="008F3DCC">
        <w:rPr>
          <w:rFonts w:cs="Arial"/>
          <w:szCs w:val="22"/>
        </w:rPr>
        <w:t>a potential for apple juice to occasionally contain measurable amounts of HCN</w:t>
      </w:r>
      <w:r w:rsidR="0078557B">
        <w:rPr>
          <w:rFonts w:cs="Arial"/>
          <w:szCs w:val="22"/>
        </w:rPr>
        <w:t xml:space="preserve"> ranging from 1.5-</w:t>
      </w:r>
      <w:r w:rsidR="00F65FD2">
        <w:rPr>
          <w:rFonts w:cs="Arial"/>
          <w:szCs w:val="22"/>
        </w:rPr>
        <w:t>5</w:t>
      </w:r>
      <w:r w:rsidR="0078557B">
        <w:rPr>
          <w:rFonts w:cs="Arial"/>
          <w:szCs w:val="22"/>
        </w:rPr>
        <w:t>.</w:t>
      </w:r>
      <w:r w:rsidR="00F65FD2">
        <w:rPr>
          <w:rFonts w:cs="Arial"/>
          <w:szCs w:val="22"/>
        </w:rPr>
        <w:t>4</w:t>
      </w:r>
      <w:r w:rsidR="0078557B">
        <w:rPr>
          <w:rFonts w:cs="Arial"/>
          <w:szCs w:val="22"/>
        </w:rPr>
        <w:t> mg/kg</w:t>
      </w:r>
      <w:r w:rsidR="00DA3B8E" w:rsidRPr="008F3DCC">
        <w:rPr>
          <w:rFonts w:cs="Arial"/>
          <w:szCs w:val="22"/>
        </w:rPr>
        <w:t>.</w:t>
      </w:r>
      <w:r w:rsidRPr="008F3DCC">
        <w:rPr>
          <w:rFonts w:cs="Arial"/>
          <w:szCs w:val="22"/>
        </w:rPr>
        <w:t xml:space="preserve"> However, this occurred in isolated cases and did not appear to be linked to any particular manufactu</w:t>
      </w:r>
      <w:r w:rsidR="00E4343D">
        <w:rPr>
          <w:rFonts w:cs="Arial"/>
          <w:szCs w:val="22"/>
        </w:rPr>
        <w:t xml:space="preserve">rer or brand, and/or storage or </w:t>
      </w:r>
      <w:r w:rsidRPr="008F3DCC">
        <w:rPr>
          <w:rFonts w:cs="Arial"/>
          <w:szCs w:val="22"/>
        </w:rPr>
        <w:t>processing practice.</w:t>
      </w:r>
      <w:r w:rsidR="008845F2">
        <w:rPr>
          <w:rFonts w:cs="Arial"/>
          <w:szCs w:val="22"/>
        </w:rPr>
        <w:t xml:space="preserve"> Adding to the uncertainty</w:t>
      </w:r>
      <w:r w:rsidR="007E2C58">
        <w:rPr>
          <w:rFonts w:cs="Arial"/>
          <w:szCs w:val="22"/>
        </w:rPr>
        <w:t xml:space="preserve"> associated with these results</w:t>
      </w:r>
      <w:r w:rsidR="008845F2">
        <w:rPr>
          <w:rFonts w:cs="Arial"/>
          <w:szCs w:val="22"/>
        </w:rPr>
        <w:t xml:space="preserve">, </w:t>
      </w:r>
      <w:r w:rsidR="007E2C58">
        <w:rPr>
          <w:rFonts w:cs="Arial"/>
          <w:szCs w:val="22"/>
        </w:rPr>
        <w:t xml:space="preserve">analyses of </w:t>
      </w:r>
      <w:r w:rsidR="008845F2">
        <w:rPr>
          <w:rFonts w:cs="Arial"/>
          <w:szCs w:val="22"/>
        </w:rPr>
        <w:t>a</w:t>
      </w:r>
      <w:r w:rsidR="00E4343D" w:rsidRPr="00045382">
        <w:rPr>
          <w:rFonts w:cs="Arial"/>
        </w:rPr>
        <w:t>dditional batches of the same product and retention samples (where available)</w:t>
      </w:r>
      <w:r w:rsidR="007E2C58">
        <w:rPr>
          <w:rFonts w:cs="Arial"/>
        </w:rPr>
        <w:t xml:space="preserve"> </w:t>
      </w:r>
      <w:r w:rsidR="00336EBC">
        <w:rPr>
          <w:rFonts w:cs="Arial"/>
        </w:rPr>
        <w:t xml:space="preserve">for samples collected in both Surveys 1 and 2 </w:t>
      </w:r>
      <w:r w:rsidR="007E2C58">
        <w:rPr>
          <w:rFonts w:cs="Arial"/>
        </w:rPr>
        <w:t>resulted in no detections of</w:t>
      </w:r>
      <w:r w:rsidR="008845F2">
        <w:rPr>
          <w:rFonts w:cs="Arial"/>
        </w:rPr>
        <w:t xml:space="preserve"> HCN.</w:t>
      </w:r>
      <w:r w:rsidR="00E4343D" w:rsidRPr="00E4343D">
        <w:rPr>
          <w:rFonts w:cs="Arial"/>
        </w:rPr>
        <w:t xml:space="preserve"> </w:t>
      </w:r>
    </w:p>
    <w:p w:rsidR="008845F2" w:rsidRDefault="008845F2" w:rsidP="00E4343D">
      <w:pPr>
        <w:rPr>
          <w:rFonts w:cs="Arial"/>
        </w:rPr>
      </w:pPr>
    </w:p>
    <w:p w:rsidR="00E4343D" w:rsidRPr="00236AD1" w:rsidRDefault="007E2C58" w:rsidP="00E4343D">
      <w:pPr>
        <w:rPr>
          <w:rFonts w:cs="Arial"/>
        </w:rPr>
      </w:pPr>
      <w:r>
        <w:rPr>
          <w:rFonts w:cs="Arial"/>
        </w:rPr>
        <w:t xml:space="preserve">Analyses of </w:t>
      </w:r>
      <w:r w:rsidR="00E4343D" w:rsidRPr="00236AD1">
        <w:rPr>
          <w:rFonts w:cs="Arial"/>
        </w:rPr>
        <w:t xml:space="preserve">apple juice samples taken directly from the juice press or made in the laboratory (after ensuring the cyanogen-containing pips were ruptured) </w:t>
      </w:r>
      <w:r w:rsidR="00E4343D">
        <w:rPr>
          <w:rFonts w:cs="Arial"/>
        </w:rPr>
        <w:t xml:space="preserve">(Survey 2) </w:t>
      </w:r>
      <w:r w:rsidR="00E4343D" w:rsidRPr="00236AD1">
        <w:rPr>
          <w:rFonts w:cs="Arial"/>
        </w:rPr>
        <w:t>also resulted in no detections</w:t>
      </w:r>
      <w:r w:rsidR="00E4343D">
        <w:rPr>
          <w:rFonts w:cs="Arial"/>
        </w:rPr>
        <w:t>.</w:t>
      </w:r>
      <w:r w:rsidR="00E4343D" w:rsidRPr="00236AD1">
        <w:rPr>
          <w:rFonts w:cs="Arial"/>
        </w:rPr>
        <w:t xml:space="preserve"> </w:t>
      </w:r>
      <w:r w:rsidR="00E4343D">
        <w:rPr>
          <w:rFonts w:cs="Arial"/>
        </w:rPr>
        <w:t>This</w:t>
      </w:r>
      <w:r w:rsidR="00E4343D" w:rsidRPr="00236AD1">
        <w:rPr>
          <w:rFonts w:cs="Arial"/>
        </w:rPr>
        <w:t xml:space="preserve"> indicate</w:t>
      </w:r>
      <w:r w:rsidR="00E4343D">
        <w:rPr>
          <w:rFonts w:cs="Arial"/>
        </w:rPr>
        <w:t>s</w:t>
      </w:r>
      <w:r w:rsidR="00E4343D" w:rsidRPr="00236AD1">
        <w:rPr>
          <w:rFonts w:cs="Arial"/>
        </w:rPr>
        <w:t xml:space="preserve"> that the occasional detection of HCN in apple juice may not be due to rupture of the pips at high extraction rates, as was initially proposed (ESR, 2010 – unpublished).</w:t>
      </w:r>
    </w:p>
    <w:p w:rsidR="00E4343D" w:rsidRDefault="00E4343D" w:rsidP="00045382">
      <w:pPr>
        <w:rPr>
          <w:rFonts w:cs="Arial"/>
          <w:szCs w:val="22"/>
        </w:rPr>
      </w:pPr>
    </w:p>
    <w:p w:rsidR="00240EF6" w:rsidRDefault="00240EF6" w:rsidP="00240EF6">
      <w:pPr>
        <w:rPr>
          <w:rFonts w:cs="Arial"/>
          <w:szCs w:val="22"/>
        </w:rPr>
      </w:pPr>
      <w:r w:rsidRPr="008845F2">
        <w:rPr>
          <w:rFonts w:cs="Arial"/>
          <w:szCs w:val="22"/>
        </w:rPr>
        <w:t xml:space="preserve">FSANZ carried out </w:t>
      </w:r>
      <w:r>
        <w:rPr>
          <w:rFonts w:cs="Arial"/>
          <w:szCs w:val="22"/>
        </w:rPr>
        <w:t xml:space="preserve">a number of investigations to validate the results of Surveys 1 and 2 and identify the source of the cyanogenic glycosides detected in the juice, </w:t>
      </w:r>
      <w:r w:rsidRPr="008845F2">
        <w:rPr>
          <w:rFonts w:cs="Arial"/>
          <w:szCs w:val="22"/>
        </w:rPr>
        <w:t>as described in the sections below</w:t>
      </w:r>
      <w:r>
        <w:rPr>
          <w:rFonts w:cs="Arial"/>
          <w:szCs w:val="22"/>
        </w:rPr>
        <w:t>.</w:t>
      </w:r>
    </w:p>
    <w:p w:rsidR="00240EF6" w:rsidRDefault="00240EF6" w:rsidP="00045382">
      <w:pPr>
        <w:rPr>
          <w:rFonts w:cs="Arial"/>
          <w:szCs w:val="22"/>
        </w:rPr>
      </w:pPr>
    </w:p>
    <w:p w:rsidR="00822527" w:rsidRDefault="00822527" w:rsidP="008845F2">
      <w:pPr>
        <w:pStyle w:val="Heading3"/>
      </w:pPr>
      <w:bookmarkStart w:id="101" w:name="_Toc384293512"/>
      <w:r w:rsidRPr="00525A12">
        <w:t>4.</w:t>
      </w:r>
      <w:r w:rsidR="00F43ACA">
        <w:t>4</w:t>
      </w:r>
      <w:r w:rsidRPr="00525A12">
        <w:t>.</w:t>
      </w:r>
      <w:r w:rsidR="007E2C58">
        <w:t>2</w:t>
      </w:r>
      <w:r w:rsidRPr="00525A12">
        <w:tab/>
        <w:t>Analysis of apple aroma extract</w:t>
      </w:r>
      <w:bookmarkEnd w:id="101"/>
    </w:p>
    <w:p w:rsidR="008845F2" w:rsidRPr="008845F2" w:rsidRDefault="008845F2" w:rsidP="008845F2"/>
    <w:p w:rsidR="00822527" w:rsidRDefault="008845F2" w:rsidP="00822527">
      <w:pPr>
        <w:rPr>
          <w:rFonts w:cs="Arial"/>
          <w:szCs w:val="22"/>
        </w:rPr>
      </w:pPr>
      <w:r>
        <w:rPr>
          <w:rFonts w:cs="Arial"/>
          <w:szCs w:val="22"/>
        </w:rPr>
        <w:t xml:space="preserve">It was suggested </w:t>
      </w:r>
      <w:r w:rsidR="00822527">
        <w:rPr>
          <w:rFonts w:cs="Arial"/>
          <w:szCs w:val="22"/>
        </w:rPr>
        <w:t xml:space="preserve">that the source of the cyanogenic glycosides present in </w:t>
      </w:r>
      <w:r w:rsidR="00A30034">
        <w:rPr>
          <w:rFonts w:cs="Arial"/>
          <w:szCs w:val="22"/>
        </w:rPr>
        <w:t>apple</w:t>
      </w:r>
      <w:r w:rsidR="00822527">
        <w:rPr>
          <w:rFonts w:cs="Arial"/>
          <w:szCs w:val="22"/>
        </w:rPr>
        <w:t xml:space="preserve"> juice </w:t>
      </w:r>
      <w:r w:rsidR="00CA6226">
        <w:rPr>
          <w:rFonts w:cs="Arial"/>
          <w:szCs w:val="22"/>
        </w:rPr>
        <w:t>was</w:t>
      </w:r>
      <w:r w:rsidR="00822527">
        <w:rPr>
          <w:rFonts w:cs="Arial"/>
          <w:szCs w:val="22"/>
        </w:rPr>
        <w:t xml:space="preserve"> the apple aroma (flavour) extract that is </w:t>
      </w:r>
      <w:r w:rsidR="00822527" w:rsidRPr="00AF6AD9">
        <w:rPr>
          <w:rFonts w:cs="Arial"/>
          <w:szCs w:val="22"/>
        </w:rPr>
        <w:t xml:space="preserve">collected </w:t>
      </w:r>
      <w:r w:rsidR="00822527">
        <w:rPr>
          <w:rFonts w:cs="Arial"/>
          <w:szCs w:val="22"/>
        </w:rPr>
        <w:t xml:space="preserve">from the </w:t>
      </w:r>
      <w:r w:rsidR="00822527" w:rsidRPr="00E33E47">
        <w:rPr>
          <w:rFonts w:cs="Arial"/>
          <w:szCs w:val="22"/>
        </w:rPr>
        <w:t xml:space="preserve">vapour during the production of the apple juice concentrate. This product may be sold separately by juice manufacturers for adding back into a juice concentrate when it is being diluted, to achieve the original apple flavour. </w:t>
      </w:r>
      <w:r w:rsidR="00BC699D">
        <w:rPr>
          <w:rFonts w:cs="Arial"/>
          <w:szCs w:val="22"/>
        </w:rPr>
        <w:t>It</w:t>
      </w:r>
      <w:r w:rsidR="00822527" w:rsidRPr="00E33E47">
        <w:rPr>
          <w:rFonts w:cs="Arial"/>
          <w:szCs w:val="22"/>
        </w:rPr>
        <w:t xml:space="preserve"> is added back into the juice for restorative purposes</w:t>
      </w:r>
      <w:r w:rsidR="00BC699D">
        <w:rPr>
          <w:rFonts w:cs="Arial"/>
          <w:szCs w:val="22"/>
        </w:rPr>
        <w:t xml:space="preserve"> and the </w:t>
      </w:r>
      <w:r w:rsidR="00822527" w:rsidRPr="0057511B">
        <w:rPr>
          <w:rFonts w:cs="Arial"/>
          <w:szCs w:val="22"/>
        </w:rPr>
        <w:t>addition rate is typically less than 1%</w:t>
      </w:r>
      <w:r w:rsidR="00BC699D">
        <w:rPr>
          <w:rFonts w:cs="Arial"/>
          <w:szCs w:val="22"/>
        </w:rPr>
        <w:t>. Therefore</w:t>
      </w:r>
      <w:r w:rsidR="00822527" w:rsidRPr="0057511B">
        <w:rPr>
          <w:rFonts w:cs="Arial"/>
          <w:szCs w:val="22"/>
        </w:rPr>
        <w:t xml:space="preserve">, the </w:t>
      </w:r>
      <w:r w:rsidR="00822527">
        <w:rPr>
          <w:rFonts w:cs="Arial"/>
          <w:szCs w:val="22"/>
        </w:rPr>
        <w:t xml:space="preserve">HCN </w:t>
      </w:r>
      <w:r w:rsidR="00822527" w:rsidRPr="0057511B">
        <w:rPr>
          <w:rFonts w:cs="Arial"/>
          <w:szCs w:val="22"/>
        </w:rPr>
        <w:t xml:space="preserve">concentration </w:t>
      </w:r>
      <w:r w:rsidR="00822527">
        <w:rPr>
          <w:rFonts w:cs="Arial"/>
          <w:szCs w:val="22"/>
        </w:rPr>
        <w:t xml:space="preserve">of the apple aroma extract </w:t>
      </w:r>
      <w:r w:rsidR="00822527" w:rsidRPr="0057511B">
        <w:rPr>
          <w:rFonts w:cs="Arial"/>
          <w:szCs w:val="22"/>
        </w:rPr>
        <w:t>would need to be high</w:t>
      </w:r>
      <w:r w:rsidR="00822527">
        <w:rPr>
          <w:rFonts w:cs="Arial"/>
          <w:szCs w:val="22"/>
        </w:rPr>
        <w:t xml:space="preserve"> to be detected in the juice</w:t>
      </w:r>
      <w:r w:rsidR="00822527" w:rsidRPr="0057511B">
        <w:rPr>
          <w:rFonts w:cs="Arial"/>
          <w:szCs w:val="22"/>
        </w:rPr>
        <w:t xml:space="preserve">.  </w:t>
      </w:r>
    </w:p>
    <w:p w:rsidR="00822527" w:rsidRPr="00BA2937" w:rsidRDefault="00822527" w:rsidP="00822527">
      <w:pPr>
        <w:rPr>
          <w:rFonts w:cs="Arial"/>
          <w:szCs w:val="22"/>
        </w:rPr>
      </w:pPr>
    </w:p>
    <w:p w:rsidR="00822527" w:rsidRDefault="008845F2" w:rsidP="00822527">
      <w:pPr>
        <w:rPr>
          <w:rFonts w:cs="Arial"/>
          <w:szCs w:val="22"/>
        </w:rPr>
      </w:pPr>
      <w:r>
        <w:rPr>
          <w:rFonts w:cs="Arial"/>
          <w:szCs w:val="22"/>
        </w:rPr>
        <w:t>To explore this suggestion, t</w:t>
      </w:r>
      <w:r w:rsidR="00822527" w:rsidRPr="00BA2937">
        <w:rPr>
          <w:rFonts w:cs="Arial"/>
          <w:szCs w:val="22"/>
        </w:rPr>
        <w:t xml:space="preserve">hree </w:t>
      </w:r>
      <w:r w:rsidR="00822527">
        <w:rPr>
          <w:rFonts w:cs="Arial"/>
          <w:szCs w:val="22"/>
        </w:rPr>
        <w:t xml:space="preserve">samples of </w:t>
      </w:r>
      <w:r w:rsidR="00822527" w:rsidRPr="00BA2937">
        <w:rPr>
          <w:rFonts w:cs="Arial"/>
          <w:szCs w:val="22"/>
        </w:rPr>
        <w:t xml:space="preserve">composite batches </w:t>
      </w:r>
      <w:r w:rsidR="00822527">
        <w:rPr>
          <w:rFonts w:cs="Arial"/>
          <w:szCs w:val="22"/>
        </w:rPr>
        <w:t xml:space="preserve">of apple aroma extract </w:t>
      </w:r>
      <w:r w:rsidR="00822527" w:rsidRPr="00BA2937">
        <w:rPr>
          <w:rFonts w:cs="Arial"/>
          <w:szCs w:val="22"/>
        </w:rPr>
        <w:t xml:space="preserve">were tested. All samples showed no </w:t>
      </w:r>
      <w:r w:rsidR="00822527">
        <w:rPr>
          <w:rFonts w:cs="Arial"/>
          <w:szCs w:val="22"/>
        </w:rPr>
        <w:t>detections of HCN, casting doubt on the extract being the source of HCN</w:t>
      </w:r>
      <w:r w:rsidR="00822527" w:rsidRPr="00BA2937">
        <w:rPr>
          <w:rFonts w:cs="Arial"/>
          <w:szCs w:val="22"/>
        </w:rPr>
        <w:t>.</w:t>
      </w:r>
      <w:r w:rsidR="007E2C58">
        <w:rPr>
          <w:rFonts w:cs="Arial"/>
          <w:szCs w:val="22"/>
        </w:rPr>
        <w:t xml:space="preserve"> As this activity was undertaken separate to the ISFR survey, detailed results are not provided in this report.</w:t>
      </w:r>
    </w:p>
    <w:p w:rsidR="007E2C58" w:rsidRDefault="007E2C58" w:rsidP="00822527">
      <w:pPr>
        <w:rPr>
          <w:rFonts w:cs="Arial"/>
          <w:szCs w:val="22"/>
        </w:rPr>
      </w:pPr>
    </w:p>
    <w:p w:rsidR="00822527" w:rsidRDefault="00822527" w:rsidP="007E2C58">
      <w:pPr>
        <w:pStyle w:val="Heading3"/>
      </w:pPr>
      <w:bookmarkStart w:id="102" w:name="_Toc384293513"/>
      <w:r w:rsidRPr="00525A12">
        <w:t>4.</w:t>
      </w:r>
      <w:r w:rsidR="00F43ACA">
        <w:t>4</w:t>
      </w:r>
      <w:r w:rsidRPr="00525A12">
        <w:t>.</w:t>
      </w:r>
      <w:r w:rsidR="006A43E9">
        <w:t>3</w:t>
      </w:r>
      <w:r w:rsidRPr="00525A12">
        <w:tab/>
      </w:r>
      <w:r>
        <w:t xml:space="preserve">Reanalysis of </w:t>
      </w:r>
      <w:r w:rsidR="00D127FA">
        <w:t xml:space="preserve">apple product </w:t>
      </w:r>
      <w:r>
        <w:t>samples</w:t>
      </w:r>
      <w:bookmarkEnd w:id="102"/>
      <w:r>
        <w:t xml:space="preserve"> </w:t>
      </w:r>
    </w:p>
    <w:p w:rsidR="007E2C58" w:rsidRPr="007E2C58" w:rsidRDefault="007E2C58" w:rsidP="007E2C58"/>
    <w:p w:rsidR="008F3DCC" w:rsidRPr="00523A14" w:rsidRDefault="008F3DCC" w:rsidP="008F3DCC">
      <w:pPr>
        <w:rPr>
          <w:rFonts w:cs="Arial"/>
          <w:szCs w:val="22"/>
        </w:rPr>
      </w:pPr>
      <w:r w:rsidRPr="00523A14">
        <w:rPr>
          <w:rFonts w:cs="Arial"/>
          <w:szCs w:val="22"/>
        </w:rPr>
        <w:t>In late 2012, ESR had conducted an extensive assessment of the currently available methods of analysis of total HCN in foods. As a result of this assessment, ESR determined that a more sensitive method of analysis agreed by the EU as a standardised method and involving HPLC, be used to reanalyse the positive samples (see Section 3.3).</w:t>
      </w:r>
    </w:p>
    <w:p w:rsidR="00822527" w:rsidRDefault="00822527" w:rsidP="00822527">
      <w:pPr>
        <w:rPr>
          <w:rFonts w:cs="Arial"/>
          <w:szCs w:val="22"/>
        </w:rPr>
      </w:pPr>
    </w:p>
    <w:p w:rsidR="000D494B" w:rsidRDefault="00D127FA" w:rsidP="00822527">
      <w:pPr>
        <w:rPr>
          <w:rFonts w:cs="Arial"/>
          <w:szCs w:val="22"/>
        </w:rPr>
      </w:pPr>
      <w:r>
        <w:rPr>
          <w:rFonts w:cs="Arial"/>
          <w:szCs w:val="22"/>
        </w:rPr>
        <w:t xml:space="preserve">Only three of the four samples of apple juice analysed </w:t>
      </w:r>
      <w:r w:rsidR="000D494B">
        <w:rPr>
          <w:rFonts w:cs="Arial"/>
          <w:szCs w:val="22"/>
        </w:rPr>
        <w:t xml:space="preserve">in Survey 2 </w:t>
      </w:r>
      <w:r>
        <w:rPr>
          <w:rFonts w:cs="Arial"/>
          <w:szCs w:val="22"/>
        </w:rPr>
        <w:t xml:space="preserve">were </w:t>
      </w:r>
      <w:r w:rsidR="00F51AA0">
        <w:rPr>
          <w:rFonts w:cs="Arial"/>
          <w:szCs w:val="22"/>
        </w:rPr>
        <w:t>available</w:t>
      </w:r>
      <w:r>
        <w:rPr>
          <w:rFonts w:cs="Arial"/>
          <w:szCs w:val="22"/>
        </w:rPr>
        <w:t xml:space="preserve"> for reanalysis u</w:t>
      </w:r>
      <w:r w:rsidR="00064355" w:rsidRPr="00064355">
        <w:rPr>
          <w:rFonts w:cs="Arial"/>
          <w:szCs w:val="22"/>
        </w:rPr>
        <w:t xml:space="preserve">sing </w:t>
      </w:r>
      <w:r w:rsidR="00336EBC">
        <w:rPr>
          <w:rFonts w:cs="Arial"/>
          <w:szCs w:val="22"/>
        </w:rPr>
        <w:t>the EU HPLC</w:t>
      </w:r>
      <w:r w:rsidR="00AD1D2D">
        <w:rPr>
          <w:rFonts w:cs="Arial"/>
          <w:szCs w:val="22"/>
        </w:rPr>
        <w:t xml:space="preserve"> </w:t>
      </w:r>
      <w:r w:rsidR="00064355" w:rsidRPr="00064355">
        <w:rPr>
          <w:rFonts w:cs="Arial"/>
          <w:szCs w:val="22"/>
        </w:rPr>
        <w:t>method</w:t>
      </w:r>
      <w:r w:rsidR="00336EBC">
        <w:rPr>
          <w:rFonts w:cs="Arial"/>
          <w:szCs w:val="22"/>
        </w:rPr>
        <w:t>, with a lower LoD of 0.06 mg HCN/kg</w:t>
      </w:r>
      <w:r w:rsidR="00336EBC" w:rsidRPr="00064355">
        <w:rPr>
          <w:rFonts w:cs="Arial"/>
          <w:szCs w:val="22"/>
        </w:rPr>
        <w:t xml:space="preserve">. </w:t>
      </w:r>
      <w:r>
        <w:rPr>
          <w:rFonts w:cs="Arial"/>
          <w:szCs w:val="22"/>
        </w:rPr>
        <w:t xml:space="preserve">Results of the reanalysis </w:t>
      </w:r>
      <w:r w:rsidR="00064355" w:rsidRPr="00064355">
        <w:rPr>
          <w:rFonts w:cs="Arial"/>
          <w:szCs w:val="22"/>
        </w:rPr>
        <w:t xml:space="preserve">indicated a very low concentration of HCN in one of the three </w:t>
      </w:r>
      <w:r w:rsidR="000D494B">
        <w:rPr>
          <w:rFonts w:cs="Arial"/>
          <w:szCs w:val="22"/>
        </w:rPr>
        <w:t xml:space="preserve">apple </w:t>
      </w:r>
      <w:r w:rsidR="00064355" w:rsidRPr="00064355">
        <w:rPr>
          <w:rFonts w:cs="Arial"/>
          <w:szCs w:val="22"/>
        </w:rPr>
        <w:t>juices</w:t>
      </w:r>
      <w:r w:rsidR="00BA5DFB">
        <w:rPr>
          <w:rFonts w:cs="Arial"/>
          <w:szCs w:val="22"/>
        </w:rPr>
        <w:t>; HCN</w:t>
      </w:r>
      <w:r w:rsidR="003343F5">
        <w:rPr>
          <w:rFonts w:cs="Arial"/>
          <w:szCs w:val="22"/>
        </w:rPr>
        <w:t xml:space="preserve"> was not detected in the other</w:t>
      </w:r>
      <w:r w:rsidR="00541B9D">
        <w:rPr>
          <w:rFonts w:cs="Arial"/>
          <w:szCs w:val="22"/>
        </w:rPr>
        <w:t xml:space="preserve"> two</w:t>
      </w:r>
      <w:r>
        <w:rPr>
          <w:rFonts w:cs="Arial"/>
          <w:szCs w:val="22"/>
        </w:rPr>
        <w:t xml:space="preserve">. </w:t>
      </w:r>
    </w:p>
    <w:p w:rsidR="000D494B" w:rsidRDefault="000D494B" w:rsidP="00822527">
      <w:pPr>
        <w:rPr>
          <w:rFonts w:cs="Arial"/>
          <w:szCs w:val="22"/>
        </w:rPr>
      </w:pPr>
    </w:p>
    <w:p w:rsidR="008A273E" w:rsidRDefault="00541B9D" w:rsidP="00822527">
      <w:pPr>
        <w:rPr>
          <w:rFonts w:cs="Arial"/>
          <w:szCs w:val="22"/>
        </w:rPr>
      </w:pPr>
      <w:r>
        <w:rPr>
          <w:rFonts w:cs="Arial"/>
          <w:szCs w:val="22"/>
        </w:rPr>
        <w:t>Given its much greater sensitivity, t</w:t>
      </w:r>
      <w:r w:rsidR="00D127FA">
        <w:rPr>
          <w:rFonts w:cs="Arial"/>
          <w:szCs w:val="22"/>
        </w:rPr>
        <w:t xml:space="preserve">he EU HPLC method was </w:t>
      </w:r>
      <w:r w:rsidR="000D6863">
        <w:rPr>
          <w:rFonts w:cs="Arial"/>
          <w:szCs w:val="22"/>
        </w:rPr>
        <w:t>also</w:t>
      </w:r>
      <w:r w:rsidR="00D127FA">
        <w:rPr>
          <w:rFonts w:cs="Arial"/>
          <w:szCs w:val="22"/>
        </w:rPr>
        <w:t xml:space="preserve"> used to </w:t>
      </w:r>
      <w:r w:rsidR="000D494B">
        <w:rPr>
          <w:rFonts w:cs="Arial"/>
          <w:szCs w:val="22"/>
        </w:rPr>
        <w:t>confirm results obtained for</w:t>
      </w:r>
      <w:r w:rsidR="00CB7C4C">
        <w:rPr>
          <w:rFonts w:cs="Arial"/>
          <w:szCs w:val="22"/>
        </w:rPr>
        <w:t xml:space="preserve"> all eight samples of </w:t>
      </w:r>
      <w:r w:rsidR="000D494B">
        <w:rPr>
          <w:rFonts w:cs="Arial"/>
          <w:szCs w:val="22"/>
        </w:rPr>
        <w:t xml:space="preserve">infant apple puree </w:t>
      </w:r>
      <w:r w:rsidR="00CB7C4C">
        <w:rPr>
          <w:rFonts w:cs="Arial"/>
          <w:szCs w:val="22"/>
        </w:rPr>
        <w:t xml:space="preserve">analysed </w:t>
      </w:r>
      <w:r w:rsidR="000D494B">
        <w:rPr>
          <w:rFonts w:cs="Arial"/>
          <w:szCs w:val="22"/>
        </w:rPr>
        <w:t>in Survey 3</w:t>
      </w:r>
      <w:r w:rsidR="00DA5F07">
        <w:rPr>
          <w:rFonts w:cs="Arial"/>
          <w:szCs w:val="22"/>
        </w:rPr>
        <w:t>. A</w:t>
      </w:r>
      <w:r w:rsidR="000D494B">
        <w:rPr>
          <w:rFonts w:cs="Arial"/>
          <w:szCs w:val="22"/>
        </w:rPr>
        <w:t xml:space="preserve">lthough HCN </w:t>
      </w:r>
      <w:r w:rsidR="000D494B" w:rsidRPr="000D494B">
        <w:rPr>
          <w:rFonts w:cs="Arial"/>
          <w:szCs w:val="22"/>
        </w:rPr>
        <w:t xml:space="preserve">was </w:t>
      </w:r>
      <w:r w:rsidR="000D494B">
        <w:rPr>
          <w:rFonts w:cs="Arial"/>
          <w:szCs w:val="22"/>
        </w:rPr>
        <w:t>not detected above the LoD</w:t>
      </w:r>
      <w:r w:rsidR="00DA5F07">
        <w:rPr>
          <w:rFonts w:cs="Arial"/>
          <w:szCs w:val="22"/>
        </w:rPr>
        <w:t xml:space="preserve"> </w:t>
      </w:r>
      <w:r w:rsidR="008C4722">
        <w:rPr>
          <w:rFonts w:cs="Arial"/>
          <w:szCs w:val="22"/>
        </w:rPr>
        <w:t xml:space="preserve">of </w:t>
      </w:r>
      <w:r w:rsidR="008A273E">
        <w:rPr>
          <w:rFonts w:cs="Arial"/>
          <w:szCs w:val="22"/>
        </w:rPr>
        <w:t>5</w:t>
      </w:r>
      <w:r w:rsidR="00BA5DFB">
        <w:rPr>
          <w:rFonts w:cs="Arial"/>
          <w:szCs w:val="22"/>
        </w:rPr>
        <w:t xml:space="preserve"> </w:t>
      </w:r>
      <w:r w:rsidR="008A273E">
        <w:rPr>
          <w:rFonts w:cs="Arial"/>
          <w:szCs w:val="22"/>
        </w:rPr>
        <w:t>mg HCN/kg</w:t>
      </w:r>
      <w:r w:rsidR="008C4722">
        <w:rPr>
          <w:rFonts w:cs="Arial"/>
          <w:szCs w:val="22"/>
        </w:rPr>
        <w:t xml:space="preserve"> </w:t>
      </w:r>
      <w:r w:rsidR="00DA5F07">
        <w:rPr>
          <w:rFonts w:cs="Arial"/>
          <w:szCs w:val="22"/>
        </w:rPr>
        <w:t>in any sample</w:t>
      </w:r>
      <w:r w:rsidR="008405AF">
        <w:rPr>
          <w:rFonts w:cs="Arial"/>
          <w:szCs w:val="22"/>
        </w:rPr>
        <w:t xml:space="preserve"> of infant apple puree</w:t>
      </w:r>
      <w:r w:rsidR="008C4722">
        <w:rPr>
          <w:rFonts w:cs="Arial"/>
          <w:szCs w:val="22"/>
        </w:rPr>
        <w:t xml:space="preserve"> in Survey </w:t>
      </w:r>
      <w:r w:rsidR="008C4722">
        <w:rPr>
          <w:rFonts w:cs="Arial"/>
          <w:szCs w:val="22"/>
        </w:rPr>
        <w:lastRenderedPageBreak/>
        <w:t>3</w:t>
      </w:r>
      <w:r w:rsidR="00DA5F07">
        <w:rPr>
          <w:rFonts w:cs="Arial"/>
          <w:szCs w:val="22"/>
        </w:rPr>
        <w:t xml:space="preserve">, </w:t>
      </w:r>
      <w:r w:rsidR="00336EBC">
        <w:rPr>
          <w:rFonts w:cs="Arial"/>
          <w:szCs w:val="22"/>
        </w:rPr>
        <w:t>re</w:t>
      </w:r>
      <w:r w:rsidR="00DA5F07">
        <w:rPr>
          <w:rFonts w:cs="Arial"/>
          <w:szCs w:val="22"/>
        </w:rPr>
        <w:t xml:space="preserve">analysis using </w:t>
      </w:r>
      <w:r w:rsidR="008A273E">
        <w:rPr>
          <w:rFonts w:cs="Arial"/>
          <w:szCs w:val="22"/>
        </w:rPr>
        <w:t xml:space="preserve">the EU </w:t>
      </w:r>
      <w:r>
        <w:rPr>
          <w:rFonts w:cs="Arial"/>
          <w:szCs w:val="22"/>
        </w:rPr>
        <w:t xml:space="preserve">HPLC </w:t>
      </w:r>
      <w:r w:rsidR="00DA5F07">
        <w:rPr>
          <w:rFonts w:cs="Arial"/>
          <w:szCs w:val="22"/>
        </w:rPr>
        <w:t>method</w:t>
      </w:r>
      <w:r w:rsidR="009F1F8C">
        <w:rPr>
          <w:rFonts w:cs="Arial"/>
          <w:szCs w:val="22"/>
        </w:rPr>
        <w:t xml:space="preserve"> </w:t>
      </w:r>
      <w:r>
        <w:rPr>
          <w:rFonts w:cs="Arial"/>
          <w:szCs w:val="22"/>
        </w:rPr>
        <w:t>(</w:t>
      </w:r>
      <w:r w:rsidR="009F1F8C">
        <w:rPr>
          <w:rFonts w:cs="Arial"/>
          <w:szCs w:val="22"/>
        </w:rPr>
        <w:t>LoD of 0.1 mg HCN/kg</w:t>
      </w:r>
      <w:r>
        <w:rPr>
          <w:rFonts w:cs="Arial"/>
          <w:szCs w:val="22"/>
        </w:rPr>
        <w:t>)</w:t>
      </w:r>
      <w:r w:rsidR="00DA5F07">
        <w:rPr>
          <w:rFonts w:cs="Arial"/>
          <w:szCs w:val="22"/>
        </w:rPr>
        <w:t xml:space="preserve"> </w:t>
      </w:r>
      <w:r w:rsidR="00E835D1">
        <w:rPr>
          <w:rFonts w:cs="Arial"/>
          <w:szCs w:val="22"/>
        </w:rPr>
        <w:t>demonstrated that a</w:t>
      </w:r>
      <w:r w:rsidR="00DA5F07">
        <w:rPr>
          <w:rFonts w:cs="Arial"/>
          <w:szCs w:val="22"/>
        </w:rPr>
        <w:t xml:space="preserve"> very low concentration of HCN was </w:t>
      </w:r>
      <w:r w:rsidR="00336EBC">
        <w:rPr>
          <w:rFonts w:cs="Arial"/>
          <w:szCs w:val="22"/>
        </w:rPr>
        <w:t>present</w:t>
      </w:r>
      <w:r w:rsidR="00DA5F07">
        <w:rPr>
          <w:rFonts w:cs="Arial"/>
          <w:szCs w:val="22"/>
        </w:rPr>
        <w:t xml:space="preserve"> in seven of the eight infant apple purees. </w:t>
      </w:r>
    </w:p>
    <w:p w:rsidR="006A43E9" w:rsidRDefault="006A43E9" w:rsidP="006A43E9">
      <w:pPr>
        <w:rPr>
          <w:rFonts w:cs="Arial"/>
          <w:szCs w:val="22"/>
        </w:rPr>
      </w:pPr>
    </w:p>
    <w:p w:rsidR="006A43E9" w:rsidRDefault="006A43E9" w:rsidP="006A43E9">
      <w:pPr>
        <w:rPr>
          <w:rFonts w:cs="Arial"/>
          <w:szCs w:val="22"/>
        </w:rPr>
      </w:pPr>
      <w:r w:rsidRPr="00D407AC">
        <w:rPr>
          <w:rFonts w:cs="Arial"/>
          <w:szCs w:val="22"/>
        </w:rPr>
        <w:t xml:space="preserve">Given the increased sensitivity, specificity and reliability of the </w:t>
      </w:r>
      <w:r w:rsidR="00EF18FC">
        <w:rPr>
          <w:rFonts w:cs="Arial"/>
          <w:szCs w:val="22"/>
        </w:rPr>
        <w:t xml:space="preserve">EU </w:t>
      </w:r>
      <w:r w:rsidRPr="00D407AC">
        <w:rPr>
          <w:rFonts w:cs="Arial"/>
          <w:szCs w:val="22"/>
        </w:rPr>
        <w:t xml:space="preserve">HPLC method, a good degree of confidence can be placed in the results obtained for apple juice </w:t>
      </w:r>
      <w:r>
        <w:rPr>
          <w:rFonts w:cs="Arial"/>
          <w:szCs w:val="22"/>
        </w:rPr>
        <w:t xml:space="preserve">and infant apple puree </w:t>
      </w:r>
      <w:r w:rsidRPr="00D407AC">
        <w:rPr>
          <w:rFonts w:cs="Arial"/>
          <w:szCs w:val="22"/>
        </w:rPr>
        <w:t xml:space="preserve">using </w:t>
      </w:r>
      <w:r w:rsidR="00EF18FC">
        <w:rPr>
          <w:rFonts w:cs="Arial"/>
          <w:szCs w:val="22"/>
        </w:rPr>
        <w:t>this</w:t>
      </w:r>
      <w:r w:rsidRPr="00D407AC">
        <w:rPr>
          <w:rFonts w:cs="Arial"/>
          <w:szCs w:val="22"/>
        </w:rPr>
        <w:t xml:space="preserve"> method</w:t>
      </w:r>
      <w:r w:rsidR="00EF18FC">
        <w:rPr>
          <w:rFonts w:cs="Arial"/>
          <w:szCs w:val="22"/>
        </w:rPr>
        <w:t xml:space="preserve">. FSANZ considers that the </w:t>
      </w:r>
      <w:r w:rsidRPr="00D407AC">
        <w:rPr>
          <w:rFonts w:cs="Arial"/>
          <w:szCs w:val="22"/>
        </w:rPr>
        <w:t>results are suitable for generating estimates of exposure with an acceptable level of uncertainty.</w:t>
      </w:r>
    </w:p>
    <w:p w:rsidR="008A273E" w:rsidRDefault="008A273E" w:rsidP="00822527">
      <w:pPr>
        <w:rPr>
          <w:rFonts w:cs="Arial"/>
          <w:szCs w:val="22"/>
        </w:rPr>
      </w:pPr>
    </w:p>
    <w:p w:rsidR="00DA5F07" w:rsidRDefault="00DA5F07" w:rsidP="00822527">
      <w:pPr>
        <w:rPr>
          <w:rFonts w:cs="Arial"/>
          <w:szCs w:val="22"/>
        </w:rPr>
      </w:pPr>
      <w:r>
        <w:rPr>
          <w:rFonts w:cs="Arial"/>
          <w:szCs w:val="22"/>
        </w:rPr>
        <w:t xml:space="preserve">A comparison of levels of total HCN obtained </w:t>
      </w:r>
      <w:r w:rsidR="008A273E">
        <w:rPr>
          <w:rFonts w:cs="Arial"/>
          <w:szCs w:val="22"/>
        </w:rPr>
        <w:t xml:space="preserve">for juice and apple puree </w:t>
      </w:r>
      <w:r>
        <w:rPr>
          <w:rFonts w:cs="Arial"/>
          <w:szCs w:val="22"/>
        </w:rPr>
        <w:t>in Survey</w:t>
      </w:r>
      <w:r w:rsidR="00136AF4">
        <w:rPr>
          <w:rFonts w:cs="Arial"/>
          <w:szCs w:val="22"/>
        </w:rPr>
        <w:t xml:space="preserve">s </w:t>
      </w:r>
      <w:r>
        <w:rPr>
          <w:rFonts w:cs="Arial"/>
          <w:szCs w:val="22"/>
        </w:rPr>
        <w:t>2</w:t>
      </w:r>
      <w:r w:rsidR="00541B9D">
        <w:rPr>
          <w:rFonts w:cs="Arial"/>
          <w:szCs w:val="22"/>
        </w:rPr>
        <w:t xml:space="preserve"> and </w:t>
      </w:r>
      <w:r>
        <w:rPr>
          <w:rFonts w:cs="Arial"/>
          <w:szCs w:val="22"/>
        </w:rPr>
        <w:t>3 using the acid hydrolysis method against those obtained using the EU HPLC method is</w:t>
      </w:r>
      <w:r w:rsidR="00136AF4">
        <w:rPr>
          <w:rFonts w:cs="Arial"/>
          <w:szCs w:val="22"/>
        </w:rPr>
        <w:t xml:space="preserve"> provided</w:t>
      </w:r>
      <w:r>
        <w:rPr>
          <w:rFonts w:cs="Arial"/>
          <w:szCs w:val="22"/>
        </w:rPr>
        <w:t xml:space="preserve"> in Table </w:t>
      </w:r>
      <w:r w:rsidR="00621281">
        <w:rPr>
          <w:rFonts w:cs="Arial"/>
          <w:szCs w:val="22"/>
        </w:rPr>
        <w:t>7</w:t>
      </w:r>
      <w:r>
        <w:rPr>
          <w:rFonts w:cs="Arial"/>
          <w:szCs w:val="22"/>
        </w:rPr>
        <w:t xml:space="preserve">. </w:t>
      </w:r>
    </w:p>
    <w:p w:rsidR="003A4DBD" w:rsidRDefault="003A4DBD" w:rsidP="00822527">
      <w:pPr>
        <w:rPr>
          <w:rFonts w:cs="Arial"/>
          <w:szCs w:val="22"/>
        </w:rPr>
      </w:pPr>
    </w:p>
    <w:p w:rsidR="004C18E5" w:rsidRPr="00391DE3" w:rsidRDefault="004C18E5" w:rsidP="00BA5DFB">
      <w:pPr>
        <w:pStyle w:val="Heading3LT"/>
        <w:keepNext/>
        <w:keepLines/>
      </w:pPr>
      <w:bookmarkStart w:id="103" w:name="_Toc384293553"/>
      <w:r w:rsidRPr="00391DE3">
        <w:t xml:space="preserve">Table </w:t>
      </w:r>
      <w:r w:rsidR="00621281">
        <w:t>7</w:t>
      </w:r>
      <w:r w:rsidRPr="00391DE3">
        <w:t>: Comparison of levels of total HCN</w:t>
      </w:r>
      <w:r w:rsidR="00136AF4">
        <w:t xml:space="preserve"> (mg HCN/kg)</w:t>
      </w:r>
      <w:r w:rsidRPr="00391DE3">
        <w:t xml:space="preserve"> obtained for apple products using acid hydrolysis and EU HPLC</w:t>
      </w:r>
      <w:r w:rsidR="00136AF4">
        <w:t xml:space="preserve"> analytical</w:t>
      </w:r>
      <w:r w:rsidRPr="00391DE3">
        <w:t xml:space="preserve"> methods</w:t>
      </w:r>
      <w:bookmarkEnd w:id="103"/>
      <w:r w:rsidRPr="00391DE3">
        <w:t xml:space="preserve"> </w:t>
      </w:r>
    </w:p>
    <w:tbl>
      <w:tblPr>
        <w:tblStyle w:val="MediumShading1-Accent1"/>
        <w:tblW w:w="9214" w:type="dxa"/>
        <w:tblInd w:w="-34" w:type="dxa"/>
        <w:tblBorders>
          <w:insideV w:val="single" w:sz="8" w:space="0" w:color="7BA0CD" w:themeColor="accent1" w:themeTint="BF"/>
        </w:tblBorders>
        <w:tblLook w:val="00A0" w:firstRow="1" w:lastRow="0" w:firstColumn="1" w:lastColumn="0" w:noHBand="0" w:noVBand="0"/>
      </w:tblPr>
      <w:tblGrid>
        <w:gridCol w:w="3403"/>
        <w:gridCol w:w="1984"/>
        <w:gridCol w:w="1985"/>
        <w:gridCol w:w="1842"/>
      </w:tblGrid>
      <w:tr w:rsidR="00621281" w:rsidRPr="00934591" w:rsidTr="006212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vMerge w:val="restart"/>
            <w:tcBorders>
              <w:top w:val="none" w:sz="0" w:space="0" w:color="auto"/>
              <w:left w:val="none" w:sz="0" w:space="0" w:color="auto"/>
              <w:bottom w:val="none" w:sz="0" w:space="0" w:color="auto"/>
              <w:right w:val="none" w:sz="0" w:space="0" w:color="auto"/>
            </w:tcBorders>
          </w:tcPr>
          <w:p w:rsidR="00621281" w:rsidRPr="00D72C42" w:rsidRDefault="00621281" w:rsidP="00BA5DFB">
            <w:pPr>
              <w:keepNext/>
              <w:keepLines/>
              <w:spacing w:line="240" w:lineRule="atLeast"/>
              <w:rPr>
                <w:rFonts w:cs="Arial"/>
                <w:b w:val="0"/>
                <w:bCs w:val="0"/>
                <w:color w:val="auto"/>
                <w:sz w:val="20"/>
                <w:szCs w:val="20"/>
                <w:lang w:val="en-US" w:eastAsia="en-US"/>
              </w:rPr>
            </w:pPr>
            <w:r>
              <w:rPr>
                <w:rFonts w:cs="Arial"/>
                <w:sz w:val="20"/>
                <w:szCs w:val="20"/>
                <w:lang w:val="en-US" w:eastAsia="en-US"/>
              </w:rPr>
              <w:t>Apple product type</w:t>
            </w:r>
          </w:p>
        </w:tc>
        <w:tc>
          <w:tcPr>
            <w:cnfStyle w:val="000010000000" w:firstRow="0" w:lastRow="0" w:firstColumn="0" w:lastColumn="0" w:oddVBand="1" w:evenVBand="0" w:oddHBand="0" w:evenHBand="0" w:firstRowFirstColumn="0" w:firstRowLastColumn="0" w:lastRowFirstColumn="0" w:lastRowLastColumn="0"/>
            <w:tcW w:w="1984" w:type="dxa"/>
            <w:vMerge w:val="restart"/>
            <w:tcBorders>
              <w:top w:val="none" w:sz="0" w:space="0" w:color="auto"/>
              <w:left w:val="none" w:sz="0" w:space="0" w:color="auto"/>
              <w:bottom w:val="none" w:sz="0" w:space="0" w:color="auto"/>
              <w:right w:val="none" w:sz="0" w:space="0" w:color="auto"/>
            </w:tcBorders>
          </w:tcPr>
          <w:p w:rsidR="00621281" w:rsidRPr="004A29A1" w:rsidRDefault="00621281" w:rsidP="00BA5DFB">
            <w:pPr>
              <w:keepNext/>
              <w:keepLines/>
              <w:spacing w:line="240" w:lineRule="atLeast"/>
              <w:rPr>
                <w:rFonts w:cs="Arial"/>
                <w:b w:val="0"/>
                <w:bCs w:val="0"/>
                <w:color w:val="auto"/>
                <w:sz w:val="20"/>
                <w:szCs w:val="20"/>
                <w:lang w:val="en-US" w:eastAsia="en-US"/>
              </w:rPr>
            </w:pPr>
            <w:r w:rsidRPr="004A29A1">
              <w:rPr>
                <w:rFonts w:cs="Arial"/>
                <w:sz w:val="20"/>
                <w:szCs w:val="20"/>
                <w:lang w:val="en-US" w:eastAsia="en-US"/>
              </w:rPr>
              <w:t>Country of purchase</w:t>
            </w:r>
          </w:p>
        </w:tc>
        <w:tc>
          <w:tcPr>
            <w:tcW w:w="3827" w:type="dxa"/>
            <w:gridSpan w:val="2"/>
            <w:tcBorders>
              <w:top w:val="none" w:sz="0" w:space="0" w:color="auto"/>
              <w:left w:val="none" w:sz="0" w:space="0" w:color="auto"/>
              <w:bottom w:val="none" w:sz="0" w:space="0" w:color="auto"/>
              <w:right w:val="none" w:sz="0" w:space="0" w:color="auto"/>
            </w:tcBorders>
          </w:tcPr>
          <w:p w:rsidR="00621281" w:rsidRPr="00A81C51" w:rsidRDefault="00621281" w:rsidP="00BA5DFB">
            <w:pPr>
              <w:keepNext/>
              <w:keepLines/>
              <w:spacing w:line="240" w:lineRule="atLeast"/>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val="en-US" w:eastAsia="en-US"/>
              </w:rPr>
            </w:pPr>
            <w:r w:rsidRPr="00A81C51">
              <w:rPr>
                <w:rFonts w:cs="Arial"/>
                <w:sz w:val="20"/>
                <w:szCs w:val="20"/>
                <w:lang w:val="en-US" w:eastAsia="en-US"/>
              </w:rPr>
              <w:t>Total HCN (mg HCN/kg)</w:t>
            </w:r>
          </w:p>
          <w:p w:rsidR="00621281" w:rsidRPr="00A81C51" w:rsidRDefault="00621281" w:rsidP="00BA5DFB">
            <w:pPr>
              <w:keepNext/>
              <w:keepLines/>
              <w:spacing w:line="240" w:lineRule="atLeast"/>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val="en-US" w:eastAsia="en-US"/>
              </w:rPr>
            </w:pPr>
          </w:p>
        </w:tc>
      </w:tr>
      <w:tr w:rsidR="00621281" w:rsidRPr="005B528E" w:rsidTr="0062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vMerge/>
            <w:tcBorders>
              <w:right w:val="none" w:sz="0" w:space="0" w:color="auto"/>
            </w:tcBorders>
            <w:shd w:val="clear" w:color="auto" w:fill="4F81BD" w:themeFill="accent1"/>
          </w:tcPr>
          <w:p w:rsidR="00621281" w:rsidRPr="005B528E" w:rsidRDefault="00621281" w:rsidP="00BA5DFB">
            <w:pPr>
              <w:keepNext/>
              <w:keepLines/>
              <w:spacing w:line="240" w:lineRule="atLeast"/>
              <w:rPr>
                <w:rFonts w:cs="Arial"/>
                <w:color w:val="FFFFFF" w:themeColor="background1"/>
                <w:sz w:val="20"/>
                <w:szCs w:val="20"/>
                <w:lang w:val="en-US" w:eastAsia="en-US"/>
              </w:rPr>
            </w:pPr>
          </w:p>
        </w:tc>
        <w:tc>
          <w:tcPr>
            <w:cnfStyle w:val="000010000000" w:firstRow="0" w:lastRow="0" w:firstColumn="0" w:lastColumn="0" w:oddVBand="1" w:evenVBand="0" w:oddHBand="0" w:evenHBand="0" w:firstRowFirstColumn="0" w:firstRowLastColumn="0" w:lastRowFirstColumn="0" w:lastRowLastColumn="0"/>
            <w:tcW w:w="1984" w:type="dxa"/>
            <w:vMerge/>
            <w:tcBorders>
              <w:left w:val="none" w:sz="0" w:space="0" w:color="auto"/>
              <w:right w:val="none" w:sz="0" w:space="0" w:color="auto"/>
            </w:tcBorders>
            <w:shd w:val="clear" w:color="auto" w:fill="4F81BD" w:themeFill="accent1"/>
          </w:tcPr>
          <w:p w:rsidR="00621281" w:rsidRPr="005B528E" w:rsidRDefault="00621281" w:rsidP="00BA5DFB">
            <w:pPr>
              <w:keepNext/>
              <w:keepLines/>
              <w:spacing w:line="240" w:lineRule="atLeast"/>
              <w:jc w:val="center"/>
              <w:rPr>
                <w:rFonts w:cs="Arial"/>
                <w:color w:val="FFFFFF" w:themeColor="background1"/>
                <w:sz w:val="20"/>
                <w:szCs w:val="20"/>
                <w:lang w:val="en-US" w:eastAsia="en-US"/>
              </w:rPr>
            </w:pPr>
          </w:p>
        </w:tc>
        <w:tc>
          <w:tcPr>
            <w:tcW w:w="1985" w:type="dxa"/>
            <w:tcBorders>
              <w:left w:val="none" w:sz="0" w:space="0" w:color="auto"/>
              <w:right w:val="none" w:sz="0" w:space="0" w:color="auto"/>
            </w:tcBorders>
            <w:shd w:val="clear" w:color="auto" w:fill="4F81BD" w:themeFill="accent1"/>
          </w:tcPr>
          <w:p w:rsidR="00621281" w:rsidRPr="00A81C51" w:rsidRDefault="00621281" w:rsidP="00BA5DFB">
            <w:pPr>
              <w:keepNext/>
              <w:keepLines/>
              <w:spacing w:line="240" w:lineRule="atLeast"/>
              <w:jc w:val="center"/>
              <w:cnfStyle w:val="000000100000" w:firstRow="0" w:lastRow="0" w:firstColumn="0" w:lastColumn="0" w:oddVBand="0" w:evenVBand="0" w:oddHBand="1" w:evenHBand="0" w:firstRowFirstColumn="0" w:firstRowLastColumn="0" w:lastRowFirstColumn="0" w:lastRowLastColumn="0"/>
              <w:rPr>
                <w:rFonts w:cs="Arial"/>
                <w:b/>
                <w:color w:val="FFFFFF" w:themeColor="background1"/>
                <w:sz w:val="20"/>
                <w:szCs w:val="20"/>
                <w:lang w:val="en-US" w:eastAsia="en-US"/>
              </w:rPr>
            </w:pPr>
            <w:r w:rsidRPr="00A81C51">
              <w:rPr>
                <w:rFonts w:cs="Arial"/>
                <w:b/>
                <w:color w:val="FFFFFF" w:themeColor="background1"/>
                <w:sz w:val="20"/>
                <w:szCs w:val="20"/>
                <w:lang w:val="en-US" w:eastAsia="en-US"/>
              </w:rPr>
              <w:t>Acid hydrolysis method*</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tcBorders>
            <w:shd w:val="clear" w:color="auto" w:fill="4F81BD" w:themeFill="accent1"/>
          </w:tcPr>
          <w:p w:rsidR="00621281" w:rsidRPr="00A81C51" w:rsidRDefault="00621281" w:rsidP="00BA5DFB">
            <w:pPr>
              <w:keepNext/>
              <w:keepLines/>
              <w:spacing w:line="240" w:lineRule="atLeast"/>
              <w:jc w:val="center"/>
              <w:rPr>
                <w:rFonts w:cs="Arial"/>
                <w:b/>
                <w:color w:val="FFFFFF" w:themeColor="background1"/>
                <w:sz w:val="20"/>
                <w:szCs w:val="20"/>
                <w:lang w:val="en-US" w:eastAsia="en-US"/>
              </w:rPr>
            </w:pPr>
            <w:r w:rsidRPr="00A81C51">
              <w:rPr>
                <w:rFonts w:cs="Arial"/>
                <w:b/>
                <w:color w:val="FFFFFF" w:themeColor="background1"/>
                <w:sz w:val="20"/>
                <w:szCs w:val="20"/>
                <w:lang w:val="en-US" w:eastAsia="en-US"/>
              </w:rPr>
              <w:t>EU HPLC</w:t>
            </w:r>
          </w:p>
          <w:p w:rsidR="00621281" w:rsidRPr="00A81C51" w:rsidRDefault="00621281" w:rsidP="00BA5DFB">
            <w:pPr>
              <w:keepNext/>
              <w:keepLines/>
              <w:spacing w:line="240" w:lineRule="atLeast"/>
              <w:jc w:val="center"/>
              <w:rPr>
                <w:rFonts w:cs="Arial"/>
                <w:b/>
                <w:color w:val="FFFFFF" w:themeColor="background1"/>
                <w:sz w:val="20"/>
                <w:szCs w:val="20"/>
                <w:lang w:val="en-US" w:eastAsia="en-US"/>
              </w:rPr>
            </w:pPr>
            <w:r w:rsidRPr="00A81C51">
              <w:rPr>
                <w:rFonts w:cs="Arial"/>
                <w:b/>
                <w:color w:val="FFFFFF" w:themeColor="background1"/>
                <w:sz w:val="20"/>
                <w:szCs w:val="20"/>
                <w:lang w:val="en-US" w:eastAsia="en-US"/>
              </w:rPr>
              <w:t>method</w:t>
            </w:r>
            <w:r w:rsidRPr="00A81C51">
              <w:rPr>
                <w:rFonts w:cs="Arial"/>
                <w:b/>
                <w:color w:val="FFFFFF" w:themeColor="background1"/>
                <w:sz w:val="20"/>
                <w:szCs w:val="20"/>
                <w:vertAlign w:val="superscript"/>
                <w:lang w:val="en-US" w:eastAsia="en-US"/>
              </w:rPr>
              <w:t>#</w:t>
            </w:r>
          </w:p>
        </w:tc>
      </w:tr>
      <w:tr w:rsidR="00621281" w:rsidRPr="0042685A" w:rsidTr="006212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right w:val="none" w:sz="0" w:space="0" w:color="auto"/>
            </w:tcBorders>
            <w:shd w:val="clear" w:color="auto" w:fill="D3DFEE"/>
          </w:tcPr>
          <w:p w:rsidR="00621281" w:rsidRPr="004C18E5" w:rsidRDefault="00621281" w:rsidP="00BA5DFB">
            <w:pPr>
              <w:keepNext/>
              <w:keepLines/>
              <w:spacing w:line="240" w:lineRule="atLeast"/>
              <w:rPr>
                <w:rFonts w:cs="Arial"/>
                <w:bCs w:val="0"/>
                <w:color w:val="000000"/>
                <w:sz w:val="20"/>
                <w:szCs w:val="20"/>
                <w:lang w:val="en-US" w:eastAsia="en-US"/>
              </w:rPr>
            </w:pPr>
            <w:r w:rsidRPr="004C18E5">
              <w:rPr>
                <w:rFonts w:cs="Arial"/>
                <w:color w:val="000000"/>
                <w:sz w:val="20"/>
                <w:szCs w:val="20"/>
                <w:lang w:val="en-US" w:eastAsia="en-US"/>
              </w:rPr>
              <w:t>Shelf-stable organic juice</w:t>
            </w:r>
          </w:p>
          <w:p w:rsidR="00621281" w:rsidRPr="004C18E5" w:rsidRDefault="00621281" w:rsidP="00BA5DFB">
            <w:pPr>
              <w:keepNext/>
              <w:keepLines/>
              <w:ind w:firstLine="567"/>
              <w:rPr>
                <w:rFonts w:cs="Arial"/>
                <w:sz w:val="20"/>
                <w:szCs w:val="20"/>
                <w:lang w:val="en-US" w:eastAsia="en-US"/>
              </w:rPr>
            </w:pPr>
          </w:p>
        </w:tc>
        <w:tc>
          <w:tcPr>
            <w:cnfStyle w:val="000010000000" w:firstRow="0" w:lastRow="0" w:firstColumn="0" w:lastColumn="0" w:oddVBand="1" w:evenVBand="0" w:oddHBand="0" w:evenHBand="0" w:firstRowFirstColumn="0" w:firstRowLastColumn="0" w:lastRowFirstColumn="0" w:lastRowLastColumn="0"/>
            <w:tcW w:w="1984" w:type="dxa"/>
            <w:tcBorders>
              <w:left w:val="none" w:sz="0" w:space="0" w:color="auto"/>
              <w:right w:val="none" w:sz="0" w:space="0" w:color="auto"/>
            </w:tcBorders>
            <w:shd w:val="clear" w:color="auto" w:fill="D3DFEE"/>
          </w:tcPr>
          <w:p w:rsidR="00621281" w:rsidRPr="004A29A1" w:rsidRDefault="00621281" w:rsidP="00BA5DFB">
            <w:pPr>
              <w:keepNext/>
              <w:keepLines/>
              <w:spacing w:line="240" w:lineRule="atLeast"/>
              <w:rPr>
                <w:rFonts w:cs="Arial"/>
                <w:color w:val="000000"/>
                <w:sz w:val="20"/>
                <w:szCs w:val="20"/>
                <w:lang w:val="en-US" w:eastAsia="en-US"/>
              </w:rPr>
            </w:pPr>
            <w:r>
              <w:rPr>
                <w:rFonts w:cs="Arial"/>
                <w:color w:val="000000"/>
                <w:sz w:val="20"/>
                <w:szCs w:val="20"/>
                <w:lang w:val="en-US" w:eastAsia="en-US"/>
              </w:rPr>
              <w:t>New Zealand</w:t>
            </w:r>
          </w:p>
        </w:tc>
        <w:tc>
          <w:tcPr>
            <w:tcW w:w="1985" w:type="dxa"/>
            <w:tcBorders>
              <w:left w:val="none" w:sz="0" w:space="0" w:color="auto"/>
              <w:right w:val="none" w:sz="0" w:space="0" w:color="auto"/>
            </w:tcBorders>
            <w:shd w:val="clear" w:color="auto" w:fill="D3DFEE"/>
          </w:tcPr>
          <w:p w:rsidR="00621281" w:rsidRPr="00A81C51" w:rsidRDefault="00621281" w:rsidP="00BA5DFB">
            <w:pPr>
              <w:keepNext/>
              <w:keepLines/>
              <w:spacing w:line="240" w:lineRule="atLeas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val="en-US" w:eastAsia="en-US"/>
              </w:rPr>
            </w:pPr>
            <w:r w:rsidRPr="00A81C51">
              <w:rPr>
                <w:rFonts w:cs="Arial"/>
                <w:color w:val="000000"/>
                <w:sz w:val="20"/>
                <w:szCs w:val="20"/>
                <w:lang w:val="en-US" w:eastAsia="en-US"/>
              </w:rPr>
              <w:t>2.6</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tcBorders>
            <w:shd w:val="clear" w:color="auto" w:fill="D3DFEE"/>
          </w:tcPr>
          <w:p w:rsidR="00621281" w:rsidRPr="00A81C51" w:rsidRDefault="00621281" w:rsidP="00BA5DFB">
            <w:pPr>
              <w:keepNext/>
              <w:keepLines/>
              <w:jc w:val="center"/>
              <w:rPr>
                <w:rFonts w:cs="Arial"/>
                <w:color w:val="000000"/>
                <w:sz w:val="20"/>
                <w:szCs w:val="20"/>
                <w:lang w:val="en-US" w:eastAsia="en-US"/>
              </w:rPr>
            </w:pPr>
            <w:r>
              <w:rPr>
                <w:rFonts w:cs="Arial"/>
                <w:color w:val="000000"/>
                <w:sz w:val="20"/>
                <w:szCs w:val="20"/>
                <w:lang w:val="en-US" w:eastAsia="en-US"/>
              </w:rPr>
              <w:t>N/A</w:t>
            </w:r>
          </w:p>
        </w:tc>
      </w:tr>
      <w:tr w:rsidR="00621281" w:rsidRPr="0042685A" w:rsidTr="0062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right w:val="none" w:sz="0" w:space="0" w:color="auto"/>
            </w:tcBorders>
            <w:shd w:val="clear" w:color="auto" w:fill="auto"/>
          </w:tcPr>
          <w:p w:rsidR="00621281" w:rsidRPr="004C18E5" w:rsidRDefault="00621281" w:rsidP="00BA5DFB">
            <w:pPr>
              <w:keepNext/>
              <w:keepLines/>
              <w:spacing w:line="240" w:lineRule="atLeast"/>
              <w:rPr>
                <w:rFonts w:cs="Arial"/>
                <w:color w:val="000000"/>
                <w:sz w:val="20"/>
                <w:szCs w:val="20"/>
                <w:lang w:val="en-US" w:eastAsia="en-US"/>
              </w:rPr>
            </w:pPr>
            <w:r w:rsidRPr="004C18E5">
              <w:rPr>
                <w:rFonts w:cs="Arial"/>
                <w:color w:val="000000"/>
                <w:sz w:val="20"/>
                <w:szCs w:val="20"/>
                <w:lang w:val="en-US" w:eastAsia="en-US"/>
              </w:rPr>
              <w:t>Shelf-stable, reconstituted juice</w:t>
            </w:r>
          </w:p>
        </w:tc>
        <w:tc>
          <w:tcPr>
            <w:cnfStyle w:val="000010000000" w:firstRow="0" w:lastRow="0" w:firstColumn="0" w:lastColumn="0" w:oddVBand="1" w:evenVBand="0" w:oddHBand="0" w:evenHBand="0" w:firstRowFirstColumn="0" w:firstRowLastColumn="0" w:lastRowFirstColumn="0" w:lastRowLastColumn="0"/>
            <w:tcW w:w="1984" w:type="dxa"/>
            <w:tcBorders>
              <w:left w:val="none" w:sz="0" w:space="0" w:color="auto"/>
              <w:right w:val="none" w:sz="0" w:space="0" w:color="auto"/>
            </w:tcBorders>
            <w:shd w:val="clear" w:color="auto" w:fill="auto"/>
          </w:tcPr>
          <w:p w:rsidR="00621281" w:rsidRPr="004A29A1" w:rsidRDefault="00621281" w:rsidP="00BA5DFB">
            <w:pPr>
              <w:keepNext/>
              <w:keepLines/>
              <w:spacing w:line="240" w:lineRule="atLeast"/>
              <w:rPr>
                <w:rFonts w:cs="Arial"/>
                <w:color w:val="000000"/>
                <w:sz w:val="20"/>
                <w:szCs w:val="20"/>
                <w:lang w:val="en-US" w:eastAsia="en-US"/>
              </w:rPr>
            </w:pPr>
            <w:r>
              <w:rPr>
                <w:rFonts w:cs="Arial"/>
                <w:color w:val="000000"/>
                <w:sz w:val="20"/>
                <w:szCs w:val="20"/>
                <w:lang w:val="en-US" w:eastAsia="en-US"/>
              </w:rPr>
              <w:t>New Zealand</w:t>
            </w:r>
          </w:p>
        </w:tc>
        <w:tc>
          <w:tcPr>
            <w:tcW w:w="1985" w:type="dxa"/>
            <w:tcBorders>
              <w:left w:val="none" w:sz="0" w:space="0" w:color="auto"/>
              <w:right w:val="none" w:sz="0" w:space="0" w:color="auto"/>
            </w:tcBorders>
            <w:shd w:val="clear" w:color="auto" w:fill="auto"/>
          </w:tcPr>
          <w:p w:rsidR="00621281" w:rsidRPr="00A81C51" w:rsidRDefault="00621281" w:rsidP="00BA5DFB">
            <w:pPr>
              <w:keepNext/>
              <w:keepLines/>
              <w:spacing w:line="240"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en-US" w:eastAsia="en-US"/>
              </w:rPr>
            </w:pPr>
            <w:r w:rsidRPr="00A81C51">
              <w:rPr>
                <w:rFonts w:cs="Arial"/>
                <w:color w:val="000000"/>
                <w:sz w:val="20"/>
                <w:szCs w:val="20"/>
                <w:lang w:val="en-US" w:eastAsia="en-US"/>
              </w:rPr>
              <w:t>4.2</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tcBorders>
            <w:shd w:val="clear" w:color="auto" w:fill="auto"/>
          </w:tcPr>
          <w:p w:rsidR="00621281" w:rsidRPr="00A81C51" w:rsidRDefault="00621281" w:rsidP="00BA5DFB">
            <w:pPr>
              <w:keepNext/>
              <w:keepLines/>
              <w:jc w:val="center"/>
              <w:rPr>
                <w:rFonts w:cs="Arial"/>
                <w:color w:val="000000"/>
                <w:sz w:val="20"/>
                <w:szCs w:val="20"/>
                <w:lang w:val="en-US" w:eastAsia="en-US"/>
              </w:rPr>
            </w:pPr>
            <w:r>
              <w:rPr>
                <w:rFonts w:cs="Arial"/>
                <w:color w:val="000000"/>
                <w:sz w:val="20"/>
                <w:szCs w:val="20"/>
                <w:lang w:val="en-US" w:eastAsia="en-US"/>
              </w:rPr>
              <w:t>&lt;0.06</w:t>
            </w:r>
          </w:p>
        </w:tc>
      </w:tr>
      <w:tr w:rsidR="00621281" w:rsidRPr="0042685A" w:rsidTr="006212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right w:val="none" w:sz="0" w:space="0" w:color="auto"/>
            </w:tcBorders>
            <w:shd w:val="clear" w:color="auto" w:fill="D3DFEE"/>
          </w:tcPr>
          <w:p w:rsidR="00621281" w:rsidRPr="004C18E5" w:rsidRDefault="00621281" w:rsidP="00BA5DFB">
            <w:pPr>
              <w:keepNext/>
              <w:keepLines/>
              <w:spacing w:line="240" w:lineRule="atLeast"/>
              <w:rPr>
                <w:rFonts w:cs="Arial"/>
                <w:color w:val="000000"/>
                <w:sz w:val="20"/>
                <w:szCs w:val="20"/>
                <w:lang w:val="en-US" w:eastAsia="en-US"/>
              </w:rPr>
            </w:pPr>
            <w:r w:rsidRPr="004C18E5">
              <w:rPr>
                <w:rFonts w:cs="Arial"/>
                <w:color w:val="000000"/>
                <w:sz w:val="20"/>
                <w:szCs w:val="20"/>
                <w:lang w:val="en-US" w:eastAsia="en-US"/>
              </w:rPr>
              <w:t>Shelf-stable, reconstituted juice</w:t>
            </w:r>
          </w:p>
        </w:tc>
        <w:tc>
          <w:tcPr>
            <w:cnfStyle w:val="000010000000" w:firstRow="0" w:lastRow="0" w:firstColumn="0" w:lastColumn="0" w:oddVBand="1" w:evenVBand="0" w:oddHBand="0" w:evenHBand="0" w:firstRowFirstColumn="0" w:firstRowLastColumn="0" w:lastRowFirstColumn="0" w:lastRowLastColumn="0"/>
            <w:tcW w:w="1984" w:type="dxa"/>
            <w:tcBorders>
              <w:left w:val="none" w:sz="0" w:space="0" w:color="auto"/>
              <w:right w:val="none" w:sz="0" w:space="0" w:color="auto"/>
            </w:tcBorders>
            <w:shd w:val="clear" w:color="auto" w:fill="D3DFEE"/>
          </w:tcPr>
          <w:p w:rsidR="00621281" w:rsidRPr="004A29A1" w:rsidRDefault="00621281" w:rsidP="00BA5DFB">
            <w:pPr>
              <w:keepNext/>
              <w:keepLines/>
              <w:spacing w:line="240" w:lineRule="atLeast"/>
              <w:rPr>
                <w:rFonts w:cs="Arial"/>
                <w:color w:val="000000"/>
                <w:sz w:val="20"/>
                <w:szCs w:val="20"/>
                <w:lang w:val="en-US" w:eastAsia="en-US"/>
              </w:rPr>
            </w:pPr>
            <w:r>
              <w:rPr>
                <w:rFonts w:cs="Arial"/>
                <w:color w:val="000000"/>
                <w:sz w:val="20"/>
                <w:szCs w:val="20"/>
                <w:lang w:val="en-US" w:eastAsia="en-US"/>
              </w:rPr>
              <w:t>Australia</w:t>
            </w:r>
          </w:p>
        </w:tc>
        <w:tc>
          <w:tcPr>
            <w:tcW w:w="1985" w:type="dxa"/>
            <w:tcBorders>
              <w:left w:val="none" w:sz="0" w:space="0" w:color="auto"/>
              <w:right w:val="none" w:sz="0" w:space="0" w:color="auto"/>
            </w:tcBorders>
            <w:shd w:val="clear" w:color="auto" w:fill="D3DFEE"/>
          </w:tcPr>
          <w:p w:rsidR="00621281" w:rsidRPr="00A81C51" w:rsidRDefault="00621281" w:rsidP="00BA5DFB">
            <w:pPr>
              <w:keepNext/>
              <w:keepLines/>
              <w:spacing w:line="240" w:lineRule="atLeas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val="en-US" w:eastAsia="en-US"/>
              </w:rPr>
            </w:pPr>
            <w:r w:rsidRPr="00A81C51">
              <w:rPr>
                <w:rFonts w:cs="Arial"/>
                <w:color w:val="000000"/>
                <w:sz w:val="20"/>
                <w:szCs w:val="20"/>
                <w:lang w:val="en-US" w:eastAsia="en-US"/>
              </w:rPr>
              <w:t>1.5</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tcBorders>
            <w:shd w:val="clear" w:color="auto" w:fill="D3DFEE"/>
          </w:tcPr>
          <w:p w:rsidR="00621281" w:rsidRPr="00A81C51" w:rsidRDefault="00621281" w:rsidP="00BA5DFB">
            <w:pPr>
              <w:keepNext/>
              <w:keepLines/>
              <w:jc w:val="center"/>
              <w:rPr>
                <w:rFonts w:cs="Arial"/>
                <w:color w:val="000000"/>
                <w:sz w:val="20"/>
                <w:szCs w:val="20"/>
                <w:lang w:val="en-US" w:eastAsia="en-US"/>
              </w:rPr>
            </w:pPr>
            <w:r>
              <w:rPr>
                <w:rFonts w:cs="Arial"/>
                <w:color w:val="000000"/>
                <w:sz w:val="20"/>
                <w:szCs w:val="20"/>
                <w:lang w:val="en-US" w:eastAsia="en-US"/>
              </w:rPr>
              <w:t>0.17</w:t>
            </w:r>
          </w:p>
        </w:tc>
      </w:tr>
      <w:tr w:rsidR="00621281" w:rsidRPr="0042685A" w:rsidTr="0062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right w:val="none" w:sz="0" w:space="0" w:color="auto"/>
            </w:tcBorders>
            <w:shd w:val="clear" w:color="auto" w:fill="auto"/>
          </w:tcPr>
          <w:p w:rsidR="00621281" w:rsidRPr="004C18E5" w:rsidRDefault="00621281" w:rsidP="00BA5DFB">
            <w:pPr>
              <w:keepNext/>
              <w:keepLines/>
              <w:spacing w:line="240" w:lineRule="atLeast"/>
              <w:rPr>
                <w:rFonts w:cs="Arial"/>
                <w:color w:val="000000"/>
                <w:sz w:val="20"/>
                <w:szCs w:val="20"/>
                <w:lang w:val="en-US" w:eastAsia="en-US"/>
              </w:rPr>
            </w:pPr>
            <w:r w:rsidRPr="004C18E5">
              <w:rPr>
                <w:rFonts w:cs="Arial"/>
                <w:color w:val="000000"/>
                <w:sz w:val="20"/>
                <w:szCs w:val="20"/>
                <w:lang w:val="en-US" w:eastAsia="en-US"/>
              </w:rPr>
              <w:t>Reconstituted organic apple juice requiring refrigeration</w:t>
            </w:r>
          </w:p>
        </w:tc>
        <w:tc>
          <w:tcPr>
            <w:cnfStyle w:val="000010000000" w:firstRow="0" w:lastRow="0" w:firstColumn="0" w:lastColumn="0" w:oddVBand="1" w:evenVBand="0" w:oddHBand="0" w:evenHBand="0" w:firstRowFirstColumn="0" w:firstRowLastColumn="0" w:lastRowFirstColumn="0" w:lastRowLastColumn="0"/>
            <w:tcW w:w="1984" w:type="dxa"/>
            <w:tcBorders>
              <w:left w:val="none" w:sz="0" w:space="0" w:color="auto"/>
              <w:right w:val="none" w:sz="0" w:space="0" w:color="auto"/>
            </w:tcBorders>
            <w:shd w:val="clear" w:color="auto" w:fill="auto"/>
          </w:tcPr>
          <w:p w:rsidR="00621281" w:rsidRPr="004A29A1" w:rsidRDefault="00621281" w:rsidP="00BA5DFB">
            <w:pPr>
              <w:keepNext/>
              <w:keepLines/>
              <w:spacing w:line="240" w:lineRule="atLeast"/>
              <w:rPr>
                <w:rFonts w:cs="Arial"/>
                <w:color w:val="000000"/>
                <w:sz w:val="20"/>
                <w:szCs w:val="20"/>
                <w:lang w:val="en-US" w:eastAsia="en-US"/>
              </w:rPr>
            </w:pPr>
            <w:r>
              <w:rPr>
                <w:rFonts w:cs="Arial"/>
                <w:color w:val="000000"/>
                <w:sz w:val="20"/>
                <w:szCs w:val="20"/>
                <w:lang w:val="en-US" w:eastAsia="en-US"/>
              </w:rPr>
              <w:t>Australia</w:t>
            </w:r>
          </w:p>
        </w:tc>
        <w:tc>
          <w:tcPr>
            <w:tcW w:w="1985" w:type="dxa"/>
            <w:tcBorders>
              <w:left w:val="none" w:sz="0" w:space="0" w:color="auto"/>
              <w:right w:val="none" w:sz="0" w:space="0" w:color="auto"/>
            </w:tcBorders>
            <w:shd w:val="clear" w:color="auto" w:fill="auto"/>
          </w:tcPr>
          <w:p w:rsidR="00621281" w:rsidRPr="00A81C51" w:rsidRDefault="00621281" w:rsidP="00BA5DFB">
            <w:pPr>
              <w:keepNext/>
              <w:keepLines/>
              <w:spacing w:line="240"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en-US" w:eastAsia="en-US"/>
              </w:rPr>
            </w:pPr>
            <w:r w:rsidRPr="00A81C51">
              <w:rPr>
                <w:rFonts w:cs="Arial"/>
                <w:color w:val="000000"/>
                <w:sz w:val="20"/>
                <w:szCs w:val="20"/>
                <w:lang w:val="en-US" w:eastAsia="en-US"/>
              </w:rPr>
              <w:t>2.1</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tcBorders>
            <w:shd w:val="clear" w:color="auto" w:fill="auto"/>
          </w:tcPr>
          <w:p w:rsidR="00621281" w:rsidRPr="00A81C51" w:rsidRDefault="00621281" w:rsidP="00BA5DFB">
            <w:pPr>
              <w:keepNext/>
              <w:keepLines/>
              <w:jc w:val="center"/>
              <w:rPr>
                <w:rFonts w:cs="Arial"/>
                <w:color w:val="000000"/>
                <w:sz w:val="20"/>
                <w:szCs w:val="20"/>
                <w:lang w:val="en-US" w:eastAsia="en-US"/>
              </w:rPr>
            </w:pPr>
            <w:r>
              <w:rPr>
                <w:rFonts w:cs="Arial"/>
                <w:color w:val="000000"/>
                <w:sz w:val="20"/>
                <w:szCs w:val="20"/>
                <w:lang w:val="en-US" w:eastAsia="en-US"/>
              </w:rPr>
              <w:t>&lt;0.06</w:t>
            </w:r>
          </w:p>
        </w:tc>
      </w:tr>
      <w:tr w:rsidR="00621281" w:rsidRPr="0042685A" w:rsidTr="006212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right w:val="none" w:sz="0" w:space="0" w:color="auto"/>
            </w:tcBorders>
            <w:shd w:val="clear" w:color="auto" w:fill="D3DFEE"/>
          </w:tcPr>
          <w:p w:rsidR="00621281" w:rsidRPr="004C18E5" w:rsidRDefault="00621281" w:rsidP="00BA5DFB">
            <w:pPr>
              <w:keepNext/>
              <w:keepLines/>
              <w:spacing w:line="240" w:lineRule="atLeast"/>
              <w:rPr>
                <w:rFonts w:cs="Arial"/>
                <w:color w:val="000000"/>
                <w:sz w:val="20"/>
                <w:szCs w:val="20"/>
                <w:lang w:val="en-US" w:eastAsia="en-US"/>
              </w:rPr>
            </w:pPr>
            <w:r>
              <w:rPr>
                <w:rFonts w:cs="Arial"/>
                <w:color w:val="000000"/>
                <w:sz w:val="20"/>
                <w:szCs w:val="20"/>
                <w:lang w:val="en-US" w:eastAsia="en-US"/>
              </w:rPr>
              <w:t>Infant apple puree</w:t>
            </w:r>
          </w:p>
        </w:tc>
        <w:tc>
          <w:tcPr>
            <w:cnfStyle w:val="000010000000" w:firstRow="0" w:lastRow="0" w:firstColumn="0" w:lastColumn="0" w:oddVBand="1" w:evenVBand="0" w:oddHBand="0" w:evenHBand="0" w:firstRowFirstColumn="0" w:firstRowLastColumn="0" w:lastRowFirstColumn="0" w:lastRowLastColumn="0"/>
            <w:tcW w:w="1984" w:type="dxa"/>
            <w:tcBorders>
              <w:left w:val="none" w:sz="0" w:space="0" w:color="auto"/>
              <w:right w:val="none" w:sz="0" w:space="0" w:color="auto"/>
            </w:tcBorders>
            <w:shd w:val="clear" w:color="auto" w:fill="D3DFEE"/>
          </w:tcPr>
          <w:p w:rsidR="00621281" w:rsidRDefault="00621281" w:rsidP="00BA5DFB">
            <w:pPr>
              <w:keepNext/>
              <w:keepLines/>
              <w:spacing w:line="240" w:lineRule="atLeast"/>
              <w:rPr>
                <w:rFonts w:cs="Arial"/>
                <w:color w:val="000000"/>
                <w:sz w:val="20"/>
                <w:szCs w:val="20"/>
                <w:lang w:val="en-US" w:eastAsia="en-US"/>
              </w:rPr>
            </w:pPr>
            <w:r>
              <w:rPr>
                <w:rFonts w:cs="Arial"/>
                <w:color w:val="000000"/>
                <w:sz w:val="20"/>
                <w:szCs w:val="20"/>
                <w:lang w:val="en-US" w:eastAsia="en-US"/>
              </w:rPr>
              <w:t>Australia</w:t>
            </w:r>
          </w:p>
        </w:tc>
        <w:tc>
          <w:tcPr>
            <w:tcW w:w="1985" w:type="dxa"/>
            <w:tcBorders>
              <w:left w:val="none" w:sz="0" w:space="0" w:color="auto"/>
              <w:right w:val="none" w:sz="0" w:space="0" w:color="auto"/>
            </w:tcBorders>
            <w:shd w:val="clear" w:color="auto" w:fill="D3DFEE"/>
          </w:tcPr>
          <w:p w:rsidR="00621281" w:rsidRPr="00A81C51" w:rsidRDefault="00621281" w:rsidP="00BA5DFB">
            <w:pPr>
              <w:keepNext/>
              <w:keepLines/>
              <w:spacing w:line="240" w:lineRule="atLeas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val="en-US" w:eastAsia="en-US"/>
              </w:rPr>
            </w:pPr>
            <w:r>
              <w:rPr>
                <w:rFonts w:cs="Arial"/>
                <w:color w:val="000000"/>
                <w:sz w:val="20"/>
                <w:szCs w:val="20"/>
                <w:lang w:val="en-US" w:eastAsia="en-US"/>
              </w:rPr>
              <w:t>&lt;5</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tcBorders>
            <w:shd w:val="clear" w:color="auto" w:fill="D3DFEE"/>
          </w:tcPr>
          <w:p w:rsidR="00621281" w:rsidRPr="00A81C51" w:rsidRDefault="00621281" w:rsidP="00BA5DFB">
            <w:pPr>
              <w:keepNext/>
              <w:keepLines/>
              <w:jc w:val="center"/>
              <w:rPr>
                <w:rFonts w:cs="Arial"/>
                <w:color w:val="000000"/>
                <w:sz w:val="20"/>
                <w:szCs w:val="20"/>
                <w:lang w:val="en-US" w:eastAsia="en-US"/>
              </w:rPr>
            </w:pPr>
            <w:r w:rsidRPr="00A81C51">
              <w:rPr>
                <w:rFonts w:cs="Arial"/>
                <w:color w:val="000000"/>
                <w:sz w:val="20"/>
                <w:szCs w:val="20"/>
                <w:lang w:val="en-US" w:eastAsia="en-US"/>
              </w:rPr>
              <w:t>0.9</w:t>
            </w:r>
          </w:p>
        </w:tc>
      </w:tr>
      <w:tr w:rsidR="00621281" w:rsidRPr="0042685A" w:rsidTr="0062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right w:val="none" w:sz="0" w:space="0" w:color="auto"/>
            </w:tcBorders>
            <w:shd w:val="clear" w:color="auto" w:fill="auto"/>
          </w:tcPr>
          <w:p w:rsidR="00621281" w:rsidRDefault="00621281" w:rsidP="00BA5DFB">
            <w:pPr>
              <w:keepNext/>
              <w:keepLines/>
            </w:pPr>
            <w:r w:rsidRPr="00476E86">
              <w:rPr>
                <w:rFonts w:cs="Arial"/>
                <w:color w:val="000000"/>
                <w:sz w:val="20"/>
                <w:szCs w:val="20"/>
                <w:lang w:val="en-US" w:eastAsia="en-US"/>
              </w:rPr>
              <w:t>Infant apple puree</w:t>
            </w:r>
          </w:p>
        </w:tc>
        <w:tc>
          <w:tcPr>
            <w:cnfStyle w:val="000010000000" w:firstRow="0" w:lastRow="0" w:firstColumn="0" w:lastColumn="0" w:oddVBand="1" w:evenVBand="0" w:oddHBand="0" w:evenHBand="0" w:firstRowFirstColumn="0" w:firstRowLastColumn="0" w:lastRowFirstColumn="0" w:lastRowLastColumn="0"/>
            <w:tcW w:w="1984" w:type="dxa"/>
            <w:tcBorders>
              <w:left w:val="none" w:sz="0" w:space="0" w:color="auto"/>
              <w:right w:val="none" w:sz="0" w:space="0" w:color="auto"/>
            </w:tcBorders>
            <w:shd w:val="clear" w:color="auto" w:fill="auto"/>
          </w:tcPr>
          <w:p w:rsidR="00621281" w:rsidRDefault="00621281" w:rsidP="00BA5DFB">
            <w:pPr>
              <w:keepNext/>
              <w:keepLines/>
              <w:spacing w:line="240" w:lineRule="atLeast"/>
              <w:rPr>
                <w:rFonts w:cs="Arial"/>
                <w:color w:val="000000"/>
                <w:sz w:val="20"/>
                <w:szCs w:val="20"/>
                <w:lang w:val="en-US" w:eastAsia="en-US"/>
              </w:rPr>
            </w:pPr>
            <w:r>
              <w:rPr>
                <w:rFonts w:cs="Arial"/>
                <w:color w:val="000000"/>
                <w:sz w:val="20"/>
                <w:szCs w:val="20"/>
                <w:lang w:val="en-US" w:eastAsia="en-US"/>
              </w:rPr>
              <w:t>Australia</w:t>
            </w:r>
          </w:p>
        </w:tc>
        <w:tc>
          <w:tcPr>
            <w:tcW w:w="1985" w:type="dxa"/>
            <w:tcBorders>
              <w:left w:val="none" w:sz="0" w:space="0" w:color="auto"/>
              <w:right w:val="none" w:sz="0" w:space="0" w:color="auto"/>
            </w:tcBorders>
            <w:shd w:val="clear" w:color="auto" w:fill="auto"/>
          </w:tcPr>
          <w:p w:rsidR="00621281" w:rsidRPr="00A81C51" w:rsidRDefault="00621281" w:rsidP="00BA5DFB">
            <w:pPr>
              <w:keepNext/>
              <w:keepLines/>
              <w:spacing w:line="240"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en-US" w:eastAsia="en-US"/>
              </w:rPr>
            </w:pPr>
            <w:r>
              <w:rPr>
                <w:rFonts w:cs="Arial"/>
                <w:color w:val="000000"/>
                <w:sz w:val="20"/>
                <w:szCs w:val="20"/>
                <w:lang w:val="en-US" w:eastAsia="en-US"/>
              </w:rPr>
              <w:t>&lt;5</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tcBorders>
            <w:shd w:val="clear" w:color="auto" w:fill="auto"/>
          </w:tcPr>
          <w:p w:rsidR="00621281" w:rsidRPr="00A81C51" w:rsidRDefault="00621281" w:rsidP="00BA5DFB">
            <w:pPr>
              <w:keepNext/>
              <w:keepLines/>
              <w:jc w:val="center"/>
              <w:rPr>
                <w:rFonts w:cs="Arial"/>
                <w:color w:val="000000"/>
                <w:sz w:val="20"/>
                <w:szCs w:val="20"/>
                <w:lang w:val="en-US" w:eastAsia="en-US"/>
              </w:rPr>
            </w:pPr>
            <w:r>
              <w:rPr>
                <w:rFonts w:cs="Arial"/>
                <w:color w:val="000000"/>
                <w:sz w:val="20"/>
                <w:szCs w:val="20"/>
                <w:lang w:val="en-US" w:eastAsia="en-US"/>
              </w:rPr>
              <w:t>1.1</w:t>
            </w:r>
          </w:p>
        </w:tc>
      </w:tr>
      <w:tr w:rsidR="00621281" w:rsidRPr="0042685A" w:rsidTr="006212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right w:val="none" w:sz="0" w:space="0" w:color="auto"/>
            </w:tcBorders>
            <w:shd w:val="clear" w:color="auto" w:fill="D3DFEE"/>
          </w:tcPr>
          <w:p w:rsidR="00621281" w:rsidRDefault="00621281" w:rsidP="00BA5DFB">
            <w:pPr>
              <w:keepNext/>
              <w:keepLines/>
            </w:pPr>
            <w:r w:rsidRPr="00476E86">
              <w:rPr>
                <w:rFonts w:cs="Arial"/>
                <w:color w:val="000000"/>
                <w:sz w:val="20"/>
                <w:szCs w:val="20"/>
                <w:lang w:val="en-US" w:eastAsia="en-US"/>
              </w:rPr>
              <w:t>Infant apple puree</w:t>
            </w:r>
          </w:p>
        </w:tc>
        <w:tc>
          <w:tcPr>
            <w:cnfStyle w:val="000010000000" w:firstRow="0" w:lastRow="0" w:firstColumn="0" w:lastColumn="0" w:oddVBand="1" w:evenVBand="0" w:oddHBand="0" w:evenHBand="0" w:firstRowFirstColumn="0" w:firstRowLastColumn="0" w:lastRowFirstColumn="0" w:lastRowLastColumn="0"/>
            <w:tcW w:w="1984" w:type="dxa"/>
            <w:tcBorders>
              <w:left w:val="none" w:sz="0" w:space="0" w:color="auto"/>
              <w:right w:val="none" w:sz="0" w:space="0" w:color="auto"/>
            </w:tcBorders>
            <w:shd w:val="clear" w:color="auto" w:fill="D3DFEE"/>
          </w:tcPr>
          <w:p w:rsidR="00621281" w:rsidRDefault="00621281" w:rsidP="00BA5DFB">
            <w:pPr>
              <w:keepNext/>
              <w:keepLines/>
              <w:spacing w:line="240" w:lineRule="atLeast"/>
              <w:rPr>
                <w:rFonts w:cs="Arial"/>
                <w:color w:val="000000"/>
                <w:sz w:val="20"/>
                <w:szCs w:val="20"/>
                <w:lang w:val="en-US" w:eastAsia="en-US"/>
              </w:rPr>
            </w:pPr>
            <w:r>
              <w:rPr>
                <w:rFonts w:cs="Arial"/>
                <w:color w:val="000000"/>
                <w:sz w:val="20"/>
                <w:szCs w:val="20"/>
                <w:lang w:val="en-US" w:eastAsia="en-US"/>
              </w:rPr>
              <w:t>Australia</w:t>
            </w:r>
          </w:p>
        </w:tc>
        <w:tc>
          <w:tcPr>
            <w:tcW w:w="1985" w:type="dxa"/>
            <w:tcBorders>
              <w:left w:val="none" w:sz="0" w:space="0" w:color="auto"/>
              <w:right w:val="none" w:sz="0" w:space="0" w:color="auto"/>
            </w:tcBorders>
            <w:shd w:val="clear" w:color="auto" w:fill="D3DFEE"/>
          </w:tcPr>
          <w:p w:rsidR="00621281" w:rsidRPr="00A81C51" w:rsidRDefault="00621281" w:rsidP="00BA5DFB">
            <w:pPr>
              <w:keepNext/>
              <w:keepLines/>
              <w:spacing w:line="240" w:lineRule="atLeas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val="en-US" w:eastAsia="en-US"/>
              </w:rPr>
            </w:pPr>
            <w:r>
              <w:rPr>
                <w:rFonts w:cs="Arial"/>
                <w:color w:val="000000"/>
                <w:sz w:val="20"/>
                <w:szCs w:val="20"/>
                <w:lang w:val="en-US" w:eastAsia="en-US"/>
              </w:rPr>
              <w:t>&lt;5</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tcBorders>
            <w:shd w:val="clear" w:color="auto" w:fill="D3DFEE"/>
          </w:tcPr>
          <w:p w:rsidR="00621281" w:rsidRPr="00A81C51" w:rsidRDefault="00621281" w:rsidP="00BA5DFB">
            <w:pPr>
              <w:keepNext/>
              <w:keepLines/>
              <w:jc w:val="center"/>
              <w:rPr>
                <w:rFonts w:cs="Arial"/>
                <w:color w:val="000000"/>
                <w:sz w:val="20"/>
                <w:szCs w:val="20"/>
                <w:lang w:val="en-US" w:eastAsia="en-US"/>
              </w:rPr>
            </w:pPr>
            <w:r>
              <w:rPr>
                <w:rFonts w:cs="Arial"/>
                <w:color w:val="000000"/>
                <w:sz w:val="20"/>
                <w:szCs w:val="20"/>
                <w:lang w:val="en-US" w:eastAsia="en-US"/>
              </w:rPr>
              <w:t>1.2</w:t>
            </w:r>
          </w:p>
        </w:tc>
      </w:tr>
      <w:tr w:rsidR="00621281" w:rsidRPr="0042685A" w:rsidTr="0062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right w:val="none" w:sz="0" w:space="0" w:color="auto"/>
            </w:tcBorders>
            <w:shd w:val="clear" w:color="auto" w:fill="auto"/>
          </w:tcPr>
          <w:p w:rsidR="00621281" w:rsidRDefault="00621281" w:rsidP="00BA5DFB">
            <w:pPr>
              <w:keepNext/>
              <w:keepLines/>
            </w:pPr>
            <w:r w:rsidRPr="00476E86">
              <w:rPr>
                <w:rFonts w:cs="Arial"/>
                <w:color w:val="000000"/>
                <w:sz w:val="20"/>
                <w:szCs w:val="20"/>
                <w:lang w:val="en-US" w:eastAsia="en-US"/>
              </w:rPr>
              <w:t>Infant apple puree</w:t>
            </w:r>
          </w:p>
        </w:tc>
        <w:tc>
          <w:tcPr>
            <w:cnfStyle w:val="000010000000" w:firstRow="0" w:lastRow="0" w:firstColumn="0" w:lastColumn="0" w:oddVBand="1" w:evenVBand="0" w:oddHBand="0" w:evenHBand="0" w:firstRowFirstColumn="0" w:firstRowLastColumn="0" w:lastRowFirstColumn="0" w:lastRowLastColumn="0"/>
            <w:tcW w:w="1984" w:type="dxa"/>
            <w:tcBorders>
              <w:left w:val="none" w:sz="0" w:space="0" w:color="auto"/>
              <w:right w:val="none" w:sz="0" w:space="0" w:color="auto"/>
            </w:tcBorders>
            <w:shd w:val="clear" w:color="auto" w:fill="auto"/>
          </w:tcPr>
          <w:p w:rsidR="00621281" w:rsidRDefault="00621281" w:rsidP="00BA5DFB">
            <w:pPr>
              <w:keepNext/>
              <w:keepLines/>
              <w:spacing w:line="240" w:lineRule="atLeast"/>
              <w:rPr>
                <w:rFonts w:cs="Arial"/>
                <w:color w:val="000000"/>
                <w:sz w:val="20"/>
                <w:szCs w:val="20"/>
                <w:lang w:val="en-US" w:eastAsia="en-US"/>
              </w:rPr>
            </w:pPr>
            <w:r>
              <w:rPr>
                <w:rFonts w:cs="Arial"/>
                <w:color w:val="000000"/>
                <w:sz w:val="20"/>
                <w:szCs w:val="20"/>
                <w:lang w:val="en-US" w:eastAsia="en-US"/>
              </w:rPr>
              <w:t>New Zealand</w:t>
            </w:r>
          </w:p>
        </w:tc>
        <w:tc>
          <w:tcPr>
            <w:tcW w:w="1985" w:type="dxa"/>
            <w:tcBorders>
              <w:left w:val="none" w:sz="0" w:space="0" w:color="auto"/>
              <w:right w:val="none" w:sz="0" w:space="0" w:color="auto"/>
            </w:tcBorders>
            <w:shd w:val="clear" w:color="auto" w:fill="auto"/>
          </w:tcPr>
          <w:p w:rsidR="00621281" w:rsidRPr="00A81C51" w:rsidRDefault="00621281" w:rsidP="00BA5DFB">
            <w:pPr>
              <w:keepNext/>
              <w:keepLines/>
              <w:spacing w:line="240"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en-US" w:eastAsia="en-US"/>
              </w:rPr>
            </w:pPr>
            <w:r>
              <w:rPr>
                <w:rFonts w:cs="Arial"/>
                <w:color w:val="000000"/>
                <w:sz w:val="20"/>
                <w:szCs w:val="20"/>
                <w:lang w:val="en-US" w:eastAsia="en-US"/>
              </w:rPr>
              <w:t>&lt;5</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tcBorders>
            <w:shd w:val="clear" w:color="auto" w:fill="auto"/>
          </w:tcPr>
          <w:p w:rsidR="00621281" w:rsidRPr="00A81C51" w:rsidRDefault="00621281" w:rsidP="00BA5DFB">
            <w:pPr>
              <w:keepNext/>
              <w:keepLines/>
              <w:jc w:val="center"/>
              <w:rPr>
                <w:rFonts w:cs="Arial"/>
                <w:color w:val="000000"/>
                <w:sz w:val="20"/>
                <w:szCs w:val="20"/>
                <w:lang w:val="en-US" w:eastAsia="en-US"/>
              </w:rPr>
            </w:pPr>
            <w:r>
              <w:rPr>
                <w:rFonts w:cs="Arial"/>
                <w:color w:val="000000"/>
                <w:sz w:val="20"/>
                <w:szCs w:val="20"/>
                <w:lang w:val="en-US" w:eastAsia="en-US"/>
              </w:rPr>
              <w:t>1.3</w:t>
            </w:r>
          </w:p>
        </w:tc>
      </w:tr>
      <w:tr w:rsidR="00621281" w:rsidRPr="0042685A" w:rsidTr="006212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right w:val="none" w:sz="0" w:space="0" w:color="auto"/>
            </w:tcBorders>
            <w:shd w:val="clear" w:color="auto" w:fill="D3DFEE"/>
          </w:tcPr>
          <w:p w:rsidR="00621281" w:rsidRDefault="00621281" w:rsidP="00BA5DFB">
            <w:pPr>
              <w:keepNext/>
              <w:keepLines/>
            </w:pPr>
            <w:r w:rsidRPr="00476E86">
              <w:rPr>
                <w:rFonts w:cs="Arial"/>
                <w:color w:val="000000"/>
                <w:sz w:val="20"/>
                <w:szCs w:val="20"/>
                <w:lang w:val="en-US" w:eastAsia="en-US"/>
              </w:rPr>
              <w:t>Infant apple puree</w:t>
            </w:r>
          </w:p>
        </w:tc>
        <w:tc>
          <w:tcPr>
            <w:cnfStyle w:val="000010000000" w:firstRow="0" w:lastRow="0" w:firstColumn="0" w:lastColumn="0" w:oddVBand="1" w:evenVBand="0" w:oddHBand="0" w:evenHBand="0" w:firstRowFirstColumn="0" w:firstRowLastColumn="0" w:lastRowFirstColumn="0" w:lastRowLastColumn="0"/>
            <w:tcW w:w="1984" w:type="dxa"/>
            <w:tcBorders>
              <w:left w:val="none" w:sz="0" w:space="0" w:color="auto"/>
              <w:right w:val="none" w:sz="0" w:space="0" w:color="auto"/>
            </w:tcBorders>
            <w:shd w:val="clear" w:color="auto" w:fill="D3DFEE"/>
          </w:tcPr>
          <w:p w:rsidR="00621281" w:rsidRDefault="00621281" w:rsidP="00BA5DFB">
            <w:pPr>
              <w:keepNext/>
              <w:keepLines/>
              <w:spacing w:line="240" w:lineRule="atLeast"/>
              <w:rPr>
                <w:rFonts w:cs="Arial"/>
                <w:color w:val="000000"/>
                <w:sz w:val="20"/>
                <w:szCs w:val="20"/>
                <w:lang w:val="en-US" w:eastAsia="en-US"/>
              </w:rPr>
            </w:pPr>
            <w:r>
              <w:rPr>
                <w:rFonts w:cs="Arial"/>
                <w:color w:val="000000"/>
                <w:sz w:val="20"/>
                <w:szCs w:val="20"/>
                <w:lang w:val="en-US" w:eastAsia="en-US"/>
              </w:rPr>
              <w:t>Australia</w:t>
            </w:r>
          </w:p>
        </w:tc>
        <w:tc>
          <w:tcPr>
            <w:tcW w:w="1985" w:type="dxa"/>
            <w:tcBorders>
              <w:left w:val="none" w:sz="0" w:space="0" w:color="auto"/>
              <w:right w:val="none" w:sz="0" w:space="0" w:color="auto"/>
            </w:tcBorders>
            <w:shd w:val="clear" w:color="auto" w:fill="D3DFEE"/>
          </w:tcPr>
          <w:p w:rsidR="00621281" w:rsidRPr="00A81C51" w:rsidRDefault="00621281" w:rsidP="00BA5DFB">
            <w:pPr>
              <w:keepNext/>
              <w:keepLines/>
              <w:spacing w:line="240" w:lineRule="atLeas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val="en-US" w:eastAsia="en-US"/>
              </w:rPr>
            </w:pPr>
            <w:r>
              <w:rPr>
                <w:rFonts w:cs="Arial"/>
                <w:color w:val="000000"/>
                <w:sz w:val="20"/>
                <w:szCs w:val="20"/>
                <w:lang w:val="en-US" w:eastAsia="en-US"/>
              </w:rPr>
              <w:t>&lt;4</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tcBorders>
            <w:shd w:val="clear" w:color="auto" w:fill="D3DFEE"/>
          </w:tcPr>
          <w:p w:rsidR="00621281" w:rsidRPr="00A81C51" w:rsidRDefault="00621281" w:rsidP="00BA5DFB">
            <w:pPr>
              <w:keepNext/>
              <w:keepLines/>
              <w:jc w:val="center"/>
              <w:rPr>
                <w:rFonts w:cs="Arial"/>
                <w:color w:val="000000"/>
                <w:sz w:val="20"/>
                <w:szCs w:val="20"/>
                <w:lang w:val="en-US" w:eastAsia="en-US"/>
              </w:rPr>
            </w:pPr>
            <w:r>
              <w:rPr>
                <w:rFonts w:cs="Arial"/>
                <w:color w:val="000000"/>
                <w:sz w:val="20"/>
                <w:szCs w:val="20"/>
                <w:lang w:val="en-US" w:eastAsia="en-US"/>
              </w:rPr>
              <w:t>&lt;0.1</w:t>
            </w:r>
          </w:p>
        </w:tc>
      </w:tr>
      <w:tr w:rsidR="00621281" w:rsidRPr="0042685A" w:rsidTr="0062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right w:val="none" w:sz="0" w:space="0" w:color="auto"/>
            </w:tcBorders>
            <w:shd w:val="clear" w:color="auto" w:fill="auto"/>
          </w:tcPr>
          <w:p w:rsidR="00621281" w:rsidRDefault="00621281" w:rsidP="00BA5DFB">
            <w:pPr>
              <w:keepNext/>
              <w:keepLines/>
            </w:pPr>
            <w:r w:rsidRPr="00476E86">
              <w:rPr>
                <w:rFonts w:cs="Arial"/>
                <w:color w:val="000000"/>
                <w:sz w:val="20"/>
                <w:szCs w:val="20"/>
                <w:lang w:val="en-US" w:eastAsia="en-US"/>
              </w:rPr>
              <w:t>Infant apple puree</w:t>
            </w:r>
          </w:p>
        </w:tc>
        <w:tc>
          <w:tcPr>
            <w:cnfStyle w:val="000010000000" w:firstRow="0" w:lastRow="0" w:firstColumn="0" w:lastColumn="0" w:oddVBand="1" w:evenVBand="0" w:oddHBand="0" w:evenHBand="0" w:firstRowFirstColumn="0" w:firstRowLastColumn="0" w:lastRowFirstColumn="0" w:lastRowLastColumn="0"/>
            <w:tcW w:w="1984" w:type="dxa"/>
            <w:tcBorders>
              <w:left w:val="none" w:sz="0" w:space="0" w:color="auto"/>
              <w:right w:val="none" w:sz="0" w:space="0" w:color="auto"/>
            </w:tcBorders>
            <w:shd w:val="clear" w:color="auto" w:fill="auto"/>
          </w:tcPr>
          <w:p w:rsidR="00621281" w:rsidRDefault="00621281" w:rsidP="00BA5DFB">
            <w:pPr>
              <w:keepNext/>
              <w:keepLines/>
              <w:spacing w:line="240" w:lineRule="atLeast"/>
              <w:rPr>
                <w:rFonts w:cs="Arial"/>
                <w:color w:val="000000"/>
                <w:sz w:val="20"/>
                <w:szCs w:val="20"/>
                <w:lang w:val="en-US" w:eastAsia="en-US"/>
              </w:rPr>
            </w:pPr>
            <w:r>
              <w:rPr>
                <w:rFonts w:cs="Arial"/>
                <w:color w:val="000000"/>
                <w:sz w:val="20"/>
                <w:szCs w:val="20"/>
                <w:lang w:val="en-US" w:eastAsia="en-US"/>
              </w:rPr>
              <w:t>Australia</w:t>
            </w:r>
          </w:p>
        </w:tc>
        <w:tc>
          <w:tcPr>
            <w:tcW w:w="1985" w:type="dxa"/>
            <w:tcBorders>
              <w:left w:val="none" w:sz="0" w:space="0" w:color="auto"/>
              <w:right w:val="none" w:sz="0" w:space="0" w:color="auto"/>
            </w:tcBorders>
            <w:shd w:val="clear" w:color="auto" w:fill="auto"/>
          </w:tcPr>
          <w:p w:rsidR="00621281" w:rsidRPr="00A81C51" w:rsidRDefault="00621281" w:rsidP="00BA5DFB">
            <w:pPr>
              <w:keepNext/>
              <w:keepLines/>
              <w:spacing w:line="240"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en-US" w:eastAsia="en-US"/>
              </w:rPr>
            </w:pPr>
            <w:r>
              <w:rPr>
                <w:rFonts w:cs="Arial"/>
                <w:color w:val="000000"/>
                <w:sz w:val="20"/>
                <w:szCs w:val="20"/>
                <w:lang w:val="en-US" w:eastAsia="en-US"/>
              </w:rPr>
              <w:t>&lt;5</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tcBorders>
            <w:shd w:val="clear" w:color="auto" w:fill="auto"/>
          </w:tcPr>
          <w:p w:rsidR="00621281" w:rsidRPr="00A81C51" w:rsidRDefault="00621281" w:rsidP="00BA5DFB">
            <w:pPr>
              <w:keepNext/>
              <w:keepLines/>
              <w:jc w:val="center"/>
              <w:rPr>
                <w:rFonts w:cs="Arial"/>
                <w:color w:val="000000"/>
                <w:sz w:val="20"/>
                <w:szCs w:val="20"/>
                <w:lang w:val="en-US" w:eastAsia="en-US"/>
              </w:rPr>
            </w:pPr>
            <w:r>
              <w:rPr>
                <w:rFonts w:cs="Arial"/>
                <w:color w:val="000000"/>
                <w:sz w:val="20"/>
                <w:szCs w:val="20"/>
                <w:lang w:val="en-US" w:eastAsia="en-US"/>
              </w:rPr>
              <w:t>0.1</w:t>
            </w:r>
          </w:p>
        </w:tc>
      </w:tr>
      <w:tr w:rsidR="00621281" w:rsidRPr="0042685A" w:rsidTr="006212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right w:val="none" w:sz="0" w:space="0" w:color="auto"/>
            </w:tcBorders>
            <w:shd w:val="clear" w:color="auto" w:fill="D3DFEE"/>
          </w:tcPr>
          <w:p w:rsidR="00621281" w:rsidRDefault="00621281" w:rsidP="00BA5DFB">
            <w:pPr>
              <w:keepNext/>
              <w:keepLines/>
            </w:pPr>
            <w:r w:rsidRPr="00476E86">
              <w:rPr>
                <w:rFonts w:cs="Arial"/>
                <w:color w:val="000000"/>
                <w:sz w:val="20"/>
                <w:szCs w:val="20"/>
                <w:lang w:val="en-US" w:eastAsia="en-US"/>
              </w:rPr>
              <w:t>Infant apple puree</w:t>
            </w:r>
          </w:p>
        </w:tc>
        <w:tc>
          <w:tcPr>
            <w:cnfStyle w:val="000010000000" w:firstRow="0" w:lastRow="0" w:firstColumn="0" w:lastColumn="0" w:oddVBand="1" w:evenVBand="0" w:oddHBand="0" w:evenHBand="0" w:firstRowFirstColumn="0" w:firstRowLastColumn="0" w:lastRowFirstColumn="0" w:lastRowLastColumn="0"/>
            <w:tcW w:w="1984" w:type="dxa"/>
            <w:tcBorders>
              <w:left w:val="none" w:sz="0" w:space="0" w:color="auto"/>
              <w:right w:val="none" w:sz="0" w:space="0" w:color="auto"/>
            </w:tcBorders>
            <w:shd w:val="clear" w:color="auto" w:fill="D3DFEE"/>
          </w:tcPr>
          <w:p w:rsidR="00621281" w:rsidRDefault="00621281" w:rsidP="00BA5DFB">
            <w:pPr>
              <w:keepNext/>
              <w:keepLines/>
              <w:spacing w:line="240" w:lineRule="atLeast"/>
              <w:rPr>
                <w:rFonts w:cs="Arial"/>
                <w:color w:val="000000"/>
                <w:sz w:val="20"/>
                <w:szCs w:val="20"/>
                <w:lang w:val="en-US" w:eastAsia="en-US"/>
              </w:rPr>
            </w:pPr>
            <w:r>
              <w:rPr>
                <w:rFonts w:cs="Arial"/>
                <w:color w:val="000000"/>
                <w:sz w:val="20"/>
                <w:szCs w:val="20"/>
                <w:lang w:val="en-US" w:eastAsia="en-US"/>
              </w:rPr>
              <w:t>Australia</w:t>
            </w:r>
          </w:p>
        </w:tc>
        <w:tc>
          <w:tcPr>
            <w:tcW w:w="1985" w:type="dxa"/>
            <w:tcBorders>
              <w:left w:val="none" w:sz="0" w:space="0" w:color="auto"/>
              <w:right w:val="none" w:sz="0" w:space="0" w:color="auto"/>
            </w:tcBorders>
            <w:shd w:val="clear" w:color="auto" w:fill="D3DFEE"/>
          </w:tcPr>
          <w:p w:rsidR="00621281" w:rsidRPr="00A81C51" w:rsidRDefault="00621281" w:rsidP="00BA5DFB">
            <w:pPr>
              <w:keepNext/>
              <w:keepLines/>
              <w:spacing w:line="240" w:lineRule="atLeas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val="en-US" w:eastAsia="en-US"/>
              </w:rPr>
            </w:pPr>
            <w:r>
              <w:rPr>
                <w:rFonts w:cs="Arial"/>
                <w:color w:val="000000"/>
                <w:sz w:val="20"/>
                <w:szCs w:val="20"/>
                <w:lang w:val="en-US" w:eastAsia="en-US"/>
              </w:rPr>
              <w:t>&lt;5</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tcBorders>
            <w:shd w:val="clear" w:color="auto" w:fill="D3DFEE"/>
          </w:tcPr>
          <w:p w:rsidR="00621281" w:rsidRPr="00A81C51" w:rsidRDefault="00621281" w:rsidP="00BA5DFB">
            <w:pPr>
              <w:keepNext/>
              <w:keepLines/>
              <w:jc w:val="center"/>
              <w:rPr>
                <w:rFonts w:cs="Arial"/>
                <w:color w:val="000000"/>
                <w:sz w:val="20"/>
                <w:szCs w:val="20"/>
                <w:lang w:val="en-US" w:eastAsia="en-US"/>
              </w:rPr>
            </w:pPr>
            <w:r>
              <w:rPr>
                <w:rFonts w:cs="Arial"/>
                <w:color w:val="000000"/>
                <w:sz w:val="20"/>
                <w:szCs w:val="20"/>
                <w:lang w:val="en-US" w:eastAsia="en-US"/>
              </w:rPr>
              <w:t>0.8</w:t>
            </w:r>
          </w:p>
        </w:tc>
      </w:tr>
      <w:tr w:rsidR="00621281" w:rsidRPr="0042685A" w:rsidTr="0062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right w:val="none" w:sz="0" w:space="0" w:color="auto"/>
            </w:tcBorders>
            <w:shd w:val="clear" w:color="auto" w:fill="auto"/>
          </w:tcPr>
          <w:p w:rsidR="00621281" w:rsidRDefault="00621281" w:rsidP="00BA5DFB">
            <w:pPr>
              <w:keepNext/>
              <w:keepLines/>
            </w:pPr>
            <w:r w:rsidRPr="00476E86">
              <w:rPr>
                <w:rFonts w:cs="Arial"/>
                <w:color w:val="000000"/>
                <w:sz w:val="20"/>
                <w:szCs w:val="20"/>
                <w:lang w:val="en-US" w:eastAsia="en-US"/>
              </w:rPr>
              <w:t>Infant apple puree</w:t>
            </w:r>
          </w:p>
        </w:tc>
        <w:tc>
          <w:tcPr>
            <w:cnfStyle w:val="000010000000" w:firstRow="0" w:lastRow="0" w:firstColumn="0" w:lastColumn="0" w:oddVBand="1" w:evenVBand="0" w:oddHBand="0" w:evenHBand="0" w:firstRowFirstColumn="0" w:firstRowLastColumn="0" w:lastRowFirstColumn="0" w:lastRowLastColumn="0"/>
            <w:tcW w:w="1984" w:type="dxa"/>
            <w:tcBorders>
              <w:left w:val="none" w:sz="0" w:space="0" w:color="auto"/>
              <w:right w:val="none" w:sz="0" w:space="0" w:color="auto"/>
            </w:tcBorders>
            <w:shd w:val="clear" w:color="auto" w:fill="auto"/>
          </w:tcPr>
          <w:p w:rsidR="00621281" w:rsidRDefault="00621281" w:rsidP="00BA5DFB">
            <w:pPr>
              <w:keepNext/>
              <w:keepLines/>
              <w:spacing w:line="240" w:lineRule="atLeast"/>
              <w:rPr>
                <w:rFonts w:cs="Arial"/>
                <w:color w:val="000000"/>
                <w:sz w:val="20"/>
                <w:szCs w:val="20"/>
                <w:lang w:val="en-US" w:eastAsia="en-US"/>
              </w:rPr>
            </w:pPr>
            <w:r>
              <w:rPr>
                <w:rFonts w:cs="Arial"/>
                <w:color w:val="000000"/>
                <w:sz w:val="20"/>
                <w:szCs w:val="20"/>
                <w:lang w:val="en-US" w:eastAsia="en-US"/>
              </w:rPr>
              <w:t>Australia</w:t>
            </w:r>
          </w:p>
        </w:tc>
        <w:tc>
          <w:tcPr>
            <w:tcW w:w="1985" w:type="dxa"/>
            <w:tcBorders>
              <w:left w:val="none" w:sz="0" w:space="0" w:color="auto"/>
              <w:right w:val="none" w:sz="0" w:space="0" w:color="auto"/>
            </w:tcBorders>
            <w:shd w:val="clear" w:color="auto" w:fill="auto"/>
          </w:tcPr>
          <w:p w:rsidR="00621281" w:rsidRPr="00A81C51" w:rsidRDefault="00621281" w:rsidP="00BA5DFB">
            <w:pPr>
              <w:keepNext/>
              <w:keepLines/>
              <w:spacing w:line="240"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en-US" w:eastAsia="en-US"/>
              </w:rPr>
            </w:pPr>
            <w:r>
              <w:rPr>
                <w:rFonts w:cs="Arial"/>
                <w:color w:val="000000"/>
                <w:sz w:val="20"/>
                <w:szCs w:val="20"/>
                <w:lang w:val="en-US" w:eastAsia="en-US"/>
              </w:rPr>
              <w:t>&lt;4</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tcBorders>
            <w:shd w:val="clear" w:color="auto" w:fill="auto"/>
          </w:tcPr>
          <w:p w:rsidR="00621281" w:rsidRPr="00A81C51" w:rsidRDefault="00621281" w:rsidP="00BA5DFB">
            <w:pPr>
              <w:keepNext/>
              <w:keepLines/>
              <w:jc w:val="center"/>
              <w:rPr>
                <w:rFonts w:cs="Arial"/>
                <w:color w:val="000000"/>
                <w:sz w:val="20"/>
                <w:szCs w:val="20"/>
                <w:lang w:val="en-US" w:eastAsia="en-US"/>
              </w:rPr>
            </w:pPr>
            <w:r>
              <w:rPr>
                <w:rFonts w:cs="Arial"/>
                <w:color w:val="000000"/>
                <w:sz w:val="20"/>
                <w:szCs w:val="20"/>
                <w:lang w:val="en-US" w:eastAsia="en-US"/>
              </w:rPr>
              <w:t>0.7</w:t>
            </w:r>
          </w:p>
        </w:tc>
      </w:tr>
    </w:tbl>
    <w:p w:rsidR="005B528E" w:rsidRDefault="005B528E" w:rsidP="00BA5DFB">
      <w:pPr>
        <w:keepNext/>
        <w:keepLines/>
        <w:spacing w:line="240" w:lineRule="atLeast"/>
        <w:rPr>
          <w:rFonts w:cs="Arial"/>
          <w:color w:val="000000"/>
          <w:sz w:val="16"/>
          <w:szCs w:val="16"/>
          <w:lang w:val="en-US" w:eastAsia="en-US"/>
        </w:rPr>
      </w:pPr>
      <w:r w:rsidRPr="00EA08D9">
        <w:rPr>
          <w:rFonts w:cs="Arial"/>
          <w:color w:val="000000"/>
          <w:sz w:val="16"/>
          <w:szCs w:val="16"/>
          <w:lang w:val="en-US" w:eastAsia="en-US"/>
        </w:rPr>
        <w:t>*</w:t>
      </w:r>
      <w:r w:rsidR="00EF7E42">
        <w:rPr>
          <w:rFonts w:cs="Arial"/>
          <w:color w:val="000000"/>
          <w:sz w:val="16"/>
          <w:szCs w:val="16"/>
          <w:lang w:val="en-US" w:eastAsia="en-US"/>
        </w:rPr>
        <w:t xml:space="preserve"> </w:t>
      </w:r>
      <w:r w:rsidRPr="00EA08D9">
        <w:rPr>
          <w:rFonts w:cs="Arial"/>
          <w:color w:val="000000"/>
          <w:sz w:val="16"/>
          <w:szCs w:val="16"/>
          <w:lang w:val="en-US" w:eastAsia="en-US"/>
        </w:rPr>
        <w:t>LoD of 2 mg</w:t>
      </w:r>
      <w:r>
        <w:rPr>
          <w:rFonts w:cs="Arial"/>
          <w:color w:val="000000"/>
          <w:sz w:val="16"/>
          <w:szCs w:val="16"/>
          <w:lang w:val="en-US" w:eastAsia="en-US"/>
        </w:rPr>
        <w:t xml:space="preserve"> HCN</w:t>
      </w:r>
      <w:r w:rsidRPr="00EA08D9">
        <w:rPr>
          <w:rFonts w:cs="Arial"/>
          <w:color w:val="000000"/>
          <w:sz w:val="16"/>
          <w:szCs w:val="16"/>
          <w:lang w:val="en-US" w:eastAsia="en-US"/>
        </w:rPr>
        <w:t>/kg for single analyses and 1.5 mg</w:t>
      </w:r>
      <w:r>
        <w:rPr>
          <w:rFonts w:cs="Arial"/>
          <w:color w:val="000000"/>
          <w:sz w:val="16"/>
          <w:szCs w:val="16"/>
          <w:lang w:val="en-US" w:eastAsia="en-US"/>
        </w:rPr>
        <w:t xml:space="preserve"> HCN</w:t>
      </w:r>
      <w:r w:rsidRPr="00EA08D9">
        <w:rPr>
          <w:rFonts w:cs="Arial"/>
          <w:color w:val="000000"/>
          <w:sz w:val="16"/>
          <w:szCs w:val="16"/>
          <w:lang w:val="en-US" w:eastAsia="en-US"/>
        </w:rPr>
        <w:t>/kg for duplicate analyses</w:t>
      </w:r>
      <w:r>
        <w:rPr>
          <w:rFonts w:cs="Arial"/>
          <w:color w:val="000000"/>
          <w:sz w:val="16"/>
          <w:szCs w:val="16"/>
          <w:lang w:val="en-US" w:eastAsia="en-US"/>
        </w:rPr>
        <w:t xml:space="preserve"> for app</w:t>
      </w:r>
      <w:r w:rsidR="00136AF4">
        <w:rPr>
          <w:rFonts w:cs="Arial"/>
          <w:color w:val="000000"/>
          <w:sz w:val="16"/>
          <w:szCs w:val="16"/>
          <w:lang w:val="en-US" w:eastAsia="en-US"/>
        </w:rPr>
        <w:t>le juice and</w:t>
      </w:r>
    </w:p>
    <w:p w:rsidR="005B528E" w:rsidRDefault="00EF7E42" w:rsidP="00BA5DFB">
      <w:pPr>
        <w:keepNext/>
        <w:keepLines/>
        <w:spacing w:line="240" w:lineRule="atLeast"/>
        <w:rPr>
          <w:rFonts w:cs="Arial"/>
          <w:color w:val="000000"/>
          <w:sz w:val="16"/>
          <w:szCs w:val="16"/>
          <w:lang w:val="en-US" w:eastAsia="en-US"/>
        </w:rPr>
      </w:pPr>
      <w:r>
        <w:rPr>
          <w:rFonts w:cs="Arial"/>
          <w:color w:val="000000"/>
          <w:sz w:val="16"/>
          <w:szCs w:val="16"/>
          <w:lang w:val="en-US" w:eastAsia="en-US"/>
        </w:rPr>
        <w:t xml:space="preserve"> </w:t>
      </w:r>
      <w:r w:rsidR="005B528E">
        <w:rPr>
          <w:rFonts w:cs="Arial"/>
          <w:color w:val="000000"/>
          <w:sz w:val="16"/>
          <w:szCs w:val="16"/>
          <w:lang w:val="en-US" w:eastAsia="en-US"/>
        </w:rPr>
        <w:t xml:space="preserve"> LoD of 5</w:t>
      </w:r>
      <w:r w:rsidR="005B528E" w:rsidRPr="00EA08D9">
        <w:rPr>
          <w:rFonts w:cs="Arial"/>
          <w:color w:val="000000"/>
          <w:sz w:val="16"/>
          <w:szCs w:val="16"/>
          <w:lang w:val="en-US" w:eastAsia="en-US"/>
        </w:rPr>
        <w:t xml:space="preserve"> mg</w:t>
      </w:r>
      <w:r w:rsidR="005B528E">
        <w:rPr>
          <w:rFonts w:cs="Arial"/>
          <w:color w:val="000000"/>
          <w:sz w:val="16"/>
          <w:szCs w:val="16"/>
          <w:lang w:val="en-US" w:eastAsia="en-US"/>
        </w:rPr>
        <w:t xml:space="preserve"> HCN</w:t>
      </w:r>
      <w:r w:rsidR="005B528E" w:rsidRPr="00EA08D9">
        <w:rPr>
          <w:rFonts w:cs="Arial"/>
          <w:color w:val="000000"/>
          <w:sz w:val="16"/>
          <w:szCs w:val="16"/>
          <w:lang w:val="en-US" w:eastAsia="en-US"/>
        </w:rPr>
        <w:t xml:space="preserve">/kg for single analyses and </w:t>
      </w:r>
      <w:r w:rsidR="005B528E">
        <w:rPr>
          <w:rFonts w:cs="Arial"/>
          <w:color w:val="000000"/>
          <w:sz w:val="16"/>
          <w:szCs w:val="16"/>
          <w:lang w:val="en-US" w:eastAsia="en-US"/>
        </w:rPr>
        <w:t>4</w:t>
      </w:r>
      <w:r w:rsidR="005B528E" w:rsidRPr="00EA08D9">
        <w:rPr>
          <w:rFonts w:cs="Arial"/>
          <w:color w:val="000000"/>
          <w:sz w:val="16"/>
          <w:szCs w:val="16"/>
          <w:lang w:val="en-US" w:eastAsia="en-US"/>
        </w:rPr>
        <w:t xml:space="preserve"> mg</w:t>
      </w:r>
      <w:r w:rsidR="005B528E">
        <w:rPr>
          <w:rFonts w:cs="Arial"/>
          <w:color w:val="000000"/>
          <w:sz w:val="16"/>
          <w:szCs w:val="16"/>
          <w:lang w:val="en-US" w:eastAsia="en-US"/>
        </w:rPr>
        <w:t xml:space="preserve"> HCN</w:t>
      </w:r>
      <w:r w:rsidR="005B528E" w:rsidRPr="00EA08D9">
        <w:rPr>
          <w:rFonts w:cs="Arial"/>
          <w:color w:val="000000"/>
          <w:sz w:val="16"/>
          <w:szCs w:val="16"/>
          <w:lang w:val="en-US" w:eastAsia="en-US"/>
        </w:rPr>
        <w:t>/kg for duplicate analyses</w:t>
      </w:r>
      <w:r w:rsidR="005B528E">
        <w:rPr>
          <w:rFonts w:cs="Arial"/>
          <w:color w:val="000000"/>
          <w:sz w:val="16"/>
          <w:szCs w:val="16"/>
          <w:lang w:val="en-US" w:eastAsia="en-US"/>
        </w:rPr>
        <w:t xml:space="preserve"> for infant apple puree.</w:t>
      </w:r>
    </w:p>
    <w:p w:rsidR="005B528E" w:rsidRDefault="005B528E" w:rsidP="00BA5DFB">
      <w:pPr>
        <w:keepNext/>
        <w:keepLines/>
        <w:spacing w:line="240" w:lineRule="atLeast"/>
        <w:rPr>
          <w:rFonts w:cs="Arial"/>
          <w:color w:val="000000"/>
          <w:sz w:val="16"/>
          <w:szCs w:val="16"/>
          <w:lang w:val="en-US" w:eastAsia="en-US"/>
        </w:rPr>
      </w:pPr>
      <w:r w:rsidRPr="005B528E">
        <w:rPr>
          <w:rFonts w:cs="Arial"/>
          <w:color w:val="000000"/>
          <w:sz w:val="16"/>
          <w:szCs w:val="16"/>
          <w:vertAlign w:val="superscript"/>
          <w:lang w:val="en-US" w:eastAsia="en-US"/>
        </w:rPr>
        <w:t>#</w:t>
      </w:r>
      <w:r w:rsidR="00EF7E42">
        <w:rPr>
          <w:rFonts w:cs="Arial"/>
          <w:color w:val="000000"/>
          <w:sz w:val="16"/>
          <w:szCs w:val="16"/>
          <w:vertAlign w:val="superscript"/>
          <w:lang w:val="en-US" w:eastAsia="en-US"/>
        </w:rPr>
        <w:t xml:space="preserve"> </w:t>
      </w:r>
      <w:r>
        <w:rPr>
          <w:rFonts w:cs="Arial"/>
          <w:color w:val="000000"/>
          <w:sz w:val="16"/>
          <w:szCs w:val="16"/>
          <w:lang w:val="en-US" w:eastAsia="en-US"/>
        </w:rPr>
        <w:t xml:space="preserve">LoD of 0.06 </w:t>
      </w:r>
      <w:r w:rsidRPr="005B528E">
        <w:rPr>
          <w:rFonts w:cs="Arial"/>
          <w:color w:val="000000"/>
          <w:sz w:val="16"/>
          <w:szCs w:val="16"/>
          <w:lang w:val="en-US" w:eastAsia="en-US"/>
        </w:rPr>
        <w:t>mg</w:t>
      </w:r>
      <w:r>
        <w:rPr>
          <w:rFonts w:cs="Arial"/>
          <w:color w:val="000000"/>
          <w:sz w:val="16"/>
          <w:szCs w:val="16"/>
          <w:lang w:val="en-US" w:eastAsia="en-US"/>
        </w:rPr>
        <w:t xml:space="preserve"> HCN/kg for apple juice</w:t>
      </w:r>
      <w:r w:rsidR="00136AF4">
        <w:rPr>
          <w:rFonts w:cs="Arial"/>
          <w:color w:val="000000"/>
          <w:sz w:val="16"/>
          <w:szCs w:val="16"/>
          <w:lang w:val="en-US" w:eastAsia="en-US"/>
        </w:rPr>
        <w:t xml:space="preserve"> and</w:t>
      </w:r>
    </w:p>
    <w:p w:rsidR="005B528E" w:rsidRPr="005B528E" w:rsidRDefault="00EF7E42" w:rsidP="00BA5DFB">
      <w:pPr>
        <w:keepNext/>
        <w:keepLines/>
        <w:spacing w:line="240" w:lineRule="atLeast"/>
        <w:rPr>
          <w:rFonts w:cs="Arial"/>
          <w:color w:val="000000"/>
          <w:sz w:val="16"/>
          <w:szCs w:val="16"/>
          <w:lang w:val="en-US" w:eastAsia="en-US"/>
        </w:rPr>
      </w:pPr>
      <w:r>
        <w:rPr>
          <w:rFonts w:cs="Arial"/>
          <w:color w:val="000000"/>
          <w:sz w:val="16"/>
          <w:szCs w:val="16"/>
          <w:lang w:val="en-US" w:eastAsia="en-US"/>
        </w:rPr>
        <w:t xml:space="preserve"> </w:t>
      </w:r>
      <w:r w:rsidR="005B528E">
        <w:rPr>
          <w:rFonts w:cs="Arial"/>
          <w:color w:val="000000"/>
          <w:sz w:val="16"/>
          <w:szCs w:val="16"/>
          <w:lang w:val="en-US" w:eastAsia="en-US"/>
        </w:rPr>
        <w:t xml:space="preserve"> LoD of 0.1 </w:t>
      </w:r>
      <w:r w:rsidR="005B528E" w:rsidRPr="005B528E">
        <w:rPr>
          <w:rFonts w:cs="Arial"/>
          <w:color w:val="000000"/>
          <w:sz w:val="16"/>
          <w:szCs w:val="16"/>
          <w:lang w:val="en-US" w:eastAsia="en-US"/>
        </w:rPr>
        <w:t>mg</w:t>
      </w:r>
      <w:r w:rsidR="005B528E">
        <w:rPr>
          <w:rFonts w:cs="Arial"/>
          <w:color w:val="000000"/>
          <w:sz w:val="16"/>
          <w:szCs w:val="16"/>
          <w:lang w:val="en-US" w:eastAsia="en-US"/>
        </w:rPr>
        <w:t xml:space="preserve"> HCN</w:t>
      </w:r>
      <w:r w:rsidR="005B528E" w:rsidRPr="005B528E">
        <w:rPr>
          <w:rFonts w:cs="Arial"/>
          <w:color w:val="000000"/>
          <w:sz w:val="16"/>
          <w:szCs w:val="16"/>
          <w:lang w:val="en-US" w:eastAsia="en-US"/>
        </w:rPr>
        <w:t>/kg</w:t>
      </w:r>
      <w:r w:rsidR="005B528E">
        <w:rPr>
          <w:rFonts w:cs="Arial"/>
          <w:color w:val="000000"/>
          <w:sz w:val="16"/>
          <w:szCs w:val="16"/>
          <w:lang w:val="en-US" w:eastAsia="en-US"/>
        </w:rPr>
        <w:t xml:space="preserve"> for infant apple puree.</w:t>
      </w:r>
    </w:p>
    <w:p w:rsidR="005B528E" w:rsidRPr="005B528E" w:rsidRDefault="005B528E" w:rsidP="00BA5DFB">
      <w:pPr>
        <w:keepNext/>
        <w:keepLines/>
        <w:spacing w:line="240" w:lineRule="atLeast"/>
        <w:rPr>
          <w:rFonts w:cs="Arial"/>
          <w:color w:val="000000"/>
          <w:sz w:val="16"/>
          <w:szCs w:val="16"/>
          <w:lang w:val="en-US" w:eastAsia="en-US"/>
        </w:rPr>
      </w:pPr>
    </w:p>
    <w:p w:rsidR="00F43ACA" w:rsidRDefault="00F43ACA" w:rsidP="00F43ACA">
      <w:pPr>
        <w:pStyle w:val="Heading2"/>
      </w:pPr>
      <w:bookmarkStart w:id="104" w:name="_Toc384293514"/>
      <w:r>
        <w:t>4.5</w:t>
      </w:r>
      <w:r>
        <w:tab/>
        <w:t>Summary of results from Surveys 1-3</w:t>
      </w:r>
      <w:bookmarkEnd w:id="104"/>
    </w:p>
    <w:p w:rsidR="00F43ACA" w:rsidRDefault="00F43ACA" w:rsidP="00F43ACA">
      <w:pPr>
        <w:rPr>
          <w:rFonts w:cs="Arial"/>
          <w:szCs w:val="22"/>
        </w:rPr>
      </w:pPr>
    </w:p>
    <w:p w:rsidR="00781452" w:rsidRDefault="0031022B" w:rsidP="00781452">
      <w:pPr>
        <w:rPr>
          <w:rFonts w:cs="Arial"/>
          <w:szCs w:val="22"/>
        </w:rPr>
      </w:pPr>
      <w:r w:rsidRPr="0031022B">
        <w:rPr>
          <w:rFonts w:cs="Arial"/>
          <w:szCs w:val="22"/>
        </w:rPr>
        <w:t xml:space="preserve">The </w:t>
      </w:r>
      <w:r>
        <w:rPr>
          <w:rFonts w:cs="Arial"/>
          <w:szCs w:val="22"/>
        </w:rPr>
        <w:t xml:space="preserve">results of the </w:t>
      </w:r>
      <w:r w:rsidRPr="0031022B">
        <w:rPr>
          <w:rFonts w:cs="Arial"/>
          <w:szCs w:val="22"/>
        </w:rPr>
        <w:t xml:space="preserve">survey </w:t>
      </w:r>
      <w:r>
        <w:rPr>
          <w:rFonts w:cs="Arial"/>
          <w:szCs w:val="22"/>
        </w:rPr>
        <w:t xml:space="preserve">indicate </w:t>
      </w:r>
      <w:r w:rsidRPr="0031022B">
        <w:rPr>
          <w:rFonts w:cs="Arial"/>
          <w:szCs w:val="22"/>
        </w:rPr>
        <w:t xml:space="preserve">that cyanogenic glycosides are present in a wide range of Australian and New Zealand plant-based foods, at levels that </w:t>
      </w:r>
      <w:r>
        <w:rPr>
          <w:rFonts w:cs="Arial"/>
          <w:szCs w:val="22"/>
        </w:rPr>
        <w:t xml:space="preserve">are </w:t>
      </w:r>
      <w:r w:rsidRPr="0031022B">
        <w:rPr>
          <w:rFonts w:cs="Arial"/>
          <w:szCs w:val="22"/>
        </w:rPr>
        <w:t>consistent with</w:t>
      </w:r>
      <w:r w:rsidR="007A6346">
        <w:rPr>
          <w:rFonts w:cs="Arial"/>
          <w:szCs w:val="22"/>
        </w:rPr>
        <w:t>,</w:t>
      </w:r>
      <w:r w:rsidRPr="0031022B">
        <w:rPr>
          <w:rFonts w:cs="Arial"/>
          <w:szCs w:val="22"/>
        </w:rPr>
        <w:t xml:space="preserve"> or lower than</w:t>
      </w:r>
      <w:r w:rsidR="007A6346">
        <w:rPr>
          <w:rFonts w:cs="Arial"/>
          <w:szCs w:val="22"/>
        </w:rPr>
        <w:t>,</w:t>
      </w:r>
      <w:r w:rsidRPr="0031022B">
        <w:rPr>
          <w:rFonts w:cs="Arial"/>
          <w:szCs w:val="22"/>
        </w:rPr>
        <w:t xml:space="preserve"> those reported in the scientific literature</w:t>
      </w:r>
      <w:r w:rsidR="00781452">
        <w:rPr>
          <w:rFonts w:cs="Arial"/>
          <w:szCs w:val="22"/>
        </w:rPr>
        <w:t xml:space="preserve">. Raw apricot kernels with skin contained HCN concentrations that were substantially higher than those without skin and indeed substantially higher than any other food analysed. </w:t>
      </w:r>
      <w:r w:rsidR="00C73DEA" w:rsidRPr="00C73DEA">
        <w:rPr>
          <w:rFonts w:cs="Arial"/>
          <w:szCs w:val="22"/>
        </w:rPr>
        <w:t xml:space="preserve">Other foods with relatively high levels of HCN included cassava roots, bamboo shoots, linseeds </w:t>
      </w:r>
      <w:r w:rsidR="000061A7">
        <w:rPr>
          <w:rFonts w:cs="Arial"/>
          <w:szCs w:val="22"/>
        </w:rPr>
        <w:t xml:space="preserve">(including LSA) </w:t>
      </w:r>
      <w:r w:rsidR="00C73DEA" w:rsidRPr="00C73DEA">
        <w:rPr>
          <w:rFonts w:cs="Arial"/>
          <w:szCs w:val="22"/>
        </w:rPr>
        <w:t>and bread containing linseed.</w:t>
      </w:r>
      <w:r w:rsidR="00C73DEA">
        <w:rPr>
          <w:rFonts w:cs="Arial"/>
          <w:szCs w:val="22"/>
        </w:rPr>
        <w:t xml:space="preserve"> </w:t>
      </w:r>
      <w:r w:rsidR="000061A7">
        <w:rPr>
          <w:rFonts w:cs="Arial"/>
          <w:szCs w:val="22"/>
        </w:rPr>
        <w:t>Many</w:t>
      </w:r>
      <w:r w:rsidR="00C73DEA">
        <w:rPr>
          <w:rFonts w:cs="Arial"/>
          <w:szCs w:val="22"/>
        </w:rPr>
        <w:t xml:space="preserve"> of the remaining foods analysed were found to occasionally contain measurable amounts of HCN, but at lower levels. </w:t>
      </w:r>
    </w:p>
    <w:p w:rsidR="00781452" w:rsidRDefault="00781452" w:rsidP="0031022B">
      <w:pPr>
        <w:rPr>
          <w:rFonts w:cs="Arial"/>
          <w:szCs w:val="22"/>
        </w:rPr>
      </w:pPr>
    </w:p>
    <w:p w:rsidR="0031022B" w:rsidRPr="0031022B" w:rsidRDefault="00781452" w:rsidP="0031022B">
      <w:pPr>
        <w:rPr>
          <w:rFonts w:cs="Arial"/>
          <w:szCs w:val="22"/>
        </w:rPr>
      </w:pPr>
      <w:r>
        <w:rPr>
          <w:rFonts w:cs="Arial"/>
          <w:szCs w:val="22"/>
        </w:rPr>
        <w:t xml:space="preserve">The survey also identified that the HCN levels detected in the analysed foods were </w:t>
      </w:r>
      <w:r w:rsidR="0031022B">
        <w:rPr>
          <w:rFonts w:cs="Arial"/>
          <w:szCs w:val="22"/>
        </w:rPr>
        <w:t>within the regulatory limits for HCN (where such regulatory limits exist) in all but two cases</w:t>
      </w:r>
      <w:r w:rsidR="0031022B" w:rsidRPr="0031022B">
        <w:rPr>
          <w:rFonts w:cs="Arial"/>
          <w:szCs w:val="22"/>
        </w:rPr>
        <w:t>.</w:t>
      </w:r>
      <w:r>
        <w:rPr>
          <w:rFonts w:cs="Arial"/>
          <w:szCs w:val="22"/>
        </w:rPr>
        <w:t xml:space="preserve"> </w:t>
      </w:r>
      <w:r w:rsidR="0031022B" w:rsidRPr="0031022B">
        <w:rPr>
          <w:rFonts w:cs="Arial"/>
          <w:szCs w:val="22"/>
        </w:rPr>
        <w:t xml:space="preserve">In the case of cassava roots, one sample contained greater than the 50 mg HCN/kg limit that defines </w:t>
      </w:r>
      <w:r w:rsidR="000061A7">
        <w:rPr>
          <w:rFonts w:cs="Arial"/>
          <w:szCs w:val="22"/>
        </w:rPr>
        <w:t>‘sweet cassava’ permitted for sale in Australia and New Zealand.</w:t>
      </w:r>
      <w:r w:rsidR="0031022B" w:rsidRPr="0031022B">
        <w:rPr>
          <w:rFonts w:cs="Arial"/>
          <w:szCs w:val="22"/>
        </w:rPr>
        <w:t xml:space="preserve"> </w:t>
      </w:r>
      <w:r>
        <w:rPr>
          <w:rFonts w:cs="Arial"/>
          <w:szCs w:val="22"/>
        </w:rPr>
        <w:t>O</w:t>
      </w:r>
      <w:r w:rsidR="0031022B" w:rsidRPr="0031022B">
        <w:rPr>
          <w:rFonts w:cs="Arial"/>
          <w:szCs w:val="22"/>
        </w:rPr>
        <w:t xml:space="preserve">ne sample of apricot </w:t>
      </w:r>
      <w:r w:rsidR="0031022B" w:rsidRPr="0031022B">
        <w:rPr>
          <w:rFonts w:cs="Arial"/>
          <w:szCs w:val="22"/>
        </w:rPr>
        <w:lastRenderedPageBreak/>
        <w:t xml:space="preserve">nectar did not comply with the current Maximum Level (ML) of 5 mg HCN/kg permitted in stone fruit juices. </w:t>
      </w:r>
    </w:p>
    <w:p w:rsidR="0031022B" w:rsidRDefault="0031022B" w:rsidP="00F43ACA">
      <w:pPr>
        <w:rPr>
          <w:rFonts w:cs="Arial"/>
          <w:szCs w:val="22"/>
        </w:rPr>
      </w:pPr>
    </w:p>
    <w:p w:rsidR="00E8674B" w:rsidRDefault="00E8674B" w:rsidP="00BA5DFB">
      <w:pPr>
        <w:keepNext/>
        <w:keepLines/>
        <w:spacing w:after="200" w:line="276" w:lineRule="auto"/>
        <w:rPr>
          <w:rFonts w:cs="Arial"/>
          <w:b/>
          <w:bCs/>
          <w:szCs w:val="22"/>
        </w:rPr>
      </w:pPr>
      <w:r>
        <w:rPr>
          <w:rFonts w:cs="Arial"/>
          <w:szCs w:val="22"/>
        </w:rPr>
        <w:br w:type="page"/>
      </w:r>
    </w:p>
    <w:p w:rsidR="00EE4365" w:rsidRPr="00437377" w:rsidRDefault="00C66C9D" w:rsidP="00E8674B">
      <w:pPr>
        <w:pStyle w:val="Heading1"/>
        <w:numPr>
          <w:ilvl w:val="0"/>
          <w:numId w:val="22"/>
        </w:numPr>
        <w:ind w:hanging="720"/>
      </w:pPr>
      <w:bookmarkStart w:id="105" w:name="_Toc367957650"/>
      <w:bookmarkStart w:id="106" w:name="_Toc367957743"/>
      <w:bookmarkStart w:id="107" w:name="_Toc384293515"/>
      <w:r w:rsidRPr="00437377">
        <w:lastRenderedPageBreak/>
        <w:t>HUMAN HEALTH SIGNIFICANCE OF SURVEY RESULTS</w:t>
      </w:r>
      <w:bookmarkEnd w:id="96"/>
      <w:bookmarkEnd w:id="97"/>
      <w:bookmarkEnd w:id="98"/>
      <w:bookmarkEnd w:id="99"/>
      <w:bookmarkEnd w:id="105"/>
      <w:bookmarkEnd w:id="106"/>
      <w:bookmarkEnd w:id="107"/>
    </w:p>
    <w:p w:rsidR="00EE4365" w:rsidRDefault="00EE4365" w:rsidP="00EE4365">
      <w:pPr>
        <w:rPr>
          <w:rFonts w:cs="Arial"/>
          <w:szCs w:val="22"/>
        </w:rPr>
      </w:pPr>
    </w:p>
    <w:p w:rsidR="00E912BE" w:rsidRDefault="00D50796" w:rsidP="00621281">
      <w:pPr>
        <w:rPr>
          <w:rFonts w:cs="Arial"/>
          <w:szCs w:val="22"/>
          <w:lang w:val="en-GB"/>
        </w:rPr>
      </w:pPr>
      <w:r>
        <w:rPr>
          <w:rFonts w:cs="Arial"/>
          <w:szCs w:val="22"/>
        </w:rPr>
        <w:t xml:space="preserve">A </w:t>
      </w:r>
      <w:r w:rsidR="00E912BE">
        <w:rPr>
          <w:rFonts w:cs="Arial"/>
          <w:szCs w:val="22"/>
        </w:rPr>
        <w:t>risk assessment was undertaken based on the results of the ISFR survey to determine</w:t>
      </w:r>
      <w:r w:rsidR="00621281">
        <w:rPr>
          <w:rFonts w:cs="Arial"/>
          <w:szCs w:val="22"/>
        </w:rPr>
        <w:t xml:space="preserve"> if</w:t>
      </w:r>
      <w:r w:rsidR="00E912BE" w:rsidRPr="00E912BE">
        <w:rPr>
          <w:rFonts w:cs="Arial"/>
          <w:szCs w:val="22"/>
          <w:lang w:val="en-GB"/>
        </w:rPr>
        <w:t xml:space="preserve"> there were any public health and safety issues from consuming foods with the concentrations of </w:t>
      </w:r>
      <w:r w:rsidR="002A6C9A">
        <w:rPr>
          <w:rFonts w:cs="Arial"/>
          <w:szCs w:val="22"/>
          <w:lang w:val="en-GB"/>
        </w:rPr>
        <w:t xml:space="preserve">total </w:t>
      </w:r>
      <w:r w:rsidR="008405AF">
        <w:rPr>
          <w:rFonts w:cs="Arial"/>
          <w:szCs w:val="22"/>
          <w:lang w:val="en-GB"/>
        </w:rPr>
        <w:t>HCN determined in Surveys 1-3</w:t>
      </w:r>
      <w:r w:rsidR="002F6FA0">
        <w:rPr>
          <w:rFonts w:cs="Arial"/>
          <w:szCs w:val="22"/>
          <w:lang w:val="en-GB"/>
        </w:rPr>
        <w:t>.</w:t>
      </w:r>
      <w:r w:rsidR="00E912BE" w:rsidRPr="00E912BE">
        <w:rPr>
          <w:rFonts w:cs="Arial"/>
          <w:szCs w:val="22"/>
          <w:lang w:val="en-GB"/>
        </w:rPr>
        <w:t xml:space="preserve"> </w:t>
      </w:r>
    </w:p>
    <w:p w:rsidR="00E912BE" w:rsidRDefault="00E912BE" w:rsidP="00900D1D">
      <w:pPr>
        <w:rPr>
          <w:rFonts w:cs="Arial"/>
          <w:szCs w:val="22"/>
        </w:rPr>
      </w:pPr>
    </w:p>
    <w:p w:rsidR="00E912BE" w:rsidRPr="005A1D59" w:rsidRDefault="002A6C9A" w:rsidP="00710641">
      <w:pPr>
        <w:pStyle w:val="Heading2"/>
      </w:pPr>
      <w:bookmarkStart w:id="108" w:name="_Toc360111829"/>
      <w:bookmarkStart w:id="109" w:name="_Toc367957744"/>
      <w:bookmarkStart w:id="110" w:name="_Toc384293516"/>
      <w:r w:rsidRPr="005A1D59">
        <w:t>5.1</w:t>
      </w:r>
      <w:r w:rsidRPr="005A1D59">
        <w:tab/>
      </w:r>
      <w:r w:rsidR="00E912BE" w:rsidRPr="005A1D59">
        <w:t>Hazard Assessment</w:t>
      </w:r>
      <w:bookmarkEnd w:id="108"/>
      <w:bookmarkEnd w:id="109"/>
      <w:bookmarkEnd w:id="110"/>
    </w:p>
    <w:p w:rsidR="00E40735" w:rsidRDefault="00E40735" w:rsidP="00E40735">
      <w:pPr>
        <w:rPr>
          <w:rFonts w:cs="Arial"/>
          <w:szCs w:val="22"/>
        </w:rPr>
      </w:pPr>
    </w:p>
    <w:p w:rsidR="00E912BE" w:rsidRPr="00E912BE" w:rsidRDefault="00906738" w:rsidP="00E912BE">
      <w:pPr>
        <w:rPr>
          <w:rFonts w:cs="Arial"/>
          <w:szCs w:val="22"/>
        </w:rPr>
      </w:pPr>
      <w:r w:rsidRPr="007477F3">
        <w:rPr>
          <w:rFonts w:cs="Arial"/>
          <w:szCs w:val="22"/>
        </w:rPr>
        <w:t xml:space="preserve">In 2008 </w:t>
      </w:r>
      <w:r w:rsidR="00E912BE" w:rsidRPr="007477F3">
        <w:rPr>
          <w:rFonts w:cs="Arial"/>
          <w:szCs w:val="22"/>
        </w:rPr>
        <w:t xml:space="preserve">FSANZ completed a comprehensive hazard assessment on </w:t>
      </w:r>
      <w:r w:rsidR="007477F3">
        <w:rPr>
          <w:rFonts w:cs="Arial"/>
          <w:szCs w:val="22"/>
        </w:rPr>
        <w:t>t</w:t>
      </w:r>
      <w:r w:rsidR="0007766B" w:rsidRPr="007477F3">
        <w:rPr>
          <w:rFonts w:cs="Arial"/>
          <w:szCs w:val="22"/>
        </w:rPr>
        <w:t xml:space="preserve">he cyanogenic glycoside linamarin </w:t>
      </w:r>
      <w:r w:rsidR="00AD576E" w:rsidRPr="007477F3">
        <w:rPr>
          <w:rFonts w:cs="Arial"/>
          <w:szCs w:val="22"/>
        </w:rPr>
        <w:t xml:space="preserve">(the predominant cyanogenic glycoside in cassava) </w:t>
      </w:r>
      <w:r w:rsidR="003D32CF" w:rsidRPr="007477F3">
        <w:rPr>
          <w:rFonts w:cs="Arial"/>
          <w:szCs w:val="22"/>
        </w:rPr>
        <w:t>a</w:t>
      </w:r>
      <w:r w:rsidR="003D32CF">
        <w:rPr>
          <w:rFonts w:cs="Arial"/>
          <w:szCs w:val="22"/>
        </w:rPr>
        <w:t xml:space="preserve">s part of </w:t>
      </w:r>
      <w:r w:rsidR="00E912BE" w:rsidRPr="00E912BE">
        <w:rPr>
          <w:rFonts w:cs="Arial"/>
          <w:szCs w:val="22"/>
        </w:rPr>
        <w:t xml:space="preserve">Proposal P1002. FSANZ established an ARfD based on the no-observed-adverse-effect level (NOAEL) of 70 mg/kg </w:t>
      </w:r>
      <w:r w:rsidR="00E40735">
        <w:rPr>
          <w:rFonts w:cs="Arial"/>
          <w:szCs w:val="22"/>
        </w:rPr>
        <w:t>body weight (</w:t>
      </w:r>
      <w:r w:rsidR="00E912BE" w:rsidRPr="00E912BE">
        <w:rPr>
          <w:rFonts w:cs="Arial"/>
          <w:szCs w:val="22"/>
        </w:rPr>
        <w:t>bw</w:t>
      </w:r>
      <w:r w:rsidR="00E40735">
        <w:rPr>
          <w:rFonts w:cs="Arial"/>
          <w:szCs w:val="22"/>
        </w:rPr>
        <w:t>)</w:t>
      </w:r>
      <w:r w:rsidR="00E912BE" w:rsidRPr="00E912BE">
        <w:rPr>
          <w:rFonts w:cs="Arial"/>
          <w:szCs w:val="22"/>
        </w:rPr>
        <w:t xml:space="preserve"> </w:t>
      </w:r>
      <w:r w:rsidR="00F77D76">
        <w:rPr>
          <w:rFonts w:cs="Arial"/>
          <w:szCs w:val="22"/>
        </w:rPr>
        <w:t xml:space="preserve">for clinical signs in hamster dams </w:t>
      </w:r>
      <w:r w:rsidR="00E912BE" w:rsidRPr="00E912BE">
        <w:rPr>
          <w:rFonts w:cs="Arial"/>
          <w:szCs w:val="22"/>
        </w:rPr>
        <w:t>in a developmental toxicity study following a single dose of linamarin</w:t>
      </w:r>
      <w:r w:rsidR="00AD576E">
        <w:rPr>
          <w:rFonts w:cs="Arial"/>
          <w:szCs w:val="22"/>
        </w:rPr>
        <w:t>.</w:t>
      </w:r>
      <w:r w:rsidR="00E912BE" w:rsidRPr="00E912BE">
        <w:rPr>
          <w:rFonts w:cs="Arial"/>
          <w:szCs w:val="22"/>
        </w:rPr>
        <w:t xml:space="preserve"> Application of a 100-fold </w:t>
      </w:r>
      <w:r w:rsidR="00967F5E">
        <w:rPr>
          <w:rFonts w:cs="Arial"/>
          <w:szCs w:val="22"/>
        </w:rPr>
        <w:t>uncertainty factor</w:t>
      </w:r>
      <w:r w:rsidR="00E912BE" w:rsidRPr="00E912BE">
        <w:rPr>
          <w:rFonts w:cs="Arial"/>
          <w:szCs w:val="22"/>
        </w:rPr>
        <w:t xml:space="preserve"> to this NOAEL </w:t>
      </w:r>
      <w:r w:rsidR="00F77D76">
        <w:rPr>
          <w:rFonts w:cs="Arial"/>
          <w:szCs w:val="22"/>
        </w:rPr>
        <w:t>to enable</w:t>
      </w:r>
      <w:r w:rsidR="00967F5E">
        <w:rPr>
          <w:rFonts w:cs="Arial"/>
          <w:szCs w:val="22"/>
        </w:rPr>
        <w:t xml:space="preserve"> extrapolati</w:t>
      </w:r>
      <w:r w:rsidR="00F77D76">
        <w:rPr>
          <w:rFonts w:cs="Arial"/>
          <w:szCs w:val="22"/>
        </w:rPr>
        <w:t>on</w:t>
      </w:r>
      <w:r w:rsidR="00967F5E">
        <w:rPr>
          <w:rFonts w:cs="Arial"/>
          <w:szCs w:val="22"/>
        </w:rPr>
        <w:t xml:space="preserve"> to humans </w:t>
      </w:r>
      <w:r w:rsidR="00E912BE" w:rsidRPr="00E912BE">
        <w:rPr>
          <w:rFonts w:cs="Arial"/>
          <w:szCs w:val="22"/>
        </w:rPr>
        <w:t xml:space="preserve">gave an ARfD for linamarin of 0.7 mg/kg bw. The </w:t>
      </w:r>
      <w:r w:rsidR="00967F5E">
        <w:rPr>
          <w:rFonts w:cs="Arial"/>
          <w:szCs w:val="22"/>
        </w:rPr>
        <w:t xml:space="preserve">linamarin units </w:t>
      </w:r>
      <w:r w:rsidR="00E912BE" w:rsidRPr="00E912BE">
        <w:rPr>
          <w:rFonts w:cs="Arial"/>
          <w:szCs w:val="22"/>
        </w:rPr>
        <w:t xml:space="preserve">of this ARfD </w:t>
      </w:r>
      <w:r w:rsidR="00967F5E">
        <w:rPr>
          <w:rFonts w:cs="Arial"/>
          <w:szCs w:val="22"/>
        </w:rPr>
        <w:t xml:space="preserve">were converted </w:t>
      </w:r>
      <w:r w:rsidR="00E912BE" w:rsidRPr="00E912BE">
        <w:rPr>
          <w:rFonts w:cs="Arial"/>
          <w:szCs w:val="22"/>
        </w:rPr>
        <w:t>to total HCN</w:t>
      </w:r>
      <w:r w:rsidR="009512CE">
        <w:rPr>
          <w:rFonts w:ascii="Times New Roman" w:hAnsi="Times New Roman"/>
          <w:szCs w:val="22"/>
        </w:rPr>
        <w:t>—</w:t>
      </w:r>
      <w:r w:rsidR="00967F5E">
        <w:rPr>
          <w:rFonts w:cs="Arial"/>
          <w:szCs w:val="22"/>
        </w:rPr>
        <w:t>the actual compound measured in analytical assays. T</w:t>
      </w:r>
      <w:r w:rsidR="00E912BE" w:rsidRPr="00E912BE">
        <w:rPr>
          <w:rFonts w:cs="Arial"/>
          <w:szCs w:val="22"/>
        </w:rPr>
        <w:t>he ARfD was calculated to be equivalent to 80 µ</w:t>
      </w:r>
      <w:r w:rsidR="00E40735">
        <w:rPr>
          <w:rFonts w:cs="Arial"/>
          <w:szCs w:val="22"/>
        </w:rPr>
        <w:t>g</w:t>
      </w:r>
      <w:r w:rsidR="00CF2F9A">
        <w:rPr>
          <w:rFonts w:cs="Arial"/>
          <w:szCs w:val="22"/>
        </w:rPr>
        <w:t xml:space="preserve"> HCN</w:t>
      </w:r>
      <w:r w:rsidR="00E912BE" w:rsidRPr="00E912BE">
        <w:rPr>
          <w:rFonts w:cs="Arial"/>
          <w:szCs w:val="22"/>
        </w:rPr>
        <w:t>/kg bw</w:t>
      </w:r>
      <w:r w:rsidR="0014633A">
        <w:rPr>
          <w:rFonts w:cs="Arial"/>
          <w:szCs w:val="22"/>
        </w:rPr>
        <w:t xml:space="preserve"> (FSANZ, 2008b)</w:t>
      </w:r>
      <w:r w:rsidR="00E912BE" w:rsidRPr="00E912BE">
        <w:rPr>
          <w:rFonts w:cs="Arial"/>
          <w:szCs w:val="22"/>
        </w:rPr>
        <w:t>. FSANZ did not est</w:t>
      </w:r>
      <w:r w:rsidR="00F77D76">
        <w:rPr>
          <w:rFonts w:cs="Arial"/>
          <w:szCs w:val="22"/>
        </w:rPr>
        <w:t>ablish</w:t>
      </w:r>
      <w:r w:rsidR="00E912BE" w:rsidRPr="00E912BE">
        <w:rPr>
          <w:rFonts w:cs="Arial"/>
          <w:szCs w:val="22"/>
        </w:rPr>
        <w:t xml:space="preserve"> a tolerable daily intake for humans (for chronic risk assessment purposes) due to a paucity of suitable data. However, it was noted that there was no available evidence in adequately nourished humans to show that chronic intake of cyanogenic glycosides causes a cumulative hazard above that of repeated acute toxicity.</w:t>
      </w:r>
    </w:p>
    <w:p w:rsidR="003D32CF" w:rsidRDefault="003D32CF" w:rsidP="00E912BE">
      <w:pPr>
        <w:rPr>
          <w:rFonts w:cs="Arial"/>
          <w:szCs w:val="22"/>
        </w:rPr>
      </w:pPr>
    </w:p>
    <w:p w:rsidR="00D85A57" w:rsidRDefault="00963018" w:rsidP="00E912BE">
      <w:pPr>
        <w:rPr>
          <w:rFonts w:cs="Arial"/>
          <w:szCs w:val="22"/>
        </w:rPr>
      </w:pPr>
      <w:r>
        <w:rPr>
          <w:rFonts w:cs="Arial"/>
          <w:szCs w:val="22"/>
        </w:rPr>
        <w:t>I</w:t>
      </w:r>
      <w:r w:rsidR="00E912BE" w:rsidRPr="00E912BE">
        <w:rPr>
          <w:rFonts w:cs="Arial"/>
          <w:szCs w:val="22"/>
        </w:rPr>
        <w:t xml:space="preserve">n 2011, JECFA </w:t>
      </w:r>
      <w:r w:rsidR="00E40735">
        <w:rPr>
          <w:rFonts w:cs="Arial"/>
          <w:szCs w:val="22"/>
        </w:rPr>
        <w:t>re-</w:t>
      </w:r>
      <w:r w:rsidR="00E912BE" w:rsidRPr="00E912BE">
        <w:rPr>
          <w:rFonts w:cs="Arial"/>
          <w:szCs w:val="22"/>
        </w:rPr>
        <w:t>evalu</w:t>
      </w:r>
      <w:r w:rsidR="00E40735">
        <w:rPr>
          <w:rFonts w:cs="Arial"/>
          <w:szCs w:val="22"/>
        </w:rPr>
        <w:t xml:space="preserve">ated </w:t>
      </w:r>
      <w:r w:rsidRPr="003D32CF">
        <w:rPr>
          <w:rFonts w:cs="Arial"/>
          <w:szCs w:val="22"/>
        </w:rPr>
        <w:t>the public health implications of cyanogenic glycosides and their derivatives in food</w:t>
      </w:r>
      <w:r w:rsidR="00E912BE" w:rsidRPr="00E912BE">
        <w:rPr>
          <w:rFonts w:cs="Arial"/>
          <w:szCs w:val="22"/>
        </w:rPr>
        <w:t xml:space="preserve">. Benchmark dose (BMD) modelling was performed on dose-response data from the same study used </w:t>
      </w:r>
      <w:r w:rsidR="00761877">
        <w:rPr>
          <w:rFonts w:cs="Arial"/>
          <w:szCs w:val="22"/>
        </w:rPr>
        <w:t xml:space="preserve">by </w:t>
      </w:r>
      <w:r w:rsidR="00E912BE" w:rsidRPr="00E912BE">
        <w:rPr>
          <w:rFonts w:cs="Arial"/>
          <w:szCs w:val="22"/>
        </w:rPr>
        <w:t xml:space="preserve">FSANZ </w:t>
      </w:r>
      <w:r w:rsidR="00761877">
        <w:rPr>
          <w:rFonts w:cs="Arial"/>
          <w:szCs w:val="22"/>
        </w:rPr>
        <w:t xml:space="preserve">to establish its </w:t>
      </w:r>
      <w:r w:rsidR="00E912BE" w:rsidRPr="00E912BE">
        <w:rPr>
          <w:rFonts w:cs="Arial"/>
          <w:szCs w:val="22"/>
        </w:rPr>
        <w:t xml:space="preserve">ARfD. </w:t>
      </w:r>
      <w:r w:rsidR="00967F5E">
        <w:rPr>
          <w:rFonts w:cs="Arial"/>
          <w:szCs w:val="22"/>
        </w:rPr>
        <w:t xml:space="preserve">However, </w:t>
      </w:r>
      <w:r w:rsidR="00F77D76">
        <w:rPr>
          <w:rFonts w:cs="Arial"/>
          <w:szCs w:val="22"/>
        </w:rPr>
        <w:t xml:space="preserve">in contrast to FSANZ, </w:t>
      </w:r>
      <w:r w:rsidR="00967F5E">
        <w:rPr>
          <w:rFonts w:cs="Arial"/>
          <w:szCs w:val="22"/>
        </w:rPr>
        <w:t>JECFA used a secondary toxicological endpoint</w:t>
      </w:r>
      <w:r w:rsidR="00F77D76">
        <w:rPr>
          <w:rFonts w:cs="Arial"/>
          <w:szCs w:val="22"/>
        </w:rPr>
        <w:t>, namely skeletal defects in the fetuses of dams who exhibited clinical signs of toxicity.</w:t>
      </w:r>
      <w:r w:rsidR="00967F5E">
        <w:rPr>
          <w:rFonts w:cs="Arial"/>
          <w:szCs w:val="22"/>
        </w:rPr>
        <w:t xml:space="preserve"> </w:t>
      </w:r>
      <w:r w:rsidR="00E912BE" w:rsidRPr="00E912BE">
        <w:rPr>
          <w:rFonts w:cs="Arial"/>
          <w:szCs w:val="22"/>
        </w:rPr>
        <w:t xml:space="preserve">The lower limit of the BMD for a 10% response (BMDL10) for linamarin was 85 mg/kg </w:t>
      </w:r>
      <w:r w:rsidR="00E40735">
        <w:rPr>
          <w:rFonts w:cs="Arial"/>
          <w:szCs w:val="22"/>
        </w:rPr>
        <w:t>bw</w:t>
      </w:r>
      <w:r w:rsidR="00E912BE" w:rsidRPr="00E912BE">
        <w:rPr>
          <w:rFonts w:cs="Arial"/>
          <w:szCs w:val="22"/>
        </w:rPr>
        <w:t xml:space="preserve"> for </w:t>
      </w:r>
      <w:r w:rsidR="007B054F">
        <w:rPr>
          <w:rFonts w:cs="Arial"/>
          <w:szCs w:val="22"/>
        </w:rPr>
        <w:t xml:space="preserve">an </w:t>
      </w:r>
      <w:r w:rsidR="00E912BE" w:rsidRPr="00E912BE">
        <w:rPr>
          <w:rFonts w:cs="Arial"/>
          <w:szCs w:val="22"/>
        </w:rPr>
        <w:t xml:space="preserve">increased </w:t>
      </w:r>
      <w:r w:rsidR="007B054F">
        <w:rPr>
          <w:rFonts w:cs="Arial"/>
          <w:szCs w:val="22"/>
        </w:rPr>
        <w:t xml:space="preserve">incidence of </w:t>
      </w:r>
      <w:r w:rsidR="00E912BE" w:rsidRPr="00E912BE">
        <w:rPr>
          <w:rFonts w:cs="Arial"/>
          <w:szCs w:val="22"/>
        </w:rPr>
        <w:t xml:space="preserve">skeletal defects in developing hamster fetuses following acute exposure of maternal animals. Application of a 100-fold </w:t>
      </w:r>
      <w:r w:rsidR="00F77D76">
        <w:rPr>
          <w:rFonts w:cs="Arial"/>
          <w:szCs w:val="22"/>
        </w:rPr>
        <w:t xml:space="preserve">uncertainty </w:t>
      </w:r>
      <w:r w:rsidR="00E912BE" w:rsidRPr="00E912BE">
        <w:rPr>
          <w:rFonts w:cs="Arial"/>
          <w:szCs w:val="22"/>
        </w:rPr>
        <w:t>factor established an ARfD for linamarin of 0.</w:t>
      </w:r>
      <w:r w:rsidR="00AF126A">
        <w:rPr>
          <w:rFonts w:cs="Arial"/>
          <w:szCs w:val="22"/>
        </w:rPr>
        <w:t>0</w:t>
      </w:r>
      <w:r w:rsidR="00E912BE" w:rsidRPr="00E912BE">
        <w:rPr>
          <w:rFonts w:cs="Arial"/>
          <w:szCs w:val="22"/>
        </w:rPr>
        <w:t xml:space="preserve">9 mg/kg </w:t>
      </w:r>
      <w:r w:rsidR="00E40735">
        <w:rPr>
          <w:rFonts w:cs="Arial"/>
          <w:szCs w:val="22"/>
        </w:rPr>
        <w:t>bw</w:t>
      </w:r>
      <w:r w:rsidR="00E912BE" w:rsidRPr="00E912BE">
        <w:rPr>
          <w:rFonts w:cs="Arial"/>
          <w:szCs w:val="22"/>
        </w:rPr>
        <w:t xml:space="preserve"> (equivalent to 90 µg</w:t>
      </w:r>
      <w:r w:rsidR="00664580">
        <w:rPr>
          <w:rFonts w:cs="Arial"/>
          <w:szCs w:val="22"/>
        </w:rPr>
        <w:t xml:space="preserve"> cyanide</w:t>
      </w:r>
      <w:r w:rsidR="00E912BE" w:rsidRPr="00E912BE">
        <w:rPr>
          <w:rFonts w:cs="Arial"/>
          <w:szCs w:val="22"/>
        </w:rPr>
        <w:t xml:space="preserve">/kg bw). </w:t>
      </w:r>
    </w:p>
    <w:p w:rsidR="00D85A57" w:rsidRDefault="00D85A57" w:rsidP="00E912BE">
      <w:pPr>
        <w:rPr>
          <w:rFonts w:cs="Arial"/>
          <w:szCs w:val="22"/>
        </w:rPr>
      </w:pPr>
    </w:p>
    <w:p w:rsidR="00E912BE" w:rsidRPr="00E912BE" w:rsidRDefault="000C33D5" w:rsidP="00E912BE">
      <w:pPr>
        <w:rPr>
          <w:rFonts w:cs="Arial"/>
          <w:szCs w:val="22"/>
        </w:rPr>
      </w:pPr>
      <w:r>
        <w:rPr>
          <w:rFonts w:cs="Arial"/>
          <w:szCs w:val="22"/>
        </w:rPr>
        <w:t xml:space="preserve">At this time, </w:t>
      </w:r>
      <w:r w:rsidR="00963018">
        <w:rPr>
          <w:rFonts w:cs="Arial"/>
          <w:szCs w:val="22"/>
        </w:rPr>
        <w:t>J</w:t>
      </w:r>
      <w:r w:rsidR="00E912BE" w:rsidRPr="00E912BE">
        <w:rPr>
          <w:rFonts w:cs="Arial"/>
          <w:szCs w:val="22"/>
        </w:rPr>
        <w:t>ECFA also established a PMTDI of 20 µg/kg bw per day as cyanide</w:t>
      </w:r>
      <w:r w:rsidR="00963018">
        <w:rPr>
          <w:rFonts w:cs="Arial"/>
          <w:szCs w:val="22"/>
        </w:rPr>
        <w:t xml:space="preserve"> for use in</w:t>
      </w:r>
      <w:r w:rsidR="00963018" w:rsidRPr="00E912BE">
        <w:rPr>
          <w:rFonts w:cs="Arial"/>
          <w:szCs w:val="22"/>
        </w:rPr>
        <w:t xml:space="preserve"> chronic dietary risk as</w:t>
      </w:r>
      <w:r w:rsidR="00963018">
        <w:rPr>
          <w:rFonts w:cs="Arial"/>
          <w:szCs w:val="22"/>
        </w:rPr>
        <w:t>sessment</w:t>
      </w:r>
      <w:r w:rsidR="00E912BE" w:rsidRPr="00E912BE">
        <w:rPr>
          <w:rFonts w:cs="Arial"/>
          <w:szCs w:val="22"/>
        </w:rPr>
        <w:t xml:space="preserve">. This value was based on </w:t>
      </w:r>
      <w:r w:rsidR="00761877">
        <w:rPr>
          <w:rFonts w:cs="Arial"/>
          <w:szCs w:val="22"/>
        </w:rPr>
        <w:t xml:space="preserve">a BMDL10 </w:t>
      </w:r>
      <w:r w:rsidR="00E912BE" w:rsidRPr="00E912BE">
        <w:rPr>
          <w:rFonts w:cs="Arial"/>
          <w:szCs w:val="22"/>
        </w:rPr>
        <w:t xml:space="preserve">of 1.9 mg/kg bw per day for </w:t>
      </w:r>
      <w:r w:rsidR="00761877">
        <w:rPr>
          <w:rFonts w:cs="Arial"/>
          <w:szCs w:val="22"/>
        </w:rPr>
        <w:t xml:space="preserve">reduced </w:t>
      </w:r>
      <w:r w:rsidR="00761877" w:rsidRPr="00761877">
        <w:rPr>
          <w:rFonts w:cs="Arial"/>
          <w:szCs w:val="22"/>
        </w:rPr>
        <w:t xml:space="preserve">absolute cauda epididymis </w:t>
      </w:r>
      <w:r w:rsidR="007B054F">
        <w:rPr>
          <w:rFonts w:cs="Arial"/>
          <w:szCs w:val="22"/>
        </w:rPr>
        <w:t xml:space="preserve">(in testes) </w:t>
      </w:r>
      <w:r w:rsidR="00761877" w:rsidRPr="00761877">
        <w:rPr>
          <w:rFonts w:cs="Arial"/>
          <w:szCs w:val="22"/>
        </w:rPr>
        <w:t xml:space="preserve">weights from a 13-week drinking water study </w:t>
      </w:r>
      <w:r w:rsidR="00761877">
        <w:rPr>
          <w:rFonts w:cs="Arial"/>
          <w:szCs w:val="22"/>
        </w:rPr>
        <w:t>in</w:t>
      </w:r>
      <w:r w:rsidR="00761877" w:rsidRPr="00761877">
        <w:rPr>
          <w:rFonts w:cs="Arial"/>
          <w:szCs w:val="22"/>
        </w:rPr>
        <w:t xml:space="preserve"> rats with sodium cyanide and application of a 100-fold uncertainty factor. </w:t>
      </w:r>
      <w:r w:rsidR="007B054F">
        <w:rPr>
          <w:rFonts w:cs="Arial"/>
          <w:szCs w:val="22"/>
        </w:rPr>
        <w:t>JECFA</w:t>
      </w:r>
      <w:r w:rsidR="00761877" w:rsidRPr="00761877">
        <w:rPr>
          <w:rFonts w:cs="Arial"/>
          <w:szCs w:val="22"/>
        </w:rPr>
        <w:t xml:space="preserve"> decided that it was not necessary to apply an additional uncertainty factor to account for the absence of a long-term study, considering the generally acute nature of cyanide toxicity and the sensitivity of the effect (i.e. the reduction of absolute cauda epididymis weight). </w:t>
      </w:r>
    </w:p>
    <w:p w:rsidR="00E912BE" w:rsidRPr="00E912BE" w:rsidRDefault="00E912BE" w:rsidP="00E912BE">
      <w:pPr>
        <w:rPr>
          <w:rFonts w:cs="Arial"/>
          <w:szCs w:val="22"/>
        </w:rPr>
      </w:pPr>
    </w:p>
    <w:p w:rsidR="00E912BE" w:rsidRDefault="00E912BE" w:rsidP="00E912BE">
      <w:pPr>
        <w:rPr>
          <w:rFonts w:cs="Arial"/>
          <w:szCs w:val="22"/>
        </w:rPr>
      </w:pPr>
      <w:r w:rsidRPr="00E912BE">
        <w:rPr>
          <w:rFonts w:cs="Arial"/>
          <w:szCs w:val="22"/>
        </w:rPr>
        <w:t xml:space="preserve">Given that both </w:t>
      </w:r>
      <w:r w:rsidR="00965454">
        <w:rPr>
          <w:rFonts w:cs="Arial"/>
          <w:szCs w:val="22"/>
        </w:rPr>
        <w:t>chronic (</w:t>
      </w:r>
      <w:r w:rsidRPr="00E912BE">
        <w:rPr>
          <w:rFonts w:cs="Arial"/>
          <w:szCs w:val="22"/>
        </w:rPr>
        <w:t>long term</w:t>
      </w:r>
      <w:r w:rsidR="00965454">
        <w:rPr>
          <w:rFonts w:cs="Arial"/>
          <w:szCs w:val="22"/>
        </w:rPr>
        <w:t>)</w:t>
      </w:r>
      <w:r w:rsidRPr="00E912BE">
        <w:rPr>
          <w:rFonts w:cs="Arial"/>
          <w:szCs w:val="22"/>
        </w:rPr>
        <w:t xml:space="preserve"> and </w:t>
      </w:r>
      <w:r w:rsidR="00965454">
        <w:rPr>
          <w:rFonts w:cs="Arial"/>
          <w:szCs w:val="22"/>
        </w:rPr>
        <w:t>acute (</w:t>
      </w:r>
      <w:r w:rsidRPr="00E912BE">
        <w:rPr>
          <w:rFonts w:cs="Arial"/>
          <w:szCs w:val="22"/>
        </w:rPr>
        <w:t>short term</w:t>
      </w:r>
      <w:r w:rsidR="00965454">
        <w:rPr>
          <w:rFonts w:cs="Arial"/>
          <w:szCs w:val="22"/>
        </w:rPr>
        <w:t>)</w:t>
      </w:r>
      <w:r w:rsidRPr="00E912BE">
        <w:rPr>
          <w:rFonts w:cs="Arial"/>
          <w:szCs w:val="22"/>
        </w:rPr>
        <w:t xml:space="preserve"> </w:t>
      </w:r>
      <w:r w:rsidR="00621281">
        <w:rPr>
          <w:rFonts w:cs="Arial"/>
          <w:szCs w:val="22"/>
        </w:rPr>
        <w:t xml:space="preserve">HBGVs </w:t>
      </w:r>
      <w:r w:rsidRPr="00E912BE">
        <w:rPr>
          <w:rFonts w:cs="Arial"/>
          <w:szCs w:val="22"/>
        </w:rPr>
        <w:t xml:space="preserve">have been established, both a chronic and acute dietary exposure assessment </w:t>
      </w:r>
      <w:r w:rsidR="00AF0EC2">
        <w:rPr>
          <w:rFonts w:cs="Arial"/>
          <w:szCs w:val="22"/>
        </w:rPr>
        <w:t xml:space="preserve">was </w:t>
      </w:r>
      <w:r w:rsidRPr="00E912BE">
        <w:rPr>
          <w:rFonts w:cs="Arial"/>
          <w:szCs w:val="22"/>
        </w:rPr>
        <w:t xml:space="preserve">conducted for this </w:t>
      </w:r>
      <w:r w:rsidR="00E40735">
        <w:rPr>
          <w:rFonts w:cs="Arial"/>
          <w:szCs w:val="22"/>
        </w:rPr>
        <w:t xml:space="preserve">risk </w:t>
      </w:r>
      <w:r w:rsidRPr="00E912BE">
        <w:rPr>
          <w:rFonts w:cs="Arial"/>
          <w:szCs w:val="22"/>
        </w:rPr>
        <w:t xml:space="preserve">assessment. </w:t>
      </w:r>
      <w:r w:rsidR="00BA6B1C">
        <w:rPr>
          <w:rFonts w:cs="Arial"/>
          <w:szCs w:val="22"/>
        </w:rPr>
        <w:t>T</w:t>
      </w:r>
      <w:r w:rsidRPr="00E912BE">
        <w:rPr>
          <w:rFonts w:cs="Arial"/>
          <w:szCs w:val="22"/>
        </w:rPr>
        <w:t xml:space="preserve">o </w:t>
      </w:r>
      <w:r w:rsidR="00440904">
        <w:rPr>
          <w:rFonts w:cs="Arial"/>
          <w:szCs w:val="22"/>
        </w:rPr>
        <w:t xml:space="preserve">determine </w:t>
      </w:r>
      <w:r w:rsidRPr="00E912BE">
        <w:rPr>
          <w:rFonts w:cs="Arial"/>
          <w:szCs w:val="22"/>
        </w:rPr>
        <w:t xml:space="preserve">the risk associated with the estimated dietary exposures based on the current survey data, the ARfD </w:t>
      </w:r>
      <w:r w:rsidR="00E40735">
        <w:rPr>
          <w:rFonts w:cs="Arial"/>
          <w:szCs w:val="22"/>
        </w:rPr>
        <w:t xml:space="preserve">of </w:t>
      </w:r>
      <w:r w:rsidR="00CF2F9A" w:rsidRPr="00CF2F9A">
        <w:rPr>
          <w:rFonts w:cs="Arial"/>
          <w:szCs w:val="22"/>
        </w:rPr>
        <w:t xml:space="preserve">80 µg HCN/kg bw </w:t>
      </w:r>
      <w:r w:rsidR="00CF2F9A">
        <w:rPr>
          <w:rFonts w:cs="Arial"/>
          <w:szCs w:val="22"/>
        </w:rPr>
        <w:t xml:space="preserve">established by FSANZ for P1002 </w:t>
      </w:r>
      <w:r w:rsidRPr="00E912BE">
        <w:rPr>
          <w:rFonts w:cs="Arial"/>
          <w:szCs w:val="22"/>
        </w:rPr>
        <w:t xml:space="preserve">and </w:t>
      </w:r>
      <w:r w:rsidR="00CF2F9A">
        <w:rPr>
          <w:rFonts w:cs="Arial"/>
          <w:szCs w:val="22"/>
        </w:rPr>
        <w:t xml:space="preserve">the </w:t>
      </w:r>
      <w:r w:rsidRPr="00E912BE">
        <w:rPr>
          <w:rFonts w:cs="Arial"/>
          <w:szCs w:val="22"/>
        </w:rPr>
        <w:t xml:space="preserve">JECFA PMTDI </w:t>
      </w:r>
      <w:r w:rsidR="00CF2F9A">
        <w:rPr>
          <w:rFonts w:cs="Arial"/>
          <w:szCs w:val="22"/>
        </w:rPr>
        <w:t xml:space="preserve">of </w:t>
      </w:r>
      <w:r w:rsidR="00CF2F9A" w:rsidRPr="00CF2F9A">
        <w:rPr>
          <w:rFonts w:cs="Arial"/>
          <w:szCs w:val="22"/>
        </w:rPr>
        <w:t xml:space="preserve">20 µg/kg bw per day as cyanide </w:t>
      </w:r>
      <w:r w:rsidR="00AF0EC2">
        <w:rPr>
          <w:rFonts w:cs="Arial"/>
          <w:szCs w:val="22"/>
        </w:rPr>
        <w:t>w</w:t>
      </w:r>
      <w:r w:rsidR="000C33D5">
        <w:rPr>
          <w:rFonts w:cs="Arial"/>
          <w:szCs w:val="22"/>
        </w:rPr>
        <w:t>ere</w:t>
      </w:r>
      <w:r w:rsidRPr="00E912BE">
        <w:rPr>
          <w:rFonts w:cs="Arial"/>
          <w:szCs w:val="22"/>
        </w:rPr>
        <w:t xml:space="preserve"> used.</w:t>
      </w:r>
    </w:p>
    <w:p w:rsidR="00AD576E" w:rsidRDefault="00AD576E" w:rsidP="00E912BE">
      <w:pPr>
        <w:rPr>
          <w:rFonts w:cs="Arial"/>
          <w:szCs w:val="22"/>
        </w:rPr>
      </w:pPr>
    </w:p>
    <w:p w:rsidR="00D33562" w:rsidRDefault="00CF2F9A" w:rsidP="00AD576E">
      <w:pPr>
        <w:pStyle w:val="Heading2"/>
      </w:pPr>
      <w:bookmarkStart w:id="111" w:name="_5.2_Concentration_data"/>
      <w:bookmarkStart w:id="112" w:name="_Toc360111830"/>
      <w:bookmarkStart w:id="113" w:name="_Toc367957651"/>
      <w:bookmarkStart w:id="114" w:name="_Toc384293517"/>
      <w:bookmarkEnd w:id="111"/>
      <w:r>
        <w:t>5.2</w:t>
      </w:r>
      <w:r>
        <w:tab/>
      </w:r>
      <w:r w:rsidR="00660F8C">
        <w:t>C</w:t>
      </w:r>
      <w:r w:rsidR="00D33562">
        <w:t>oncentration data</w:t>
      </w:r>
      <w:bookmarkEnd w:id="112"/>
      <w:r w:rsidR="00660F8C">
        <w:t xml:space="preserve"> </w:t>
      </w:r>
      <w:r w:rsidR="00660F8C" w:rsidRPr="00AD576E">
        <w:t>used</w:t>
      </w:r>
      <w:r w:rsidR="00660F8C">
        <w:t xml:space="preserve"> in the dietary exposure assessment</w:t>
      </w:r>
      <w:bookmarkEnd w:id="113"/>
      <w:bookmarkEnd w:id="114"/>
    </w:p>
    <w:p w:rsidR="00AD576E" w:rsidRPr="00AD576E" w:rsidRDefault="00AD576E" w:rsidP="00AD576E"/>
    <w:p w:rsidR="006D2A1C" w:rsidRDefault="006D2A1C" w:rsidP="006D2A1C">
      <w:pPr>
        <w:rPr>
          <w:rFonts w:cs="Arial"/>
          <w:szCs w:val="22"/>
        </w:rPr>
      </w:pPr>
      <w:r>
        <w:rPr>
          <w:rFonts w:cs="Arial"/>
          <w:szCs w:val="22"/>
        </w:rPr>
        <w:t xml:space="preserve">Concentration data were derived primarily from the ISFR survey as well as several other </w:t>
      </w:r>
      <w:r w:rsidRPr="00CF2F9A">
        <w:rPr>
          <w:rFonts w:cs="Arial"/>
          <w:szCs w:val="22"/>
        </w:rPr>
        <w:t xml:space="preserve">surveys </w:t>
      </w:r>
      <w:r w:rsidR="00C61865">
        <w:rPr>
          <w:rFonts w:cs="Arial"/>
          <w:szCs w:val="22"/>
        </w:rPr>
        <w:t xml:space="preserve">of RTE cassava chips </w:t>
      </w:r>
      <w:r w:rsidRPr="00CF2F9A">
        <w:rPr>
          <w:rFonts w:cs="Arial"/>
          <w:szCs w:val="22"/>
        </w:rPr>
        <w:t xml:space="preserve">conducted </w:t>
      </w:r>
      <w:r>
        <w:rPr>
          <w:rFonts w:cs="Arial"/>
          <w:szCs w:val="22"/>
        </w:rPr>
        <w:t xml:space="preserve">in recent </w:t>
      </w:r>
      <w:r w:rsidRPr="00CF2F9A">
        <w:rPr>
          <w:rFonts w:cs="Arial"/>
          <w:szCs w:val="22"/>
        </w:rPr>
        <w:t xml:space="preserve">years in Australia and New Zealand. </w:t>
      </w:r>
      <w:r>
        <w:rPr>
          <w:rFonts w:cs="Arial"/>
          <w:szCs w:val="22"/>
        </w:rPr>
        <w:t xml:space="preserve">Further details regarding how </w:t>
      </w:r>
      <w:r w:rsidR="004F7ECC">
        <w:rPr>
          <w:rFonts w:cs="Arial"/>
          <w:szCs w:val="22"/>
        </w:rPr>
        <w:t xml:space="preserve">these data </w:t>
      </w:r>
      <w:r>
        <w:rPr>
          <w:rFonts w:cs="Arial"/>
          <w:szCs w:val="22"/>
        </w:rPr>
        <w:t>were used in the dietary exposure assessmen</w:t>
      </w:r>
      <w:r w:rsidR="00136AF4">
        <w:rPr>
          <w:rFonts w:cs="Arial"/>
          <w:szCs w:val="22"/>
        </w:rPr>
        <w:t xml:space="preserve">t are provided in Section 5.2.1 and </w:t>
      </w:r>
      <w:r>
        <w:rPr>
          <w:rFonts w:cs="Arial"/>
          <w:szCs w:val="22"/>
        </w:rPr>
        <w:t>5.2.2.</w:t>
      </w:r>
    </w:p>
    <w:p w:rsidR="006D2A1C" w:rsidRDefault="006D2A1C" w:rsidP="0026440D">
      <w:pPr>
        <w:pStyle w:val="Heading3"/>
      </w:pPr>
      <w:bookmarkStart w:id="115" w:name="_Toc367957745"/>
      <w:bookmarkStart w:id="116" w:name="_Toc384293518"/>
      <w:r w:rsidRPr="0026440D">
        <w:lastRenderedPageBreak/>
        <w:t>5.2.1</w:t>
      </w:r>
      <w:r w:rsidR="00842210">
        <w:tab/>
      </w:r>
      <w:r w:rsidRPr="0026440D">
        <w:t>Concentration data from Surveys 1-3</w:t>
      </w:r>
      <w:bookmarkEnd w:id="115"/>
      <w:bookmarkEnd w:id="116"/>
    </w:p>
    <w:p w:rsidR="00AD576E" w:rsidRPr="00AD576E" w:rsidRDefault="00AD576E" w:rsidP="00AD576E"/>
    <w:p w:rsidR="002F3B86" w:rsidRDefault="00831B2D" w:rsidP="00D33562">
      <w:r>
        <w:rPr>
          <w:rFonts w:cs="Arial"/>
          <w:szCs w:val="22"/>
        </w:rPr>
        <w:t xml:space="preserve">Concentration data from </w:t>
      </w:r>
      <w:r w:rsidR="008405AF">
        <w:rPr>
          <w:rFonts w:cs="Arial"/>
          <w:szCs w:val="22"/>
        </w:rPr>
        <w:t>Surveys 1-3</w:t>
      </w:r>
      <w:r>
        <w:rPr>
          <w:rFonts w:cs="Arial"/>
          <w:szCs w:val="22"/>
        </w:rPr>
        <w:t xml:space="preserve"> were used, as appropriate. </w:t>
      </w:r>
      <w:r w:rsidR="00D23A1C">
        <w:rPr>
          <w:rFonts w:cs="Arial"/>
          <w:szCs w:val="22"/>
        </w:rPr>
        <w:t xml:space="preserve">For </w:t>
      </w:r>
      <w:r w:rsidR="00AD576E">
        <w:rPr>
          <w:rFonts w:cs="Arial"/>
          <w:szCs w:val="22"/>
        </w:rPr>
        <w:t>a</w:t>
      </w:r>
      <w:r w:rsidR="00D23A1C">
        <w:rPr>
          <w:rFonts w:cs="Arial"/>
          <w:szCs w:val="22"/>
        </w:rPr>
        <w:t xml:space="preserve">pple </w:t>
      </w:r>
      <w:r w:rsidR="00AD576E">
        <w:rPr>
          <w:rFonts w:cs="Arial"/>
          <w:szCs w:val="22"/>
        </w:rPr>
        <w:t>j</w:t>
      </w:r>
      <w:r w:rsidR="00D23A1C">
        <w:rPr>
          <w:rFonts w:cs="Arial"/>
          <w:szCs w:val="22"/>
        </w:rPr>
        <w:t xml:space="preserve">uice and </w:t>
      </w:r>
      <w:r w:rsidR="00AD576E">
        <w:rPr>
          <w:rFonts w:cs="Arial"/>
          <w:szCs w:val="22"/>
        </w:rPr>
        <w:t>infant a</w:t>
      </w:r>
      <w:r w:rsidR="00D23A1C">
        <w:rPr>
          <w:rFonts w:cs="Arial"/>
          <w:szCs w:val="22"/>
        </w:rPr>
        <w:t xml:space="preserve">pple </w:t>
      </w:r>
      <w:r w:rsidR="00AD576E">
        <w:rPr>
          <w:rFonts w:cs="Arial"/>
          <w:szCs w:val="22"/>
        </w:rPr>
        <w:t>p</w:t>
      </w:r>
      <w:r w:rsidR="00D23A1C">
        <w:rPr>
          <w:rFonts w:cs="Arial"/>
          <w:szCs w:val="22"/>
        </w:rPr>
        <w:t>uree</w:t>
      </w:r>
      <w:r w:rsidR="00AD576E">
        <w:rPr>
          <w:rFonts w:cs="Arial"/>
          <w:szCs w:val="22"/>
        </w:rPr>
        <w:t>,</w:t>
      </w:r>
      <w:r w:rsidR="00D23A1C">
        <w:rPr>
          <w:rFonts w:cs="Arial"/>
          <w:szCs w:val="22"/>
        </w:rPr>
        <w:t xml:space="preserve"> </w:t>
      </w:r>
      <w:r w:rsidR="00AD576E">
        <w:rPr>
          <w:rFonts w:cs="Arial"/>
          <w:szCs w:val="22"/>
        </w:rPr>
        <w:t xml:space="preserve">only the concentration data obtained </w:t>
      </w:r>
      <w:r w:rsidR="00D23A1C">
        <w:rPr>
          <w:rFonts w:cs="Arial"/>
          <w:szCs w:val="22"/>
        </w:rPr>
        <w:t xml:space="preserve">using the EU </w:t>
      </w:r>
      <w:r w:rsidR="00541B9D">
        <w:rPr>
          <w:rFonts w:cs="Arial"/>
          <w:szCs w:val="22"/>
        </w:rPr>
        <w:t xml:space="preserve">HPLC </w:t>
      </w:r>
      <w:r w:rsidR="00D23A1C">
        <w:rPr>
          <w:rFonts w:cs="Arial"/>
          <w:szCs w:val="22"/>
        </w:rPr>
        <w:t xml:space="preserve">method were used as inputs into the dietary exposure estimates. For cassava root, </w:t>
      </w:r>
      <w:r w:rsidR="0032193B">
        <w:rPr>
          <w:rFonts w:cs="Arial"/>
          <w:szCs w:val="22"/>
        </w:rPr>
        <w:t>the o</w:t>
      </w:r>
      <w:r w:rsidR="0032193B" w:rsidRPr="0032193B">
        <w:rPr>
          <w:rFonts w:cs="Arial"/>
          <w:szCs w:val="22"/>
        </w:rPr>
        <w:t xml:space="preserve">ne sample </w:t>
      </w:r>
      <w:r w:rsidR="009E12C8">
        <w:rPr>
          <w:rFonts w:cs="Arial"/>
          <w:szCs w:val="22"/>
        </w:rPr>
        <w:t xml:space="preserve">(Survey 3) </w:t>
      </w:r>
      <w:r w:rsidR="0032193B">
        <w:rPr>
          <w:rFonts w:cs="Arial"/>
          <w:szCs w:val="22"/>
        </w:rPr>
        <w:t xml:space="preserve">that </w:t>
      </w:r>
      <w:r w:rsidR="00401B04">
        <w:rPr>
          <w:rFonts w:cs="Arial"/>
          <w:szCs w:val="22"/>
        </w:rPr>
        <w:t>did not comply with the</w:t>
      </w:r>
      <w:r w:rsidR="0032193B" w:rsidRPr="0032193B">
        <w:rPr>
          <w:rFonts w:cs="Arial"/>
          <w:szCs w:val="22"/>
        </w:rPr>
        <w:t xml:space="preserve"> regulatory requirements </w:t>
      </w:r>
      <w:r w:rsidR="0032193B">
        <w:rPr>
          <w:rFonts w:cs="Arial"/>
          <w:szCs w:val="22"/>
        </w:rPr>
        <w:t xml:space="preserve">for sweet </w:t>
      </w:r>
      <w:r w:rsidR="00D23A1C">
        <w:rPr>
          <w:rFonts w:cs="Arial"/>
          <w:szCs w:val="22"/>
        </w:rPr>
        <w:t>cassava was excluded</w:t>
      </w:r>
      <w:r w:rsidR="00BC4275">
        <w:rPr>
          <w:rFonts w:cs="Arial"/>
          <w:szCs w:val="22"/>
        </w:rPr>
        <w:t>. The next highest concentration of 26 mg HCN/kg for cooked cassava determined in a steamed sample (the total HCN concentration for this same sample in its raw state was 40 mg/kg) was used</w:t>
      </w:r>
      <w:r w:rsidR="00DF58B5">
        <w:rPr>
          <w:rFonts w:cs="Arial"/>
          <w:szCs w:val="22"/>
        </w:rPr>
        <w:t>. Similarly, f</w:t>
      </w:r>
      <w:r w:rsidR="0012703C">
        <w:rPr>
          <w:rFonts w:cs="Arial"/>
          <w:szCs w:val="22"/>
        </w:rPr>
        <w:t xml:space="preserve">or apricot </w:t>
      </w:r>
      <w:r w:rsidR="00781452">
        <w:rPr>
          <w:rFonts w:cs="Arial"/>
          <w:szCs w:val="22"/>
        </w:rPr>
        <w:t>nectar</w:t>
      </w:r>
      <w:r w:rsidR="0012703C">
        <w:rPr>
          <w:rFonts w:cs="Arial"/>
          <w:szCs w:val="22"/>
        </w:rPr>
        <w:t xml:space="preserve">, the one sample (Survey 3) that did not comply with the current ML permitted in stone fruit juices was excluded from the acute dietary exposure assessment. </w:t>
      </w:r>
    </w:p>
    <w:p w:rsidR="002F3B86" w:rsidRDefault="002F3B86" w:rsidP="00D33562"/>
    <w:p w:rsidR="002F3B86" w:rsidRDefault="00482A66" w:rsidP="002F3B86">
      <w:pPr>
        <w:rPr>
          <w:rFonts w:cs="Arial"/>
          <w:szCs w:val="22"/>
          <w:highlight w:val="yellow"/>
        </w:rPr>
      </w:pPr>
      <w:r w:rsidRPr="002F3B86">
        <w:rPr>
          <w:rFonts w:cs="Arial"/>
          <w:szCs w:val="22"/>
        </w:rPr>
        <w:t xml:space="preserve">For bamboo shoots, </w:t>
      </w:r>
      <w:r w:rsidR="002F3B86">
        <w:rPr>
          <w:rFonts w:cs="Arial"/>
          <w:szCs w:val="22"/>
        </w:rPr>
        <w:t>a</w:t>
      </w:r>
      <w:r w:rsidR="002F3B86" w:rsidRPr="002F3B86">
        <w:rPr>
          <w:rFonts w:cs="Arial"/>
          <w:szCs w:val="22"/>
        </w:rPr>
        <w:t xml:space="preserve"> preliminary dietary exposure assessment including Survey 3 </w:t>
      </w:r>
      <w:r w:rsidR="0076787E">
        <w:rPr>
          <w:rFonts w:cs="Arial"/>
          <w:szCs w:val="22"/>
        </w:rPr>
        <w:t xml:space="preserve">samples that were purchased raw (and subsequently cooked) </w:t>
      </w:r>
      <w:r w:rsidR="002F3B86" w:rsidRPr="002F3B86">
        <w:rPr>
          <w:rFonts w:cs="Arial"/>
          <w:szCs w:val="22"/>
        </w:rPr>
        <w:t>indicated that one population group, Australians aged 17 years and over, would exceed the ARfD for consuming bamboo shoots (110%).</w:t>
      </w:r>
      <w:r w:rsidR="002F3B86">
        <w:rPr>
          <w:rFonts w:cs="Arial"/>
          <w:szCs w:val="22"/>
        </w:rPr>
        <w:t xml:space="preserve"> </w:t>
      </w:r>
      <w:r w:rsidR="002F3B86" w:rsidRPr="002F3B86">
        <w:rPr>
          <w:rFonts w:cs="Arial"/>
          <w:szCs w:val="22"/>
        </w:rPr>
        <w:t>However, fresh</w:t>
      </w:r>
      <w:r w:rsidR="00D96E4B">
        <w:rPr>
          <w:rFonts w:cs="Arial"/>
          <w:szCs w:val="22"/>
        </w:rPr>
        <w:t>/f</w:t>
      </w:r>
      <w:r w:rsidR="00781452">
        <w:rPr>
          <w:rFonts w:cs="Arial"/>
          <w:szCs w:val="22"/>
        </w:rPr>
        <w:t>r</w:t>
      </w:r>
      <w:r w:rsidR="00D96E4B">
        <w:rPr>
          <w:rFonts w:cs="Arial"/>
          <w:szCs w:val="22"/>
        </w:rPr>
        <w:t>ozen</w:t>
      </w:r>
      <w:r w:rsidR="002F3B86" w:rsidRPr="002F3B86">
        <w:rPr>
          <w:rFonts w:cs="Arial"/>
          <w:szCs w:val="22"/>
        </w:rPr>
        <w:t xml:space="preserve"> varieties of bamboo shoots</w:t>
      </w:r>
      <w:r w:rsidR="0076787E">
        <w:rPr>
          <w:rFonts w:cs="Arial"/>
          <w:szCs w:val="22"/>
        </w:rPr>
        <w:t>, as</w:t>
      </w:r>
      <w:r w:rsidR="002F3B86" w:rsidRPr="002F3B86">
        <w:rPr>
          <w:rFonts w:cs="Arial"/>
          <w:szCs w:val="22"/>
        </w:rPr>
        <w:t xml:space="preserve"> </w:t>
      </w:r>
      <w:r w:rsidR="002F3B86">
        <w:rPr>
          <w:rFonts w:cs="Arial"/>
          <w:szCs w:val="22"/>
        </w:rPr>
        <w:t>sampled in Survey 3</w:t>
      </w:r>
      <w:r w:rsidR="0076787E">
        <w:rPr>
          <w:rFonts w:cs="Arial"/>
          <w:szCs w:val="22"/>
        </w:rPr>
        <w:t>,</w:t>
      </w:r>
      <w:r w:rsidR="002F3B86">
        <w:rPr>
          <w:rFonts w:cs="Arial"/>
          <w:szCs w:val="22"/>
        </w:rPr>
        <w:t xml:space="preserve"> </w:t>
      </w:r>
      <w:r w:rsidR="002F3B86" w:rsidRPr="002F3B86">
        <w:rPr>
          <w:rFonts w:cs="Arial"/>
          <w:szCs w:val="22"/>
        </w:rPr>
        <w:t>proved difficult to locate as part of the sampling plan</w:t>
      </w:r>
      <w:r w:rsidR="0076787E">
        <w:rPr>
          <w:rFonts w:cs="Arial"/>
          <w:szCs w:val="22"/>
        </w:rPr>
        <w:t>. From</w:t>
      </w:r>
      <w:r w:rsidR="002F3B86" w:rsidRPr="002F3B86">
        <w:rPr>
          <w:rFonts w:cs="Arial"/>
          <w:szCs w:val="22"/>
        </w:rPr>
        <w:t xml:space="preserve"> this, it </w:t>
      </w:r>
      <w:r w:rsidR="0076787E">
        <w:rPr>
          <w:rFonts w:cs="Arial"/>
          <w:szCs w:val="22"/>
        </w:rPr>
        <w:t>wa</w:t>
      </w:r>
      <w:r w:rsidR="002F3B86" w:rsidRPr="002F3B86">
        <w:rPr>
          <w:rFonts w:cs="Arial"/>
          <w:szCs w:val="22"/>
        </w:rPr>
        <w:t xml:space="preserve">s assumed that it is unlikely that they are commonly available in the Australian and New Zealand marketplace. Therefore, it was considered reasonable to </w:t>
      </w:r>
      <w:r w:rsidR="002F3B86">
        <w:rPr>
          <w:rFonts w:cs="Arial"/>
          <w:szCs w:val="22"/>
        </w:rPr>
        <w:t xml:space="preserve">estimate </w:t>
      </w:r>
      <w:r w:rsidR="002F3B86" w:rsidRPr="002F3B86">
        <w:rPr>
          <w:rFonts w:cs="Arial"/>
          <w:szCs w:val="22"/>
        </w:rPr>
        <w:t>dietary exposure</w:t>
      </w:r>
      <w:r w:rsidR="002F3B86">
        <w:rPr>
          <w:rFonts w:cs="Arial"/>
          <w:szCs w:val="22"/>
        </w:rPr>
        <w:t>s</w:t>
      </w:r>
      <w:r w:rsidR="002F3B86" w:rsidRPr="002F3B86">
        <w:rPr>
          <w:rFonts w:cs="Arial"/>
          <w:szCs w:val="22"/>
        </w:rPr>
        <w:t xml:space="preserve"> </w:t>
      </w:r>
      <w:r w:rsidR="00B30BC7">
        <w:rPr>
          <w:rFonts w:cs="Arial"/>
          <w:szCs w:val="22"/>
        </w:rPr>
        <w:t>using values</w:t>
      </w:r>
      <w:r w:rsidR="002F3B86">
        <w:rPr>
          <w:rFonts w:cs="Arial"/>
          <w:szCs w:val="22"/>
        </w:rPr>
        <w:t xml:space="preserve"> </w:t>
      </w:r>
      <w:r w:rsidR="002F3B86" w:rsidRPr="002F3B86">
        <w:rPr>
          <w:rFonts w:cs="Arial"/>
          <w:szCs w:val="22"/>
        </w:rPr>
        <w:t>from Survey 1</w:t>
      </w:r>
      <w:r w:rsidR="0076787E">
        <w:rPr>
          <w:rFonts w:cs="Arial"/>
          <w:szCs w:val="22"/>
        </w:rPr>
        <w:t xml:space="preserve"> only</w:t>
      </w:r>
      <w:r w:rsidR="002F3B86" w:rsidRPr="002F3B86">
        <w:rPr>
          <w:rFonts w:cs="Arial"/>
          <w:szCs w:val="22"/>
        </w:rPr>
        <w:t xml:space="preserve"> (i.e. canned/pickled</w:t>
      </w:r>
      <w:r w:rsidR="00B30BC7">
        <w:rPr>
          <w:rFonts w:cs="Arial"/>
          <w:szCs w:val="22"/>
        </w:rPr>
        <w:t xml:space="preserve"> bamboo shoots</w:t>
      </w:r>
      <w:r w:rsidR="002F3B86" w:rsidRPr="002F3B86">
        <w:rPr>
          <w:rFonts w:cs="Arial"/>
          <w:szCs w:val="22"/>
        </w:rPr>
        <w:t xml:space="preserve">). </w:t>
      </w:r>
    </w:p>
    <w:p w:rsidR="002F3B86" w:rsidRDefault="002F3B86" w:rsidP="00D33562">
      <w:pPr>
        <w:rPr>
          <w:rFonts w:cs="Arial"/>
          <w:szCs w:val="22"/>
          <w:highlight w:val="yellow"/>
        </w:rPr>
      </w:pPr>
    </w:p>
    <w:p w:rsidR="009E12C8" w:rsidRDefault="00D33562"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017DD7">
        <w:rPr>
          <w:rFonts w:cs="Arial"/>
          <w:szCs w:val="22"/>
        </w:rPr>
        <w:t xml:space="preserve">For the purposes of the chronic dietary exposure assessment, lower bound mean and upper bound mean concentrations were derived from the </w:t>
      </w:r>
      <w:r w:rsidR="002C0184">
        <w:rPr>
          <w:rFonts w:cs="Arial"/>
          <w:szCs w:val="22"/>
        </w:rPr>
        <w:t>raw survey</w:t>
      </w:r>
      <w:r w:rsidRPr="00017DD7">
        <w:rPr>
          <w:rFonts w:cs="Arial"/>
          <w:szCs w:val="22"/>
        </w:rPr>
        <w:t xml:space="preserve"> data. When deriving the lower bound mean concentrations, </w:t>
      </w:r>
      <w:r w:rsidR="00831B2D">
        <w:rPr>
          <w:rFonts w:cs="Arial"/>
          <w:szCs w:val="22"/>
        </w:rPr>
        <w:t xml:space="preserve">results lower than the </w:t>
      </w:r>
      <w:r w:rsidR="00FF4C13">
        <w:rPr>
          <w:rFonts w:cs="Arial"/>
          <w:szCs w:val="22"/>
        </w:rPr>
        <w:t>LoD</w:t>
      </w:r>
      <w:r w:rsidR="00831B2D">
        <w:rPr>
          <w:rFonts w:cs="Arial"/>
          <w:szCs w:val="22"/>
        </w:rPr>
        <w:t xml:space="preserve"> </w:t>
      </w:r>
      <w:r w:rsidRPr="00017DD7">
        <w:rPr>
          <w:rFonts w:cs="Arial"/>
          <w:szCs w:val="22"/>
        </w:rPr>
        <w:t>(</w:t>
      </w:r>
      <w:r w:rsidR="00831B2D">
        <w:rPr>
          <w:rFonts w:cs="Arial"/>
          <w:szCs w:val="22"/>
        </w:rPr>
        <w:t xml:space="preserve">‘not detected’ or </w:t>
      </w:r>
      <w:r w:rsidRPr="00017DD7">
        <w:rPr>
          <w:rFonts w:cs="Arial"/>
          <w:szCs w:val="22"/>
        </w:rPr>
        <w:t>&lt;L</w:t>
      </w:r>
      <w:r w:rsidR="002C0184">
        <w:rPr>
          <w:rFonts w:cs="Arial"/>
          <w:szCs w:val="22"/>
        </w:rPr>
        <w:t>o</w:t>
      </w:r>
      <w:r w:rsidRPr="00017DD7">
        <w:rPr>
          <w:rFonts w:cs="Arial"/>
          <w:szCs w:val="22"/>
        </w:rPr>
        <w:t>D) were assigned a concentration of zero</w:t>
      </w:r>
      <w:r w:rsidR="00831B2D">
        <w:rPr>
          <w:rFonts w:cs="Arial"/>
          <w:szCs w:val="22"/>
        </w:rPr>
        <w:t>. For t</w:t>
      </w:r>
      <w:r w:rsidRPr="00017DD7">
        <w:rPr>
          <w:rFonts w:cs="Arial"/>
          <w:szCs w:val="22"/>
        </w:rPr>
        <w:t>he upper bound mean not detected results were assigned</w:t>
      </w:r>
      <w:r w:rsidR="002C0184">
        <w:rPr>
          <w:rFonts w:cs="Arial"/>
          <w:szCs w:val="22"/>
        </w:rPr>
        <w:t xml:space="preserve"> a concentration equal to the Lo</w:t>
      </w:r>
      <w:r w:rsidR="009E12C8">
        <w:rPr>
          <w:rFonts w:cs="Arial"/>
          <w:szCs w:val="22"/>
        </w:rPr>
        <w:t>D</w:t>
      </w:r>
      <w:r w:rsidR="008405AF">
        <w:rPr>
          <w:rFonts w:cs="Arial"/>
          <w:szCs w:val="22"/>
        </w:rPr>
        <w:t>. S</w:t>
      </w:r>
      <w:r w:rsidR="009E12C8">
        <w:rPr>
          <w:rFonts w:cs="Arial"/>
          <w:szCs w:val="22"/>
        </w:rPr>
        <w:t xml:space="preserve">ee Table 5 for the LoDs </w:t>
      </w:r>
      <w:r w:rsidR="00312630">
        <w:rPr>
          <w:rFonts w:cs="Arial"/>
          <w:szCs w:val="22"/>
        </w:rPr>
        <w:t xml:space="preserve">achieved for </w:t>
      </w:r>
      <w:r w:rsidR="009E12C8">
        <w:rPr>
          <w:rFonts w:cs="Arial"/>
          <w:szCs w:val="22"/>
        </w:rPr>
        <w:t>Surveys 1-3.</w:t>
      </w:r>
    </w:p>
    <w:p w:rsidR="00D33562" w:rsidRPr="00017DD7" w:rsidRDefault="00D33562" w:rsidP="00D33562">
      <w:pPr>
        <w:rPr>
          <w:rFonts w:cs="Arial"/>
          <w:szCs w:val="22"/>
        </w:rPr>
      </w:pPr>
    </w:p>
    <w:p w:rsidR="00D33562" w:rsidRPr="00017DD7" w:rsidRDefault="00D33562"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017DD7">
        <w:rPr>
          <w:rFonts w:cs="Arial"/>
          <w:szCs w:val="22"/>
        </w:rPr>
        <w:t xml:space="preserve">For the acute dietary exposure assessment, maximum concentrations for each food were determined. </w:t>
      </w:r>
      <w:r w:rsidR="00B30BC7">
        <w:rPr>
          <w:rFonts w:cs="Arial"/>
          <w:szCs w:val="22"/>
        </w:rPr>
        <w:t>If</w:t>
      </w:r>
      <w:r w:rsidR="00B30BC7" w:rsidRPr="00017DD7">
        <w:rPr>
          <w:rFonts w:cs="Arial"/>
          <w:szCs w:val="22"/>
        </w:rPr>
        <w:t xml:space="preserve"> </w:t>
      </w:r>
      <w:r w:rsidRPr="00017DD7">
        <w:rPr>
          <w:rFonts w:cs="Arial"/>
          <w:szCs w:val="22"/>
        </w:rPr>
        <w:t>the food was analysed as a composite</w:t>
      </w:r>
      <w:r w:rsidR="00D85A57">
        <w:rPr>
          <w:rFonts w:cs="Arial"/>
          <w:szCs w:val="22"/>
        </w:rPr>
        <w:t xml:space="preserve"> sample</w:t>
      </w:r>
      <w:r w:rsidRPr="00017DD7">
        <w:rPr>
          <w:rFonts w:cs="Arial"/>
          <w:szCs w:val="22"/>
        </w:rPr>
        <w:t xml:space="preserve">, the concentration determined was used. </w:t>
      </w:r>
      <w:r w:rsidR="00B30BC7">
        <w:rPr>
          <w:rFonts w:cs="Arial"/>
          <w:szCs w:val="22"/>
        </w:rPr>
        <w:t>If</w:t>
      </w:r>
      <w:r w:rsidRPr="00017DD7">
        <w:rPr>
          <w:rFonts w:cs="Arial"/>
          <w:szCs w:val="22"/>
        </w:rPr>
        <w:t xml:space="preserve"> all of the samples for the food were </w:t>
      </w:r>
      <w:r w:rsidR="003231A9">
        <w:rPr>
          <w:rFonts w:cs="Arial"/>
          <w:szCs w:val="22"/>
        </w:rPr>
        <w:t xml:space="preserve">analysed as containing levels </w:t>
      </w:r>
      <w:r w:rsidRPr="00017DD7">
        <w:rPr>
          <w:rFonts w:cs="Arial"/>
          <w:szCs w:val="22"/>
        </w:rPr>
        <w:t>less than the L</w:t>
      </w:r>
      <w:r w:rsidR="002C0184">
        <w:rPr>
          <w:rFonts w:cs="Arial"/>
          <w:szCs w:val="22"/>
        </w:rPr>
        <w:t>o</w:t>
      </w:r>
      <w:r w:rsidRPr="00017DD7">
        <w:rPr>
          <w:rFonts w:cs="Arial"/>
          <w:szCs w:val="22"/>
        </w:rPr>
        <w:t>D, the value of the highest L</w:t>
      </w:r>
      <w:r w:rsidR="002C0184">
        <w:rPr>
          <w:rFonts w:cs="Arial"/>
          <w:szCs w:val="22"/>
        </w:rPr>
        <w:t>o</w:t>
      </w:r>
      <w:r w:rsidRPr="00017DD7">
        <w:rPr>
          <w:rFonts w:cs="Arial"/>
          <w:szCs w:val="22"/>
        </w:rPr>
        <w:t>D was used</w:t>
      </w:r>
      <w:r w:rsidR="009B5F68">
        <w:rPr>
          <w:rFonts w:cs="Arial"/>
          <w:szCs w:val="22"/>
        </w:rPr>
        <w:t>;</w:t>
      </w:r>
      <w:r w:rsidRPr="00017DD7">
        <w:rPr>
          <w:rFonts w:cs="Arial"/>
          <w:szCs w:val="22"/>
        </w:rPr>
        <w:t xml:space="preserve"> similar</w:t>
      </w:r>
      <w:r w:rsidR="009B5F68">
        <w:rPr>
          <w:rFonts w:cs="Arial"/>
          <w:szCs w:val="22"/>
        </w:rPr>
        <w:t>ly, the highest value was used in</w:t>
      </w:r>
      <w:r w:rsidRPr="00017DD7">
        <w:rPr>
          <w:rFonts w:cs="Arial"/>
          <w:szCs w:val="22"/>
        </w:rPr>
        <w:t xml:space="preserve"> </w:t>
      </w:r>
      <w:r w:rsidR="009B5F68">
        <w:rPr>
          <w:rFonts w:cs="Arial"/>
          <w:szCs w:val="22"/>
        </w:rPr>
        <w:t>the</w:t>
      </w:r>
      <w:r w:rsidRPr="00017DD7">
        <w:rPr>
          <w:rFonts w:cs="Arial"/>
          <w:szCs w:val="22"/>
        </w:rPr>
        <w:t xml:space="preserve"> upper bound scenario</w:t>
      </w:r>
      <w:r w:rsidR="009B5F68">
        <w:rPr>
          <w:rFonts w:cs="Arial"/>
          <w:szCs w:val="22"/>
        </w:rPr>
        <w:t xml:space="preserve"> for the chronic dietary exposure estimates</w:t>
      </w:r>
      <w:r w:rsidRPr="00017DD7">
        <w:rPr>
          <w:rFonts w:cs="Arial"/>
          <w:szCs w:val="22"/>
        </w:rPr>
        <w:t>.</w:t>
      </w:r>
    </w:p>
    <w:p w:rsidR="00D33562" w:rsidRPr="00017DD7" w:rsidRDefault="00D33562"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rsidR="006021E9" w:rsidRDefault="00017DD7" w:rsidP="006021E9">
      <w:pPr>
        <w:rPr>
          <w:rFonts w:cs="Arial"/>
        </w:rPr>
      </w:pPr>
      <w:r w:rsidRPr="00017DD7">
        <w:rPr>
          <w:rFonts w:cs="Arial"/>
          <w:szCs w:val="22"/>
        </w:rPr>
        <w:t>A summary of the c</w:t>
      </w:r>
      <w:r w:rsidRPr="009E51B7">
        <w:rPr>
          <w:rFonts w:cs="Arial"/>
          <w:szCs w:val="22"/>
        </w:rPr>
        <w:t xml:space="preserve">oncentration data from </w:t>
      </w:r>
      <w:r>
        <w:rPr>
          <w:rFonts w:cs="Arial"/>
          <w:szCs w:val="22"/>
        </w:rPr>
        <w:t>Survey 1</w:t>
      </w:r>
      <w:r w:rsidR="00FF4C13">
        <w:rPr>
          <w:rFonts w:cs="Arial"/>
          <w:szCs w:val="22"/>
        </w:rPr>
        <w:t xml:space="preserve">, 2 and </w:t>
      </w:r>
      <w:r>
        <w:rPr>
          <w:rFonts w:cs="Arial"/>
          <w:szCs w:val="22"/>
        </w:rPr>
        <w:t xml:space="preserve">3, </w:t>
      </w:r>
      <w:r w:rsidRPr="009E51B7">
        <w:rPr>
          <w:rFonts w:cs="Arial"/>
          <w:szCs w:val="22"/>
        </w:rPr>
        <w:t xml:space="preserve">as </w:t>
      </w:r>
      <w:r>
        <w:rPr>
          <w:rFonts w:cs="Arial"/>
          <w:szCs w:val="22"/>
        </w:rPr>
        <w:t xml:space="preserve">prepared </w:t>
      </w:r>
      <w:r w:rsidRPr="009E51B7">
        <w:rPr>
          <w:rFonts w:cs="Arial"/>
          <w:szCs w:val="22"/>
        </w:rPr>
        <w:t xml:space="preserve">for the dietary exposure assessment is shown in </w:t>
      </w:r>
      <w:r w:rsidR="00742772">
        <w:rPr>
          <w:rFonts w:cs="Arial"/>
          <w:szCs w:val="22"/>
        </w:rPr>
        <w:t>A</w:t>
      </w:r>
      <w:r w:rsidR="00D85A57">
        <w:rPr>
          <w:rFonts w:cs="Arial"/>
          <w:szCs w:val="22"/>
        </w:rPr>
        <w:t xml:space="preserve">ppendix </w:t>
      </w:r>
      <w:r w:rsidR="00742772">
        <w:rPr>
          <w:rFonts w:cs="Arial"/>
          <w:szCs w:val="22"/>
        </w:rPr>
        <w:t>4</w:t>
      </w:r>
      <w:r w:rsidRPr="002C0184">
        <w:rPr>
          <w:rFonts w:cs="Arial"/>
          <w:szCs w:val="22"/>
        </w:rPr>
        <w:t>.</w:t>
      </w:r>
      <w:r w:rsidR="002C0184" w:rsidRPr="002C0184">
        <w:rPr>
          <w:rFonts w:cs="Arial"/>
          <w:szCs w:val="22"/>
        </w:rPr>
        <w:t xml:space="preserve"> </w:t>
      </w:r>
      <w:r w:rsidR="00D33562" w:rsidRPr="002C0184">
        <w:rPr>
          <w:rFonts w:cs="Arial"/>
          <w:szCs w:val="22"/>
        </w:rPr>
        <w:t xml:space="preserve">Detailed information about the concentration data for some specific foods for the purpose of the dietary exposure assessment can be </w:t>
      </w:r>
      <w:r w:rsidR="00D33562" w:rsidRPr="00057E19">
        <w:rPr>
          <w:rFonts w:cs="Arial"/>
          <w:szCs w:val="22"/>
        </w:rPr>
        <w:t>found in</w:t>
      </w:r>
      <w:r w:rsidR="006021E9">
        <w:rPr>
          <w:rFonts w:cs="Arial"/>
          <w:szCs w:val="22"/>
        </w:rPr>
        <w:t xml:space="preserve"> </w:t>
      </w:r>
      <w:r w:rsidR="006021E9" w:rsidRPr="00E11362">
        <w:rPr>
          <w:rFonts w:cs="Arial"/>
          <w:szCs w:val="22"/>
        </w:rPr>
        <w:t xml:space="preserve">Appendix </w:t>
      </w:r>
      <w:r w:rsidR="00E11362">
        <w:rPr>
          <w:rFonts w:cs="Arial"/>
          <w:szCs w:val="22"/>
        </w:rPr>
        <w:t>5</w:t>
      </w:r>
      <w:r w:rsidR="006021E9">
        <w:rPr>
          <w:rFonts w:cs="Arial"/>
          <w:szCs w:val="22"/>
        </w:rPr>
        <w:t>.</w:t>
      </w:r>
    </w:p>
    <w:p w:rsidR="00D33562" w:rsidRDefault="00D33562" w:rsidP="00D33562"/>
    <w:p w:rsidR="006D2A1C" w:rsidRDefault="006D2A1C" w:rsidP="0026440D">
      <w:pPr>
        <w:pStyle w:val="Heading3"/>
      </w:pPr>
      <w:bookmarkStart w:id="117" w:name="_5.2.2_Concentration_data"/>
      <w:bookmarkStart w:id="118" w:name="_Toc367957746"/>
      <w:bookmarkStart w:id="119" w:name="_Toc384293519"/>
      <w:bookmarkEnd w:id="117"/>
      <w:r w:rsidRPr="00473EBF">
        <w:t>5.2.</w:t>
      </w:r>
      <w:r w:rsidR="00E770CF" w:rsidRPr="00473EBF">
        <w:t>2</w:t>
      </w:r>
      <w:r w:rsidR="00842210">
        <w:tab/>
      </w:r>
      <w:r w:rsidRPr="00473EBF">
        <w:t>Concentration data from surveys of RTE cassava chips</w:t>
      </w:r>
      <w:bookmarkEnd w:id="118"/>
      <w:bookmarkEnd w:id="119"/>
    </w:p>
    <w:p w:rsidR="00BE4592" w:rsidRPr="00BE4592" w:rsidRDefault="00BE4592" w:rsidP="00BE4592"/>
    <w:p w:rsidR="006D2A1C" w:rsidRDefault="006D2A1C" w:rsidP="00C61865">
      <w:pPr>
        <w:rPr>
          <w:rFonts w:cs="Arial"/>
          <w:szCs w:val="22"/>
        </w:rPr>
      </w:pPr>
      <w:r w:rsidRPr="006D2A1C">
        <w:rPr>
          <w:rFonts w:cs="Arial"/>
          <w:szCs w:val="22"/>
        </w:rPr>
        <w:t xml:space="preserve">Since the ML </w:t>
      </w:r>
      <w:r w:rsidR="00304BCC">
        <w:rPr>
          <w:rFonts w:cs="Arial"/>
          <w:szCs w:val="22"/>
        </w:rPr>
        <w:t xml:space="preserve">for RTE cassava chips </w:t>
      </w:r>
      <w:r w:rsidRPr="006D2A1C">
        <w:rPr>
          <w:rFonts w:cs="Arial"/>
          <w:szCs w:val="22"/>
        </w:rPr>
        <w:t xml:space="preserve">was introduced in 2009, </w:t>
      </w:r>
      <w:r w:rsidR="000061A7">
        <w:rPr>
          <w:rFonts w:cs="Arial"/>
          <w:szCs w:val="22"/>
        </w:rPr>
        <w:t xml:space="preserve">the </w:t>
      </w:r>
      <w:r w:rsidR="00965454">
        <w:rPr>
          <w:rFonts w:cs="Arial"/>
          <w:szCs w:val="22"/>
        </w:rPr>
        <w:t>NSW F</w:t>
      </w:r>
      <w:r w:rsidR="000061A7">
        <w:rPr>
          <w:rFonts w:cs="Arial"/>
          <w:szCs w:val="22"/>
        </w:rPr>
        <w:t xml:space="preserve">ood </w:t>
      </w:r>
      <w:r w:rsidR="00965454">
        <w:rPr>
          <w:rFonts w:cs="Arial"/>
          <w:szCs w:val="22"/>
        </w:rPr>
        <w:t>A</w:t>
      </w:r>
      <w:r w:rsidR="000061A7">
        <w:rPr>
          <w:rFonts w:cs="Arial"/>
          <w:szCs w:val="22"/>
        </w:rPr>
        <w:t>uthority (NSW FA)</w:t>
      </w:r>
      <w:r w:rsidR="00965454">
        <w:rPr>
          <w:rFonts w:cs="Arial"/>
          <w:szCs w:val="22"/>
        </w:rPr>
        <w:t xml:space="preserve"> and NZ MPI,</w:t>
      </w:r>
      <w:r w:rsidRPr="006D2A1C">
        <w:rPr>
          <w:rFonts w:cs="Arial"/>
          <w:szCs w:val="22"/>
        </w:rPr>
        <w:t xml:space="preserve"> have continued to monitor </w:t>
      </w:r>
      <w:r w:rsidR="009F6451">
        <w:rPr>
          <w:rFonts w:cs="Arial"/>
          <w:szCs w:val="22"/>
        </w:rPr>
        <w:t xml:space="preserve">HCN </w:t>
      </w:r>
      <w:r w:rsidRPr="006D2A1C">
        <w:rPr>
          <w:rFonts w:cs="Arial"/>
          <w:szCs w:val="22"/>
        </w:rPr>
        <w:t>concentrations in RTE cassava chips</w:t>
      </w:r>
      <w:r w:rsidR="00965454">
        <w:rPr>
          <w:rFonts w:cs="Arial"/>
          <w:szCs w:val="22"/>
        </w:rPr>
        <w:t xml:space="preserve"> through analytical surveys</w:t>
      </w:r>
      <w:r w:rsidRPr="006D2A1C">
        <w:rPr>
          <w:rFonts w:cs="Arial"/>
          <w:szCs w:val="22"/>
        </w:rPr>
        <w:t>.</w:t>
      </w:r>
      <w:r w:rsidR="00F06668">
        <w:rPr>
          <w:rFonts w:cs="Arial"/>
          <w:szCs w:val="22"/>
        </w:rPr>
        <w:t xml:space="preserve"> The </w:t>
      </w:r>
      <w:r w:rsidR="009F6451">
        <w:rPr>
          <w:rFonts w:cs="Arial"/>
          <w:szCs w:val="22"/>
        </w:rPr>
        <w:t>data</w:t>
      </w:r>
      <w:r w:rsidRPr="006D2A1C">
        <w:rPr>
          <w:rFonts w:cs="Arial"/>
          <w:szCs w:val="22"/>
        </w:rPr>
        <w:t xml:space="preserve"> from</w:t>
      </w:r>
      <w:r w:rsidR="00F06668">
        <w:rPr>
          <w:rFonts w:cs="Arial"/>
          <w:szCs w:val="22"/>
        </w:rPr>
        <w:t xml:space="preserve"> these</w:t>
      </w:r>
      <w:r w:rsidRPr="006D2A1C">
        <w:rPr>
          <w:rFonts w:cs="Arial"/>
          <w:szCs w:val="22"/>
        </w:rPr>
        <w:t xml:space="preserve"> surveys were reviewed </w:t>
      </w:r>
      <w:r w:rsidR="009F6451">
        <w:rPr>
          <w:rFonts w:cs="Arial"/>
          <w:szCs w:val="22"/>
        </w:rPr>
        <w:t xml:space="preserve">to determine </w:t>
      </w:r>
      <w:r w:rsidRPr="006D2A1C">
        <w:rPr>
          <w:rFonts w:cs="Arial"/>
          <w:szCs w:val="22"/>
        </w:rPr>
        <w:t xml:space="preserve">a representative (mean) concentration </w:t>
      </w:r>
      <w:r w:rsidR="009F6451">
        <w:rPr>
          <w:rFonts w:cs="Arial"/>
          <w:szCs w:val="22"/>
        </w:rPr>
        <w:t>for</w:t>
      </w:r>
      <w:r w:rsidRPr="006D2A1C">
        <w:rPr>
          <w:rFonts w:cs="Arial"/>
          <w:szCs w:val="22"/>
        </w:rPr>
        <w:t xml:space="preserve"> use in the chronic dietary exposure calculations</w:t>
      </w:r>
      <w:r w:rsidR="00A56532">
        <w:rPr>
          <w:rFonts w:cs="Arial"/>
          <w:szCs w:val="22"/>
        </w:rPr>
        <w:t xml:space="preserve"> for this report</w:t>
      </w:r>
      <w:r w:rsidRPr="006D2A1C">
        <w:rPr>
          <w:rFonts w:cs="Arial"/>
          <w:szCs w:val="22"/>
        </w:rPr>
        <w:t>.</w:t>
      </w:r>
      <w:r w:rsidR="00F06668">
        <w:rPr>
          <w:rFonts w:cs="Arial"/>
          <w:szCs w:val="22"/>
        </w:rPr>
        <w:t xml:space="preserve"> </w:t>
      </w:r>
      <w:r w:rsidRPr="006D2A1C">
        <w:rPr>
          <w:rFonts w:cs="Arial"/>
          <w:szCs w:val="22"/>
        </w:rPr>
        <w:t>The</w:t>
      </w:r>
      <w:r w:rsidR="00F06668">
        <w:rPr>
          <w:rFonts w:cs="Arial"/>
          <w:szCs w:val="22"/>
        </w:rPr>
        <w:t xml:space="preserve">se data were </w:t>
      </w:r>
      <w:r w:rsidRPr="006D2A1C">
        <w:rPr>
          <w:rFonts w:cs="Arial"/>
          <w:szCs w:val="22"/>
        </w:rPr>
        <w:t xml:space="preserve">summarised and used separately for each country. This was because the surveys were done by independent agencies </w:t>
      </w:r>
      <w:r w:rsidR="00365941">
        <w:rPr>
          <w:rFonts w:cs="Arial"/>
          <w:szCs w:val="22"/>
        </w:rPr>
        <w:t>with potential</w:t>
      </w:r>
      <w:r w:rsidR="00365941" w:rsidRPr="006D2A1C">
        <w:rPr>
          <w:rFonts w:cs="Arial"/>
          <w:szCs w:val="22"/>
        </w:rPr>
        <w:t xml:space="preserve"> </w:t>
      </w:r>
      <w:r w:rsidRPr="006D2A1C">
        <w:rPr>
          <w:rFonts w:cs="Arial"/>
          <w:szCs w:val="22"/>
        </w:rPr>
        <w:t>differences in the sampling and analysis.</w:t>
      </w:r>
      <w:r w:rsidR="00F06668">
        <w:rPr>
          <w:rFonts w:cs="Arial"/>
          <w:szCs w:val="22"/>
        </w:rPr>
        <w:t xml:space="preserve"> </w:t>
      </w:r>
      <w:r w:rsidRPr="006D2A1C">
        <w:rPr>
          <w:rFonts w:cs="Arial"/>
          <w:szCs w:val="22"/>
        </w:rPr>
        <w:t>A summary of the</w:t>
      </w:r>
      <w:r w:rsidR="00C61865">
        <w:rPr>
          <w:rFonts w:cs="Arial"/>
          <w:szCs w:val="22"/>
        </w:rPr>
        <w:t xml:space="preserve"> concentration</w:t>
      </w:r>
      <w:r w:rsidRPr="006D2A1C">
        <w:rPr>
          <w:rFonts w:cs="Arial"/>
          <w:szCs w:val="22"/>
        </w:rPr>
        <w:t xml:space="preserve"> </w:t>
      </w:r>
      <w:r w:rsidR="00F06668">
        <w:rPr>
          <w:rFonts w:cs="Arial"/>
          <w:szCs w:val="22"/>
        </w:rPr>
        <w:t xml:space="preserve">data used in the chronic dietary exposure calculations is shown in </w:t>
      </w:r>
      <w:r w:rsidR="00425868">
        <w:rPr>
          <w:rFonts w:cs="Arial"/>
          <w:szCs w:val="22"/>
        </w:rPr>
        <w:t>A</w:t>
      </w:r>
      <w:r w:rsidR="00304BCC">
        <w:rPr>
          <w:rFonts w:cs="Arial"/>
          <w:szCs w:val="22"/>
        </w:rPr>
        <w:t xml:space="preserve">ppendix </w:t>
      </w:r>
      <w:r w:rsidR="00E11362">
        <w:rPr>
          <w:rFonts w:cs="Arial"/>
          <w:szCs w:val="22"/>
        </w:rPr>
        <w:t>6</w:t>
      </w:r>
      <w:r w:rsidR="00F06668">
        <w:rPr>
          <w:rFonts w:cs="Arial"/>
          <w:szCs w:val="22"/>
        </w:rPr>
        <w:t>.</w:t>
      </w:r>
      <w:r w:rsidR="009E553A">
        <w:rPr>
          <w:rFonts w:cs="Arial"/>
          <w:szCs w:val="22"/>
        </w:rPr>
        <w:t xml:space="preserve"> </w:t>
      </w:r>
      <w:r w:rsidR="009D72E8">
        <w:rPr>
          <w:rFonts w:cs="Arial"/>
          <w:szCs w:val="22"/>
        </w:rPr>
        <w:t>A</w:t>
      </w:r>
      <w:r w:rsidR="009D72E8" w:rsidRPr="006D2A1C">
        <w:rPr>
          <w:rFonts w:cs="Arial"/>
          <w:szCs w:val="22"/>
        </w:rPr>
        <w:t xml:space="preserve"> </w:t>
      </w:r>
      <w:r w:rsidRPr="006D2A1C">
        <w:rPr>
          <w:rFonts w:cs="Arial"/>
          <w:szCs w:val="22"/>
        </w:rPr>
        <w:t>comprehensive acute dietary exposure assessment was conducted for</w:t>
      </w:r>
      <w:r w:rsidR="009D72E8">
        <w:rPr>
          <w:rFonts w:cs="Arial"/>
          <w:szCs w:val="22"/>
        </w:rPr>
        <w:t xml:space="preserve"> RTE cassava chips in</w:t>
      </w:r>
      <w:r w:rsidRPr="006D2A1C">
        <w:rPr>
          <w:rFonts w:cs="Arial"/>
          <w:szCs w:val="22"/>
        </w:rPr>
        <w:t xml:space="preserve"> P1002</w:t>
      </w:r>
      <w:r w:rsidR="00EC35D1">
        <w:rPr>
          <w:rFonts w:cs="Arial"/>
          <w:szCs w:val="22"/>
        </w:rPr>
        <w:t xml:space="preserve"> (FSANZ, 2008</w:t>
      </w:r>
      <w:r w:rsidR="00DD2DB0">
        <w:rPr>
          <w:rFonts w:cs="Arial"/>
          <w:szCs w:val="22"/>
        </w:rPr>
        <w:t>a</w:t>
      </w:r>
      <w:r w:rsidR="00EC35D1">
        <w:rPr>
          <w:rFonts w:cs="Arial"/>
          <w:szCs w:val="22"/>
        </w:rPr>
        <w:t>)</w:t>
      </w:r>
      <w:r w:rsidR="009D72E8">
        <w:rPr>
          <w:rFonts w:cs="Arial"/>
          <w:szCs w:val="22"/>
        </w:rPr>
        <w:t xml:space="preserve"> and therefore was not undertaken in this study.</w:t>
      </w:r>
    </w:p>
    <w:p w:rsidR="00965454" w:rsidRPr="006D2A1C" w:rsidRDefault="00965454" w:rsidP="00C61865">
      <w:pPr>
        <w:rPr>
          <w:rFonts w:cs="Arial"/>
          <w:szCs w:val="22"/>
        </w:rPr>
      </w:pPr>
    </w:p>
    <w:p w:rsidR="00D33562" w:rsidRDefault="00C61865" w:rsidP="00860EF0">
      <w:pPr>
        <w:pStyle w:val="Heading2"/>
      </w:pPr>
      <w:bookmarkStart w:id="120" w:name="_Toc360111833"/>
      <w:bookmarkStart w:id="121" w:name="_Toc367957747"/>
      <w:bookmarkStart w:id="122" w:name="_Toc384293520"/>
      <w:r>
        <w:lastRenderedPageBreak/>
        <w:t>5.3</w:t>
      </w:r>
      <w:r>
        <w:tab/>
        <w:t>Dietary e</w:t>
      </w:r>
      <w:r w:rsidR="00D33562">
        <w:t xml:space="preserve">xposure </w:t>
      </w:r>
      <w:r>
        <w:t>a</w:t>
      </w:r>
      <w:r w:rsidR="00D33562">
        <w:t>ssessment</w:t>
      </w:r>
      <w:bookmarkEnd w:id="120"/>
      <w:bookmarkEnd w:id="121"/>
      <w:bookmarkEnd w:id="122"/>
    </w:p>
    <w:p w:rsidR="00BE4592" w:rsidRPr="00BE4592" w:rsidRDefault="00BE4592" w:rsidP="00BE4592"/>
    <w:p w:rsidR="00BE4592" w:rsidRDefault="00C61865" w:rsidP="00D33562">
      <w:r w:rsidRPr="00C61865">
        <w:rPr>
          <w:rFonts w:cs="Arial"/>
          <w:szCs w:val="22"/>
        </w:rPr>
        <w:t>The</w:t>
      </w:r>
      <w:r w:rsidR="00D33562" w:rsidRPr="00C61865">
        <w:rPr>
          <w:rFonts w:cs="Arial"/>
          <w:szCs w:val="22"/>
        </w:rPr>
        <w:t xml:space="preserve"> dietary exposure assessment was conducted to </w:t>
      </w:r>
      <w:r w:rsidR="002737E0" w:rsidRPr="007477F3">
        <w:rPr>
          <w:rFonts w:cs="Arial"/>
          <w:szCs w:val="22"/>
        </w:rPr>
        <w:t>estimate</w:t>
      </w:r>
      <w:r w:rsidR="002737E0" w:rsidRPr="00C61865">
        <w:rPr>
          <w:rFonts w:cs="Arial"/>
          <w:szCs w:val="22"/>
        </w:rPr>
        <w:t xml:space="preserve"> </w:t>
      </w:r>
      <w:r w:rsidR="00D33562" w:rsidRPr="00C61865">
        <w:rPr>
          <w:rFonts w:cs="Arial"/>
          <w:szCs w:val="22"/>
        </w:rPr>
        <w:t>the level of</w:t>
      </w:r>
      <w:r>
        <w:rPr>
          <w:rFonts w:cs="Arial"/>
          <w:szCs w:val="22"/>
        </w:rPr>
        <w:t xml:space="preserve"> chronic and</w:t>
      </w:r>
      <w:r w:rsidR="00D33562" w:rsidRPr="00C61865">
        <w:rPr>
          <w:rFonts w:cs="Arial"/>
          <w:szCs w:val="22"/>
        </w:rPr>
        <w:t xml:space="preserve"> acute dietary exposure to HCN</w:t>
      </w:r>
      <w:r w:rsidR="009955FE">
        <w:rPr>
          <w:rFonts w:cs="Arial"/>
          <w:szCs w:val="22"/>
        </w:rPr>
        <w:t>.</w:t>
      </w:r>
      <w:r w:rsidR="009955FE" w:rsidRPr="009955FE">
        <w:t xml:space="preserve"> </w:t>
      </w:r>
    </w:p>
    <w:p w:rsidR="005D6020" w:rsidRDefault="005D6020" w:rsidP="00D33562">
      <w:pPr>
        <w:rPr>
          <w:rFonts w:cs="Arial"/>
          <w:szCs w:val="22"/>
        </w:rPr>
      </w:pPr>
    </w:p>
    <w:p w:rsidR="00D33562" w:rsidRDefault="00BA6B1C" w:rsidP="0026440D">
      <w:pPr>
        <w:pStyle w:val="Heading3"/>
      </w:pPr>
      <w:bookmarkStart w:id="123" w:name="_Toc367957748"/>
      <w:bookmarkStart w:id="124" w:name="_Toc384293521"/>
      <w:r w:rsidRPr="00473EBF">
        <w:t>5.3.1</w:t>
      </w:r>
      <w:r w:rsidR="00842210">
        <w:tab/>
      </w:r>
      <w:r w:rsidRPr="00473EBF">
        <w:t>Dietary exposure assessment methodology</w:t>
      </w:r>
      <w:bookmarkEnd w:id="123"/>
      <w:bookmarkEnd w:id="124"/>
    </w:p>
    <w:p w:rsidR="00BE4592" w:rsidRPr="00BE4592" w:rsidRDefault="00BE4592" w:rsidP="00BE4592"/>
    <w:p w:rsidR="00D33562" w:rsidRPr="00C61865" w:rsidRDefault="00D33562" w:rsidP="00D33562">
      <w:pPr>
        <w:rPr>
          <w:rFonts w:cs="Arial"/>
          <w:szCs w:val="22"/>
        </w:rPr>
      </w:pPr>
      <w:r w:rsidRPr="00C61865">
        <w:rPr>
          <w:rFonts w:cs="Arial"/>
          <w:szCs w:val="22"/>
        </w:rPr>
        <w:t>A dietary exposure assessment is the process of estimating how much of a food chemical a population, or population sub-group, consumes. FSANZ’s approach to dietary modelling is based on internationally accepted procedures for estimating dietary exposure to food chemicals. Different dietary modelling approaches may be used depending on the assessment, the type of food chemical, the data available and the risk assessment questions to be answered. Further information on how FSANZ conduct</w:t>
      </w:r>
      <w:r w:rsidR="000979AF">
        <w:rPr>
          <w:rFonts w:cs="Arial"/>
          <w:szCs w:val="22"/>
        </w:rPr>
        <w:t>s</w:t>
      </w:r>
      <w:r w:rsidRPr="00C61865">
        <w:rPr>
          <w:rFonts w:cs="Arial"/>
          <w:szCs w:val="22"/>
        </w:rPr>
        <w:t xml:space="preserve"> dietary exposure assessments </w:t>
      </w:r>
      <w:r w:rsidR="000979AF">
        <w:rPr>
          <w:rFonts w:cs="Arial"/>
          <w:szCs w:val="22"/>
        </w:rPr>
        <w:t>is</w:t>
      </w:r>
      <w:r w:rsidRPr="00C61865">
        <w:rPr>
          <w:rFonts w:cs="Arial"/>
          <w:szCs w:val="22"/>
        </w:rPr>
        <w:t xml:space="preserve"> not </w:t>
      </w:r>
      <w:r w:rsidR="000979AF">
        <w:rPr>
          <w:rFonts w:cs="Arial"/>
          <w:szCs w:val="22"/>
        </w:rPr>
        <w:t>provided</w:t>
      </w:r>
      <w:r w:rsidRPr="00C61865">
        <w:rPr>
          <w:rFonts w:cs="Arial"/>
          <w:szCs w:val="22"/>
        </w:rPr>
        <w:t xml:space="preserve"> in this report but can be found in the document </w:t>
      </w:r>
      <w:r w:rsidRPr="00C61865">
        <w:rPr>
          <w:rFonts w:cs="Arial"/>
          <w:i/>
          <w:szCs w:val="22"/>
        </w:rPr>
        <w:t xml:space="preserve">FSANZ </w:t>
      </w:r>
      <w:r w:rsidR="00FF4C13">
        <w:rPr>
          <w:rFonts w:cs="Arial"/>
          <w:i/>
          <w:szCs w:val="22"/>
        </w:rPr>
        <w:t>p</w:t>
      </w:r>
      <w:r w:rsidRPr="00C61865">
        <w:rPr>
          <w:rFonts w:cs="Arial"/>
          <w:i/>
          <w:szCs w:val="22"/>
        </w:rPr>
        <w:t xml:space="preserve">rinciples and </w:t>
      </w:r>
      <w:r w:rsidR="00FF4C13">
        <w:rPr>
          <w:rFonts w:cs="Arial"/>
          <w:i/>
          <w:szCs w:val="22"/>
        </w:rPr>
        <w:t>p</w:t>
      </w:r>
      <w:r w:rsidRPr="00C61865">
        <w:rPr>
          <w:rFonts w:cs="Arial"/>
          <w:i/>
          <w:szCs w:val="22"/>
        </w:rPr>
        <w:t xml:space="preserve">ractices of dietary exposure assessment for </w:t>
      </w:r>
      <w:r w:rsidR="00FF4C13">
        <w:rPr>
          <w:rFonts w:cs="Arial"/>
          <w:i/>
          <w:szCs w:val="22"/>
        </w:rPr>
        <w:t>f</w:t>
      </w:r>
      <w:r w:rsidRPr="00C61865">
        <w:rPr>
          <w:rFonts w:cs="Arial"/>
          <w:i/>
          <w:szCs w:val="22"/>
        </w:rPr>
        <w:t xml:space="preserve">ood </w:t>
      </w:r>
      <w:r w:rsidR="00FF4C13">
        <w:rPr>
          <w:rFonts w:cs="Arial"/>
          <w:i/>
          <w:szCs w:val="22"/>
        </w:rPr>
        <w:t>r</w:t>
      </w:r>
      <w:r w:rsidRPr="00C61865">
        <w:rPr>
          <w:rFonts w:cs="Arial"/>
          <w:i/>
          <w:szCs w:val="22"/>
        </w:rPr>
        <w:t xml:space="preserve">egulatory </w:t>
      </w:r>
      <w:r w:rsidR="00FF4C13">
        <w:rPr>
          <w:rFonts w:cs="Arial"/>
          <w:i/>
          <w:szCs w:val="22"/>
        </w:rPr>
        <w:t>p</w:t>
      </w:r>
      <w:r w:rsidRPr="00C61865">
        <w:rPr>
          <w:rFonts w:cs="Arial"/>
          <w:i/>
          <w:szCs w:val="22"/>
        </w:rPr>
        <w:t>urposes</w:t>
      </w:r>
      <w:r w:rsidRPr="00C61865">
        <w:rPr>
          <w:rFonts w:cs="Arial"/>
          <w:szCs w:val="22"/>
        </w:rPr>
        <w:t xml:space="preserve"> (FSANZ, 2009). Specific details related to this assessment are outlined below.</w:t>
      </w:r>
    </w:p>
    <w:p w:rsidR="00D33562" w:rsidRPr="00473EBF" w:rsidRDefault="00D33562" w:rsidP="006A3BA9">
      <w:pPr>
        <w:pStyle w:val="Heading4"/>
        <w:numPr>
          <w:ilvl w:val="3"/>
          <w:numId w:val="39"/>
        </w:numPr>
        <w:ind w:hanging="1080"/>
      </w:pPr>
      <w:bookmarkStart w:id="125" w:name="_Toc360111835"/>
      <w:r w:rsidRPr="00473EBF">
        <w:t>Chronic dietary exposure assessment</w:t>
      </w:r>
      <w:bookmarkEnd w:id="125"/>
    </w:p>
    <w:p w:rsidR="00D33562" w:rsidRPr="00965454" w:rsidRDefault="00D33562"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965454">
        <w:rPr>
          <w:rFonts w:cs="Arial"/>
          <w:szCs w:val="22"/>
        </w:rPr>
        <w:t>Chronic dietary exposure estimates are used to represent the long term, usually life-long, dietary exposure for the population from the range of foods containing the chemical of interest.</w:t>
      </w:r>
    </w:p>
    <w:p w:rsidR="00D33562" w:rsidRPr="00965454" w:rsidRDefault="00D33562"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rsidR="00D33562" w:rsidRDefault="00D33562"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965454">
        <w:rPr>
          <w:rFonts w:cs="Arial"/>
          <w:szCs w:val="22"/>
        </w:rPr>
        <w:t>The chronic dietary exposure assessment for</w:t>
      </w:r>
      <w:r w:rsidR="00A427AF">
        <w:rPr>
          <w:rFonts w:cs="Arial"/>
          <w:szCs w:val="22"/>
        </w:rPr>
        <w:t xml:space="preserve"> </w:t>
      </w:r>
      <w:r w:rsidRPr="00965454">
        <w:rPr>
          <w:rFonts w:cs="Arial"/>
          <w:szCs w:val="22"/>
        </w:rPr>
        <w:t xml:space="preserve">HCN includes the range of foods </w:t>
      </w:r>
      <w:r w:rsidR="00965454">
        <w:rPr>
          <w:rFonts w:cs="Arial"/>
          <w:szCs w:val="22"/>
        </w:rPr>
        <w:t xml:space="preserve">analysed </w:t>
      </w:r>
      <w:r w:rsidRPr="00965454">
        <w:rPr>
          <w:rFonts w:cs="Arial"/>
          <w:szCs w:val="22"/>
        </w:rPr>
        <w:t xml:space="preserve">in the ISFR survey as well as RTE cassava chips. </w:t>
      </w:r>
      <w:r w:rsidR="00355F54">
        <w:rPr>
          <w:rFonts w:cs="Arial"/>
          <w:szCs w:val="22"/>
        </w:rPr>
        <w:t>It was not possible to include r</w:t>
      </w:r>
      <w:r w:rsidR="00901F71">
        <w:rPr>
          <w:rFonts w:cs="Arial"/>
          <w:szCs w:val="22"/>
        </w:rPr>
        <w:t>aw a</w:t>
      </w:r>
      <w:r w:rsidRPr="00965454">
        <w:rPr>
          <w:rFonts w:cs="Arial"/>
          <w:szCs w:val="22"/>
        </w:rPr>
        <w:t xml:space="preserve">pricot kernels in the chronic dietary exposure </w:t>
      </w:r>
      <w:r w:rsidR="009955FE" w:rsidRPr="00965454">
        <w:rPr>
          <w:rFonts w:cs="Arial"/>
          <w:szCs w:val="22"/>
        </w:rPr>
        <w:t>assessment,</w:t>
      </w:r>
      <w:r w:rsidRPr="00965454">
        <w:rPr>
          <w:rFonts w:cs="Arial"/>
          <w:szCs w:val="22"/>
        </w:rPr>
        <w:t xml:space="preserve"> as </w:t>
      </w:r>
      <w:r w:rsidR="00614772">
        <w:rPr>
          <w:rFonts w:cs="Arial"/>
          <w:szCs w:val="22"/>
        </w:rPr>
        <w:t xml:space="preserve">this product was not recorded as </w:t>
      </w:r>
      <w:r w:rsidR="009E20EC">
        <w:rPr>
          <w:rFonts w:cs="Arial"/>
          <w:szCs w:val="22"/>
        </w:rPr>
        <w:t>h</w:t>
      </w:r>
      <w:r w:rsidR="00614772">
        <w:rPr>
          <w:rFonts w:cs="Arial"/>
          <w:szCs w:val="22"/>
        </w:rPr>
        <w:t xml:space="preserve">aving been consumed </w:t>
      </w:r>
      <w:r w:rsidRPr="00965454">
        <w:rPr>
          <w:rFonts w:cs="Arial"/>
          <w:szCs w:val="22"/>
        </w:rPr>
        <w:t xml:space="preserve">in </w:t>
      </w:r>
      <w:r w:rsidR="00614772">
        <w:rPr>
          <w:rFonts w:cs="Arial"/>
          <w:szCs w:val="22"/>
        </w:rPr>
        <w:t xml:space="preserve">any of </w:t>
      </w:r>
      <w:r w:rsidRPr="00965454">
        <w:rPr>
          <w:rFonts w:cs="Arial"/>
          <w:szCs w:val="22"/>
        </w:rPr>
        <w:t>the national nutrition surveys</w:t>
      </w:r>
      <w:r w:rsidR="00355F54">
        <w:rPr>
          <w:rFonts w:cs="Arial"/>
          <w:szCs w:val="22"/>
        </w:rPr>
        <w:t>.</w:t>
      </w:r>
      <w:r w:rsidR="00FE6891">
        <w:rPr>
          <w:rFonts w:cs="Arial"/>
          <w:szCs w:val="22"/>
        </w:rPr>
        <w:t xml:space="preserve"> </w:t>
      </w:r>
    </w:p>
    <w:p w:rsidR="009E20EC" w:rsidRPr="00965454" w:rsidRDefault="009E20EC"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rsidR="00D33562" w:rsidRPr="00965454" w:rsidRDefault="00D33562"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965454">
        <w:rPr>
          <w:rFonts w:cs="Arial"/>
          <w:szCs w:val="22"/>
        </w:rPr>
        <w:t xml:space="preserve">The chronic dietary exposure assessments were conducted using a semi-probabilistic method, where a distribution of consumption values for each food derived from individual records was combined with a single concentration value of HCN for each food. Summary population statistics were then </w:t>
      </w:r>
      <w:r w:rsidR="00A427AF">
        <w:rPr>
          <w:rFonts w:cs="Arial"/>
          <w:szCs w:val="22"/>
        </w:rPr>
        <w:t xml:space="preserve">calculated </w:t>
      </w:r>
      <w:r w:rsidRPr="00965454">
        <w:rPr>
          <w:rFonts w:cs="Arial"/>
          <w:szCs w:val="22"/>
        </w:rPr>
        <w:t>from the distribution of individual exposures to HCN</w:t>
      </w:r>
      <w:r w:rsidR="00B93506">
        <w:rPr>
          <w:rFonts w:cs="Arial"/>
          <w:szCs w:val="22"/>
        </w:rPr>
        <w:t xml:space="preserve"> at the mean and 90</w:t>
      </w:r>
      <w:r w:rsidR="00B93506" w:rsidRPr="00B93506">
        <w:rPr>
          <w:rFonts w:cs="Arial"/>
          <w:szCs w:val="22"/>
          <w:vertAlign w:val="superscript"/>
        </w:rPr>
        <w:t>th</w:t>
      </w:r>
      <w:r w:rsidR="00B93506">
        <w:rPr>
          <w:rFonts w:cs="Arial"/>
          <w:szCs w:val="22"/>
        </w:rPr>
        <w:t xml:space="preserve"> percentile of consumption</w:t>
      </w:r>
      <w:r w:rsidRPr="00965454">
        <w:rPr>
          <w:rFonts w:cs="Arial"/>
          <w:szCs w:val="22"/>
        </w:rPr>
        <w:t>. For risk characterisation purposes, the estimated dietary exposures to HCN were converted to exposures as cyanide to allow direct comparison with the PMTDI which is expressed as cyanide. The conversion of HCN to CN</w:t>
      </w:r>
      <w:r w:rsidRPr="00965454">
        <w:rPr>
          <w:rFonts w:cs="Arial"/>
          <w:szCs w:val="22"/>
          <w:vertAlign w:val="superscript"/>
        </w:rPr>
        <w:t>-</w:t>
      </w:r>
      <w:r w:rsidRPr="00965454">
        <w:rPr>
          <w:rFonts w:cs="Arial"/>
          <w:szCs w:val="22"/>
        </w:rPr>
        <w:t xml:space="preserve"> was done using molecular weights (HCN = 27.03; cyanide = 26).</w:t>
      </w:r>
    </w:p>
    <w:p w:rsidR="00D33562" w:rsidRPr="00473EBF" w:rsidRDefault="00D33562" w:rsidP="006A3BA9">
      <w:pPr>
        <w:pStyle w:val="Heading4"/>
        <w:numPr>
          <w:ilvl w:val="3"/>
          <w:numId w:val="39"/>
        </w:numPr>
        <w:ind w:hanging="1080"/>
      </w:pPr>
      <w:bookmarkStart w:id="126" w:name="_Acute_dietary_exposure"/>
      <w:bookmarkStart w:id="127" w:name="_Toc360111836"/>
      <w:bookmarkEnd w:id="126"/>
      <w:r w:rsidRPr="00473EBF">
        <w:t>Acute dietary exposure assessment</w:t>
      </w:r>
      <w:bookmarkEnd w:id="127"/>
    </w:p>
    <w:p w:rsidR="00D33562" w:rsidRPr="00A427AF" w:rsidRDefault="00D33562"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A427AF">
        <w:rPr>
          <w:rFonts w:cs="Arial"/>
          <w:szCs w:val="22"/>
        </w:rPr>
        <w:t>Acute dietary exposure estimates are used to represent the high consumer and a high exposure, from a single food or food group, from one meal or over one day.</w:t>
      </w:r>
    </w:p>
    <w:p w:rsidR="00D33562" w:rsidRPr="00A427AF" w:rsidRDefault="00D33562"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rsidR="00B93506" w:rsidRDefault="00D33562" w:rsidP="00D33562">
      <w:pPr>
        <w:rPr>
          <w:rFonts w:cs="Arial"/>
          <w:szCs w:val="22"/>
        </w:rPr>
      </w:pPr>
      <w:r w:rsidRPr="00A427AF">
        <w:rPr>
          <w:rFonts w:cs="Arial"/>
          <w:szCs w:val="22"/>
        </w:rPr>
        <w:t>A deterministic acute dietary exposure assessment was undertaken where a single food consumption value at the 97.5</w:t>
      </w:r>
      <w:r w:rsidRPr="00A427AF">
        <w:rPr>
          <w:rFonts w:cs="Arial"/>
          <w:szCs w:val="22"/>
          <w:vertAlign w:val="superscript"/>
        </w:rPr>
        <w:t>th</w:t>
      </w:r>
      <w:r w:rsidRPr="00A427AF">
        <w:rPr>
          <w:rFonts w:cs="Arial"/>
          <w:szCs w:val="22"/>
        </w:rPr>
        <w:t xml:space="preserve"> percentile for each food </w:t>
      </w:r>
      <w:r w:rsidR="00FC4734">
        <w:rPr>
          <w:rFonts w:cs="Arial"/>
          <w:szCs w:val="22"/>
        </w:rPr>
        <w:t xml:space="preserve">(consumers of the food only) </w:t>
      </w:r>
      <w:r w:rsidRPr="00A427AF">
        <w:rPr>
          <w:rFonts w:cs="Arial"/>
          <w:szCs w:val="22"/>
        </w:rPr>
        <w:t>was combined with the maximum concentration of HCN for the food from the ISFR survey</w:t>
      </w:r>
      <w:r w:rsidRPr="007477F3">
        <w:rPr>
          <w:rFonts w:cs="Arial"/>
          <w:szCs w:val="22"/>
        </w:rPr>
        <w:t>.</w:t>
      </w:r>
      <w:r w:rsidR="00293FC9" w:rsidRPr="007477F3">
        <w:rPr>
          <w:rFonts w:cs="Arial"/>
          <w:szCs w:val="22"/>
        </w:rPr>
        <w:t xml:space="preserve"> A deterministic acute dietary exposure assessment is </w:t>
      </w:r>
      <w:r w:rsidR="004E40B4" w:rsidRPr="007477F3">
        <w:rPr>
          <w:rFonts w:cs="Arial"/>
          <w:szCs w:val="22"/>
        </w:rPr>
        <w:t xml:space="preserve">intended to be </w:t>
      </w:r>
      <w:r w:rsidR="00293FC9" w:rsidRPr="007477F3">
        <w:rPr>
          <w:rFonts w:cs="Arial"/>
          <w:szCs w:val="22"/>
        </w:rPr>
        <w:t xml:space="preserve">conservative </w:t>
      </w:r>
      <w:r w:rsidR="00616F6B" w:rsidRPr="007477F3">
        <w:rPr>
          <w:rFonts w:cs="Arial"/>
          <w:szCs w:val="22"/>
        </w:rPr>
        <w:t xml:space="preserve">as it is an estimate of ‘worst case’ exposure, </w:t>
      </w:r>
      <w:r w:rsidR="00293FC9" w:rsidRPr="007477F3">
        <w:rPr>
          <w:rFonts w:cs="Arial"/>
          <w:szCs w:val="22"/>
        </w:rPr>
        <w:t>to be protective of the health and safety of consumers.</w:t>
      </w:r>
      <w:r w:rsidR="00293FC9">
        <w:rPr>
          <w:rFonts w:cs="Arial"/>
          <w:szCs w:val="22"/>
        </w:rPr>
        <w:t xml:space="preserve"> </w:t>
      </w:r>
      <w:r w:rsidR="007029E7">
        <w:rPr>
          <w:rFonts w:cs="Arial"/>
          <w:szCs w:val="22"/>
        </w:rPr>
        <w:t>For risk characterisation purposes, the e</w:t>
      </w:r>
      <w:r w:rsidRPr="00A427AF">
        <w:rPr>
          <w:rFonts w:cs="Arial"/>
          <w:szCs w:val="22"/>
        </w:rPr>
        <w:t xml:space="preserve">stimated acute dietary exposures were then compared with the ARfD. </w:t>
      </w:r>
    </w:p>
    <w:p w:rsidR="00B93506" w:rsidRDefault="00B93506" w:rsidP="00D33562">
      <w:pPr>
        <w:rPr>
          <w:rFonts w:cs="Arial"/>
          <w:szCs w:val="22"/>
        </w:rPr>
      </w:pPr>
    </w:p>
    <w:p w:rsidR="00EE078F" w:rsidRDefault="007A1CAD" w:rsidP="00D33562">
      <w:pPr>
        <w:rPr>
          <w:rFonts w:cs="Arial"/>
          <w:szCs w:val="22"/>
        </w:rPr>
      </w:pPr>
      <w:r>
        <w:rPr>
          <w:rFonts w:cs="Arial"/>
          <w:szCs w:val="22"/>
        </w:rPr>
        <w:t>If</w:t>
      </w:r>
      <w:r w:rsidR="00D33562" w:rsidRPr="00A427AF">
        <w:rPr>
          <w:rFonts w:cs="Arial"/>
          <w:szCs w:val="22"/>
        </w:rPr>
        <w:t xml:space="preserve"> there were insufficient consumers (</w:t>
      </w:r>
      <w:r w:rsidR="007029E7">
        <w:rPr>
          <w:rFonts w:cs="Arial"/>
          <w:szCs w:val="22"/>
        </w:rPr>
        <w:t xml:space="preserve">i.e. </w:t>
      </w:r>
      <w:r w:rsidR="00D33562" w:rsidRPr="00A427AF">
        <w:rPr>
          <w:rFonts w:cs="Arial"/>
          <w:szCs w:val="22"/>
        </w:rPr>
        <w:t>&lt;39</w:t>
      </w:r>
      <w:r w:rsidR="007029E7">
        <w:rPr>
          <w:rFonts w:cs="Arial"/>
          <w:szCs w:val="22"/>
        </w:rPr>
        <w:t xml:space="preserve"> consumers</w:t>
      </w:r>
      <w:r w:rsidR="00D33562" w:rsidRPr="00A427AF">
        <w:rPr>
          <w:rFonts w:cs="Arial"/>
          <w:szCs w:val="22"/>
        </w:rPr>
        <w:t>) to derive a robust 97.5</w:t>
      </w:r>
      <w:r w:rsidR="00D33562" w:rsidRPr="00A427AF">
        <w:rPr>
          <w:rFonts w:cs="Arial"/>
          <w:szCs w:val="22"/>
          <w:vertAlign w:val="superscript"/>
        </w:rPr>
        <w:t>th</w:t>
      </w:r>
      <w:r w:rsidR="00D33562" w:rsidRPr="00A427AF">
        <w:rPr>
          <w:rFonts w:cs="Arial"/>
          <w:szCs w:val="22"/>
        </w:rPr>
        <w:t xml:space="preserve"> percentile consumption figure, a median consumption value was used</w:t>
      </w:r>
      <w:r w:rsidR="00FC4734">
        <w:rPr>
          <w:rFonts w:cs="Arial"/>
          <w:szCs w:val="22"/>
        </w:rPr>
        <w:t xml:space="preserve"> (consumers of the food only)</w:t>
      </w:r>
      <w:r w:rsidR="00D33562" w:rsidRPr="00A427AF">
        <w:rPr>
          <w:rFonts w:cs="Arial"/>
          <w:szCs w:val="22"/>
        </w:rPr>
        <w:t xml:space="preserve">. Median consumption values may be used for occasionally consumed foods where it is considered unrealistic to assume anyone in the population consumes these foods at the </w:t>
      </w:r>
      <w:r w:rsidR="00D33562" w:rsidRPr="00A427AF">
        <w:rPr>
          <w:rFonts w:cs="Arial"/>
          <w:szCs w:val="22"/>
        </w:rPr>
        <w:lastRenderedPageBreak/>
        <w:t>97.5</w:t>
      </w:r>
      <w:r w:rsidR="00D33562" w:rsidRPr="00A427AF">
        <w:rPr>
          <w:rFonts w:cs="Arial"/>
          <w:szCs w:val="22"/>
          <w:vertAlign w:val="superscript"/>
        </w:rPr>
        <w:t>th</w:t>
      </w:r>
      <w:r w:rsidR="00D33562" w:rsidRPr="00A427AF">
        <w:rPr>
          <w:rFonts w:cs="Arial"/>
          <w:szCs w:val="22"/>
        </w:rPr>
        <w:t xml:space="preserve"> percentile level every day over a lifetime (ANZFA, 1999). Occasionally consumed foods are defined as those that are consumed less than once a week by 75% of the population or more. Data were available on the frequency of consumption from the 1995 Australian National Nutrition Survey for broad food groups or similar foods (e.g. ‘legumes’ and ‘sweet potato’) but not for foods specifically analysed. However, the data for the </w:t>
      </w:r>
      <w:r w:rsidR="007029E7">
        <w:rPr>
          <w:rFonts w:cs="Arial"/>
          <w:szCs w:val="22"/>
        </w:rPr>
        <w:t>broader food group</w:t>
      </w:r>
      <w:r w:rsidR="00D33562" w:rsidRPr="00A427AF">
        <w:rPr>
          <w:rFonts w:cs="Arial"/>
          <w:szCs w:val="22"/>
        </w:rPr>
        <w:t xml:space="preserve"> justified the assumption that the relevant surveyed foods would be occasionally consumed and a median consumption value was appropriate to use for these foods. These foods include linseed oil, taro</w:t>
      </w:r>
      <w:r w:rsidR="007029E7">
        <w:rPr>
          <w:rFonts w:cs="Arial"/>
          <w:szCs w:val="22"/>
        </w:rPr>
        <w:t xml:space="preserve"> and</w:t>
      </w:r>
      <w:r w:rsidR="00D33562" w:rsidRPr="00A427AF">
        <w:rPr>
          <w:rFonts w:cs="Arial"/>
          <w:szCs w:val="22"/>
        </w:rPr>
        <w:t xml:space="preserve"> lima beans, among others, depending on the population group, and are all identified in the results tables in</w:t>
      </w:r>
      <w:r w:rsidR="00BF154C">
        <w:rPr>
          <w:rFonts w:cs="Arial"/>
          <w:szCs w:val="22"/>
        </w:rPr>
        <w:t xml:space="preserve"> Appendix 10</w:t>
      </w:r>
      <w:r w:rsidR="000061A7">
        <w:rPr>
          <w:rFonts w:cs="Arial"/>
          <w:szCs w:val="22"/>
        </w:rPr>
        <w:t xml:space="preserve"> as P50</w:t>
      </w:r>
      <w:r w:rsidR="0031635B">
        <w:rPr>
          <w:rFonts w:cs="Arial"/>
          <w:szCs w:val="22"/>
        </w:rPr>
        <w:t>, with a summary of consumption levels used for each food provided in Table A10.8 of Appendix 10</w:t>
      </w:r>
      <w:r w:rsidR="00D33562" w:rsidRPr="00B93506">
        <w:rPr>
          <w:rFonts w:cs="Arial"/>
          <w:szCs w:val="22"/>
        </w:rPr>
        <w:t xml:space="preserve">. </w:t>
      </w:r>
    </w:p>
    <w:p w:rsidR="00EE078F" w:rsidRDefault="00EE078F" w:rsidP="00D33562">
      <w:pPr>
        <w:rPr>
          <w:rFonts w:cs="Arial"/>
          <w:szCs w:val="22"/>
        </w:rPr>
      </w:pPr>
    </w:p>
    <w:p w:rsidR="00D33562" w:rsidRPr="00A427AF" w:rsidRDefault="006C2D0C" w:rsidP="00D33562">
      <w:pPr>
        <w:rPr>
          <w:rFonts w:cs="Arial"/>
          <w:szCs w:val="22"/>
        </w:rPr>
      </w:pPr>
      <w:r>
        <w:rPr>
          <w:rFonts w:cs="Arial"/>
          <w:szCs w:val="22"/>
        </w:rPr>
        <w:t xml:space="preserve">If </w:t>
      </w:r>
      <w:r w:rsidR="009E20EC">
        <w:rPr>
          <w:rFonts w:cs="Arial"/>
          <w:szCs w:val="22"/>
        </w:rPr>
        <w:t>there were not enough consumers for a 97.5</w:t>
      </w:r>
      <w:r w:rsidR="009E20EC" w:rsidRPr="009E20EC">
        <w:rPr>
          <w:rFonts w:cs="Arial"/>
          <w:szCs w:val="22"/>
          <w:vertAlign w:val="superscript"/>
        </w:rPr>
        <w:t>th</w:t>
      </w:r>
      <w:r w:rsidR="009E20EC">
        <w:rPr>
          <w:rFonts w:cs="Arial"/>
          <w:szCs w:val="22"/>
        </w:rPr>
        <w:t xml:space="preserve"> percentile for a commonly consumed food for a given population group (e.g. bread containing linseed for 2002 NZCNS), the </w:t>
      </w:r>
      <w:r w:rsidR="009E20EC" w:rsidRPr="009E20EC">
        <w:rPr>
          <w:rFonts w:cs="Arial"/>
          <w:szCs w:val="22"/>
        </w:rPr>
        <w:t>97.5</w:t>
      </w:r>
      <w:r w:rsidR="009E20EC" w:rsidRPr="009E20EC">
        <w:rPr>
          <w:rFonts w:cs="Arial"/>
          <w:szCs w:val="22"/>
          <w:vertAlign w:val="superscript"/>
        </w:rPr>
        <w:t>th</w:t>
      </w:r>
      <w:r w:rsidR="009E20EC" w:rsidRPr="009E20EC">
        <w:rPr>
          <w:rFonts w:cs="Arial"/>
          <w:szCs w:val="22"/>
        </w:rPr>
        <w:t xml:space="preserve"> percentile for a broader group of that food (e.g. all grain and wholemeal breads) was used as a proxy. The data for the two days of consumption for the 2007 ANCNPAS were pooled to derive a larger dataset (i.e. not averaged across the two days) from which to derive consumption values with less uncertainty.</w:t>
      </w:r>
      <w:r w:rsidR="009E20EC">
        <w:rPr>
          <w:rFonts w:cs="Arial"/>
          <w:szCs w:val="22"/>
        </w:rPr>
        <w:t xml:space="preserve"> </w:t>
      </w:r>
    </w:p>
    <w:p w:rsidR="00D33562" w:rsidRPr="00A427AF" w:rsidRDefault="00D33562"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rsidR="00D33562" w:rsidRPr="00A427AF" w:rsidRDefault="00D33562"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A427AF">
        <w:rPr>
          <w:rFonts w:cs="Arial"/>
          <w:szCs w:val="22"/>
        </w:rPr>
        <w:t xml:space="preserve">For </w:t>
      </w:r>
      <w:r w:rsidR="00456F25">
        <w:rPr>
          <w:rFonts w:cs="Arial"/>
          <w:szCs w:val="22"/>
        </w:rPr>
        <w:t xml:space="preserve">several </w:t>
      </w:r>
      <w:r w:rsidRPr="00A427AF">
        <w:rPr>
          <w:rFonts w:cs="Arial"/>
          <w:szCs w:val="22"/>
        </w:rPr>
        <w:t xml:space="preserve">foods where there were no consumers in the nutrition survey </w:t>
      </w:r>
      <w:r w:rsidR="009955FE" w:rsidRPr="00A427AF">
        <w:rPr>
          <w:rFonts w:cs="Arial"/>
          <w:szCs w:val="22"/>
        </w:rPr>
        <w:t>or</w:t>
      </w:r>
      <w:r w:rsidRPr="00A427AF">
        <w:rPr>
          <w:rFonts w:cs="Arial"/>
          <w:szCs w:val="22"/>
        </w:rPr>
        <w:t xml:space="preserve"> an appropriate broader food category</w:t>
      </w:r>
      <w:r w:rsidR="002737E0">
        <w:rPr>
          <w:rFonts w:cs="Arial"/>
          <w:szCs w:val="22"/>
        </w:rPr>
        <w:t>,</w:t>
      </w:r>
      <w:r w:rsidR="0069777F">
        <w:rPr>
          <w:rFonts w:cs="Arial"/>
          <w:szCs w:val="22"/>
        </w:rPr>
        <w:t xml:space="preserve"> a different approach was taken</w:t>
      </w:r>
      <w:r w:rsidR="00D448B9">
        <w:rPr>
          <w:rFonts w:cs="Arial"/>
          <w:szCs w:val="22"/>
        </w:rPr>
        <w:t>. For example</w:t>
      </w:r>
      <w:r w:rsidR="0069777F">
        <w:rPr>
          <w:rFonts w:cs="Arial"/>
          <w:szCs w:val="22"/>
        </w:rPr>
        <w:t>,</w:t>
      </w:r>
      <w:r w:rsidR="00D448B9">
        <w:rPr>
          <w:rFonts w:cs="Arial"/>
          <w:szCs w:val="22"/>
        </w:rPr>
        <w:t xml:space="preserve"> for biscuits containing apricot kernels</w:t>
      </w:r>
      <w:r w:rsidR="0069777F">
        <w:rPr>
          <w:rFonts w:cs="Arial"/>
          <w:szCs w:val="22"/>
        </w:rPr>
        <w:t>,</w:t>
      </w:r>
      <w:r w:rsidR="00D448B9" w:rsidRPr="00A427AF">
        <w:rPr>
          <w:rFonts w:cs="Arial"/>
          <w:szCs w:val="22"/>
        </w:rPr>
        <w:t xml:space="preserve"> </w:t>
      </w:r>
      <w:r w:rsidR="0069777F">
        <w:rPr>
          <w:rFonts w:cs="Arial"/>
          <w:szCs w:val="22"/>
        </w:rPr>
        <w:t xml:space="preserve">the </w:t>
      </w:r>
      <w:r w:rsidR="00651FF4">
        <w:rPr>
          <w:rFonts w:cs="Arial"/>
          <w:szCs w:val="22"/>
        </w:rPr>
        <w:t>serve</w:t>
      </w:r>
      <w:r w:rsidR="0069777F">
        <w:rPr>
          <w:rFonts w:cs="Arial"/>
          <w:szCs w:val="22"/>
        </w:rPr>
        <w:t xml:space="preserve"> size on the label was used as the consumption amount</w:t>
      </w:r>
      <w:r w:rsidR="00D448B9">
        <w:rPr>
          <w:rFonts w:cs="Arial"/>
          <w:szCs w:val="22"/>
        </w:rPr>
        <w:t xml:space="preserve">; for apricot kernels </w:t>
      </w:r>
      <w:r w:rsidR="00456F25">
        <w:rPr>
          <w:rFonts w:cs="Arial"/>
          <w:szCs w:val="22"/>
        </w:rPr>
        <w:t>recommended maximum consumption levels</w:t>
      </w:r>
      <w:r w:rsidR="00D448B9">
        <w:rPr>
          <w:rFonts w:cs="Arial"/>
          <w:szCs w:val="22"/>
        </w:rPr>
        <w:t xml:space="preserve"> were used in the calculation</w:t>
      </w:r>
      <w:r w:rsidR="00456F25">
        <w:rPr>
          <w:rFonts w:cs="Arial"/>
          <w:szCs w:val="22"/>
        </w:rPr>
        <w:t xml:space="preserve">. </w:t>
      </w:r>
      <w:r w:rsidRPr="00A427AF">
        <w:rPr>
          <w:rFonts w:cs="Arial"/>
          <w:szCs w:val="22"/>
        </w:rPr>
        <w:t xml:space="preserve"> </w:t>
      </w:r>
      <w:r w:rsidR="00456F25">
        <w:rPr>
          <w:rFonts w:cs="Arial"/>
          <w:szCs w:val="22"/>
        </w:rPr>
        <w:t>In other cases, w</w:t>
      </w:r>
      <w:r w:rsidRPr="00A427AF">
        <w:rPr>
          <w:rFonts w:cs="Arial"/>
          <w:szCs w:val="22"/>
        </w:rPr>
        <w:t xml:space="preserve">here concentration data only were available, a back calculation was </w:t>
      </w:r>
      <w:r w:rsidR="009955FE">
        <w:rPr>
          <w:rFonts w:cs="Arial"/>
          <w:szCs w:val="22"/>
        </w:rPr>
        <w:t>used</w:t>
      </w:r>
      <w:r w:rsidR="009955FE" w:rsidRPr="00A427AF">
        <w:rPr>
          <w:rFonts w:cs="Arial"/>
          <w:szCs w:val="22"/>
        </w:rPr>
        <w:t xml:space="preserve"> </w:t>
      </w:r>
      <w:r w:rsidRPr="00A427AF">
        <w:rPr>
          <w:rFonts w:cs="Arial"/>
          <w:szCs w:val="22"/>
        </w:rPr>
        <w:t>to determine how much of each of these foods could be consumed before the ARfD would be exceeded for each population group</w:t>
      </w:r>
      <w:r w:rsidR="007029E7">
        <w:rPr>
          <w:rFonts w:cs="Arial"/>
          <w:szCs w:val="22"/>
        </w:rPr>
        <w:t xml:space="preserve">. The exception was </w:t>
      </w:r>
      <w:r w:rsidRPr="00A427AF">
        <w:rPr>
          <w:rFonts w:cs="Arial"/>
          <w:szCs w:val="22"/>
        </w:rPr>
        <w:t xml:space="preserve">cherry brandy for </w:t>
      </w:r>
      <w:r w:rsidR="009955FE" w:rsidRPr="00A427AF">
        <w:rPr>
          <w:rFonts w:cs="Arial"/>
          <w:szCs w:val="22"/>
        </w:rPr>
        <w:t>children,</w:t>
      </w:r>
      <w:r w:rsidRPr="00A427AF">
        <w:rPr>
          <w:rFonts w:cs="Arial"/>
          <w:szCs w:val="22"/>
        </w:rPr>
        <w:t xml:space="preserve"> </w:t>
      </w:r>
      <w:r w:rsidR="0069777F">
        <w:rPr>
          <w:rFonts w:cs="Arial"/>
          <w:szCs w:val="22"/>
        </w:rPr>
        <w:t xml:space="preserve">which was not included </w:t>
      </w:r>
      <w:r w:rsidRPr="00A427AF">
        <w:rPr>
          <w:rFonts w:cs="Arial"/>
          <w:szCs w:val="22"/>
        </w:rPr>
        <w:t>as they are not expected to consume this food</w:t>
      </w:r>
      <w:r w:rsidR="00FF4C13">
        <w:rPr>
          <w:rFonts w:cs="Arial"/>
          <w:szCs w:val="22"/>
        </w:rPr>
        <w:t xml:space="preserve"> </w:t>
      </w:r>
      <w:r w:rsidR="00FF4C13" w:rsidRPr="00DF5799">
        <w:rPr>
          <w:rFonts w:cs="Arial"/>
          <w:szCs w:val="22"/>
        </w:rPr>
        <w:t>(see Section 5.4.2</w:t>
      </w:r>
      <w:r w:rsidR="005A253D">
        <w:rPr>
          <w:rFonts w:cs="Arial"/>
          <w:szCs w:val="22"/>
        </w:rPr>
        <w:t>.2</w:t>
      </w:r>
      <w:r w:rsidR="00FF4C13" w:rsidRPr="00DF5799">
        <w:rPr>
          <w:rFonts w:cs="Arial"/>
          <w:szCs w:val="22"/>
        </w:rPr>
        <w:t>)</w:t>
      </w:r>
      <w:r w:rsidRPr="00DF5799">
        <w:rPr>
          <w:rFonts w:cs="Arial"/>
          <w:szCs w:val="22"/>
        </w:rPr>
        <w:t>.</w:t>
      </w:r>
    </w:p>
    <w:p w:rsidR="00D33562" w:rsidRPr="00BA6B1C" w:rsidRDefault="00D33562"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rsidR="00BA6B1C" w:rsidRDefault="00BA6B1C" w:rsidP="00E66085">
      <w:pPr>
        <w:pStyle w:val="Heading3"/>
      </w:pPr>
      <w:bookmarkStart w:id="128" w:name="_Toc367957749"/>
      <w:bookmarkStart w:id="129" w:name="_Toc384293522"/>
      <w:r w:rsidRPr="00473EBF">
        <w:t>5.3.2</w:t>
      </w:r>
      <w:r w:rsidR="00842210">
        <w:tab/>
      </w:r>
      <w:r w:rsidRPr="00473EBF">
        <w:t>Food consumption data</w:t>
      </w:r>
      <w:bookmarkEnd w:id="128"/>
      <w:bookmarkEnd w:id="129"/>
    </w:p>
    <w:p w:rsidR="00BE4592" w:rsidRPr="00BE4592" w:rsidRDefault="00BE4592" w:rsidP="00BE4592"/>
    <w:p w:rsidR="00D33562" w:rsidRPr="00BA6B1C" w:rsidRDefault="00D33562" w:rsidP="00D33562">
      <w:pPr>
        <w:keepNext/>
        <w:rPr>
          <w:rFonts w:cs="Arial"/>
          <w:szCs w:val="22"/>
        </w:rPr>
      </w:pPr>
      <w:r w:rsidRPr="00BA6B1C">
        <w:rPr>
          <w:rFonts w:cs="Arial"/>
          <w:szCs w:val="22"/>
        </w:rPr>
        <w:t>FSANZ uses food consumption data from the most recent NNSs to estimate dietary exposure to food chemicals for the Australian and New Zealand populations.</w:t>
      </w:r>
    </w:p>
    <w:p w:rsidR="00D33562" w:rsidRDefault="00BA6B1C" w:rsidP="00D33562">
      <w:pPr>
        <w:rPr>
          <w:rFonts w:cs="Arial"/>
          <w:szCs w:val="22"/>
        </w:rPr>
      </w:pPr>
      <w:r w:rsidRPr="00BA6B1C">
        <w:rPr>
          <w:rFonts w:cs="Arial"/>
          <w:szCs w:val="22"/>
        </w:rPr>
        <w:t>In the assessment, f</w:t>
      </w:r>
      <w:r w:rsidR="00D33562" w:rsidRPr="00BA6B1C">
        <w:rPr>
          <w:rFonts w:cs="Arial"/>
          <w:szCs w:val="22"/>
        </w:rPr>
        <w:t xml:space="preserve">or Australia, </w:t>
      </w:r>
      <w:r w:rsidR="00F2605B">
        <w:rPr>
          <w:rFonts w:cs="Arial"/>
          <w:szCs w:val="22"/>
        </w:rPr>
        <w:t xml:space="preserve">the following </w:t>
      </w:r>
      <w:r w:rsidR="00D33562" w:rsidRPr="00BA6B1C">
        <w:rPr>
          <w:rFonts w:cs="Arial"/>
          <w:szCs w:val="22"/>
        </w:rPr>
        <w:t xml:space="preserve">nutrition surveys </w:t>
      </w:r>
      <w:r w:rsidRPr="00BA6B1C">
        <w:rPr>
          <w:rFonts w:cs="Arial"/>
          <w:szCs w:val="22"/>
        </w:rPr>
        <w:t>were</w:t>
      </w:r>
      <w:r w:rsidR="00D33562" w:rsidRPr="00BA6B1C">
        <w:rPr>
          <w:rFonts w:cs="Arial"/>
          <w:szCs w:val="22"/>
        </w:rPr>
        <w:t xml:space="preserve"> used:</w:t>
      </w:r>
    </w:p>
    <w:p w:rsidR="00BE4592" w:rsidRDefault="00BE4592" w:rsidP="00D33562">
      <w:pPr>
        <w:rPr>
          <w:rFonts w:cs="Arial"/>
          <w:szCs w:val="22"/>
        </w:rPr>
      </w:pPr>
    </w:p>
    <w:p w:rsidR="00D33562" w:rsidRDefault="00D33562" w:rsidP="00F97089">
      <w:pPr>
        <w:pStyle w:val="ListParagraph"/>
        <w:widowControl w:val="0"/>
        <w:numPr>
          <w:ilvl w:val="0"/>
          <w:numId w:val="18"/>
        </w:numPr>
        <w:ind w:left="851" w:hanging="425"/>
        <w:contextualSpacing/>
        <w:rPr>
          <w:rFonts w:ascii="Arial" w:hAnsi="Arial" w:cs="Arial"/>
        </w:rPr>
      </w:pPr>
      <w:r w:rsidRPr="00BA6B1C">
        <w:rPr>
          <w:rFonts w:ascii="Arial" w:hAnsi="Arial" w:cs="Arial"/>
        </w:rPr>
        <w:t xml:space="preserve">2007 Australian National Children’s </w:t>
      </w:r>
      <w:r w:rsidR="00D90F73">
        <w:rPr>
          <w:rFonts w:ascii="Arial" w:hAnsi="Arial" w:cs="Arial"/>
        </w:rPr>
        <w:t>Nutrition and Physical Activity S</w:t>
      </w:r>
      <w:r w:rsidRPr="00BA6B1C">
        <w:rPr>
          <w:rFonts w:ascii="Arial" w:hAnsi="Arial" w:cs="Arial"/>
        </w:rPr>
        <w:t>urvey (ANCNPAS), which surveyed 4,487 children 2-16 years, collecting two days of food consumption data for all respondents (CSIRO, 2008)</w:t>
      </w:r>
    </w:p>
    <w:p w:rsidR="00FF4C13" w:rsidRDefault="00FF4C13" w:rsidP="00FF4C13">
      <w:pPr>
        <w:pStyle w:val="ListParagraph"/>
        <w:widowControl w:val="0"/>
        <w:ind w:left="851"/>
        <w:contextualSpacing/>
        <w:rPr>
          <w:rFonts w:ascii="Arial" w:hAnsi="Arial" w:cs="Arial"/>
        </w:rPr>
      </w:pPr>
    </w:p>
    <w:p w:rsidR="007F3FE1" w:rsidRDefault="00D33562" w:rsidP="007F3FE1">
      <w:pPr>
        <w:pStyle w:val="ListParagraph"/>
        <w:widowControl w:val="0"/>
        <w:numPr>
          <w:ilvl w:val="0"/>
          <w:numId w:val="18"/>
        </w:numPr>
        <w:ind w:left="851" w:hanging="425"/>
        <w:contextualSpacing/>
        <w:rPr>
          <w:rFonts w:ascii="Arial" w:hAnsi="Arial" w:cs="Arial"/>
        </w:rPr>
      </w:pPr>
      <w:r w:rsidRPr="00BA6B1C">
        <w:rPr>
          <w:rFonts w:ascii="Arial" w:hAnsi="Arial" w:cs="Arial"/>
        </w:rPr>
        <w:t>1995 National Nutrition Survey (NNS), which surveyed 13,858 respondents aged 2 years and above, collecting one 24-hour recall on all respondents (</w:t>
      </w:r>
      <w:r w:rsidRPr="00BA6B1C">
        <w:rPr>
          <w:rFonts w:ascii="Arial" w:hAnsi="Arial" w:cs="Arial"/>
          <w:lang w:val="en-US"/>
        </w:rPr>
        <w:t>McLennan &amp; Podger, 1997)</w:t>
      </w:r>
      <w:r w:rsidR="00FF4C13">
        <w:rPr>
          <w:rFonts w:ascii="Arial" w:hAnsi="Arial" w:cs="Arial"/>
          <w:lang w:val="en-US"/>
        </w:rPr>
        <w:t>;</w:t>
      </w:r>
      <w:r w:rsidRPr="00BA6B1C">
        <w:rPr>
          <w:rFonts w:ascii="Arial" w:hAnsi="Arial" w:cs="Arial"/>
        </w:rPr>
        <w:t xml:space="preserve"> </w:t>
      </w:r>
      <w:r w:rsidR="00FF4C13">
        <w:rPr>
          <w:rFonts w:ascii="Arial" w:hAnsi="Arial" w:cs="Arial"/>
        </w:rPr>
        <w:t>o</w:t>
      </w:r>
      <w:r w:rsidRPr="00BA6B1C">
        <w:rPr>
          <w:rFonts w:ascii="Arial" w:hAnsi="Arial" w:cs="Arial"/>
        </w:rPr>
        <w:t>nly the respondents aged 17 years</w:t>
      </w:r>
      <w:r w:rsidR="00AE6A6A">
        <w:rPr>
          <w:rFonts w:ascii="Arial" w:hAnsi="Arial" w:cs="Arial"/>
        </w:rPr>
        <w:t xml:space="preserve"> </w:t>
      </w:r>
      <w:r w:rsidRPr="00BA6B1C">
        <w:rPr>
          <w:rFonts w:ascii="Arial" w:hAnsi="Arial" w:cs="Arial"/>
        </w:rPr>
        <w:t>and above</w:t>
      </w:r>
      <w:r w:rsidR="00AE6A6A">
        <w:rPr>
          <w:rFonts w:ascii="Arial" w:hAnsi="Arial" w:cs="Arial"/>
        </w:rPr>
        <w:t xml:space="preserve"> (</w:t>
      </w:r>
      <w:r w:rsidR="00AE6A6A" w:rsidRPr="00FF4C13">
        <w:rPr>
          <w:rFonts w:ascii="Arial" w:hAnsi="Arial" w:cs="Arial"/>
          <w:i/>
        </w:rPr>
        <w:t>n</w:t>
      </w:r>
      <w:r w:rsidR="00AE6A6A">
        <w:rPr>
          <w:rFonts w:ascii="Arial" w:hAnsi="Arial" w:cs="Arial"/>
        </w:rPr>
        <w:t>=11,129)</w:t>
      </w:r>
      <w:r w:rsidRPr="00BA6B1C">
        <w:rPr>
          <w:rFonts w:ascii="Arial" w:hAnsi="Arial" w:cs="Arial"/>
        </w:rPr>
        <w:t xml:space="preserve"> from this survey were used in this assessment</w:t>
      </w:r>
    </w:p>
    <w:p w:rsidR="00FF4C13" w:rsidRPr="00FF4C13" w:rsidRDefault="00FF4C13" w:rsidP="00FF4C13">
      <w:pPr>
        <w:pStyle w:val="ListParagraph"/>
        <w:rPr>
          <w:rFonts w:ascii="Arial" w:hAnsi="Arial" w:cs="Arial"/>
        </w:rPr>
      </w:pPr>
    </w:p>
    <w:p w:rsidR="00D33562" w:rsidRPr="007F3FE1" w:rsidRDefault="007F3FE1" w:rsidP="00432E51">
      <w:pPr>
        <w:pStyle w:val="ListParagraph"/>
        <w:widowControl w:val="0"/>
        <w:numPr>
          <w:ilvl w:val="0"/>
          <w:numId w:val="18"/>
        </w:numPr>
        <w:ind w:left="851" w:hanging="425"/>
        <w:contextualSpacing/>
        <w:rPr>
          <w:rFonts w:ascii="Arial" w:hAnsi="Arial" w:cs="Arial"/>
        </w:rPr>
      </w:pPr>
      <w:r w:rsidRPr="007F3FE1">
        <w:rPr>
          <w:rFonts w:ascii="Arial" w:hAnsi="Arial" w:cs="Arial"/>
        </w:rPr>
        <w:t xml:space="preserve">2009 NOURISH study </w:t>
      </w:r>
      <w:r>
        <w:rPr>
          <w:rFonts w:ascii="Arial" w:hAnsi="Arial" w:cs="Arial"/>
        </w:rPr>
        <w:t>for infants under 12 months of</w:t>
      </w:r>
      <w:r w:rsidRPr="007F3FE1">
        <w:rPr>
          <w:rFonts w:ascii="Arial" w:hAnsi="Arial" w:cs="Arial"/>
        </w:rPr>
        <w:t xml:space="preserve"> </w:t>
      </w:r>
      <w:r w:rsidR="00C62236">
        <w:rPr>
          <w:rFonts w:ascii="Arial" w:hAnsi="Arial" w:cs="Arial"/>
        </w:rPr>
        <w:t>age</w:t>
      </w:r>
      <w:r w:rsidR="00866A5F">
        <w:rPr>
          <w:rFonts w:ascii="Arial" w:hAnsi="Arial" w:cs="Arial"/>
        </w:rPr>
        <w:t xml:space="preserve"> </w:t>
      </w:r>
      <w:r w:rsidR="006778E6">
        <w:rPr>
          <w:rFonts w:ascii="Arial" w:hAnsi="Arial" w:cs="Arial"/>
        </w:rPr>
        <w:t xml:space="preserve">sampled at three time periods </w:t>
      </w:r>
      <w:r w:rsidRPr="007F3FE1">
        <w:rPr>
          <w:rFonts w:ascii="Arial" w:hAnsi="Arial" w:cs="Arial"/>
        </w:rPr>
        <w:t>(Daniels et al, 2009</w:t>
      </w:r>
      <w:r w:rsidR="006778E6">
        <w:rPr>
          <w:rFonts w:ascii="Arial" w:hAnsi="Arial" w:cs="Arial"/>
        </w:rPr>
        <w:t xml:space="preserve">, for details see </w:t>
      </w:r>
      <w:r w:rsidR="006778E6" w:rsidRPr="00432E51">
        <w:rPr>
          <w:rFonts w:ascii="Arial" w:hAnsi="Arial" w:cs="Arial"/>
        </w:rPr>
        <w:t>Appendix 7</w:t>
      </w:r>
      <w:r w:rsidRPr="007F3FE1">
        <w:rPr>
          <w:rFonts w:ascii="Arial" w:hAnsi="Arial" w:cs="Arial"/>
        </w:rPr>
        <w:t>).</w:t>
      </w:r>
      <w:r w:rsidR="00866A5F">
        <w:rPr>
          <w:rFonts w:ascii="Arial" w:hAnsi="Arial" w:cs="Arial"/>
        </w:rPr>
        <w:t xml:space="preserve"> </w:t>
      </w:r>
      <w:r w:rsidR="00866A5F" w:rsidRPr="00866A5F">
        <w:rPr>
          <w:rFonts w:ascii="Arial" w:hAnsi="Arial" w:cs="Arial"/>
        </w:rPr>
        <w:t xml:space="preserve">As this study had an education intervention included, only the food consumption data from controls was obtained for use by FSANZ for risk assessment purposes. For this </w:t>
      </w:r>
      <w:r w:rsidR="006778E6">
        <w:rPr>
          <w:rFonts w:ascii="Arial" w:hAnsi="Arial" w:cs="Arial"/>
        </w:rPr>
        <w:t xml:space="preserve">dietary exposure </w:t>
      </w:r>
      <w:r w:rsidR="006778E6" w:rsidRPr="00866A5F">
        <w:rPr>
          <w:rFonts w:ascii="Arial" w:hAnsi="Arial" w:cs="Arial"/>
        </w:rPr>
        <w:t>assess</w:t>
      </w:r>
      <w:r w:rsidR="006778E6">
        <w:rPr>
          <w:rFonts w:ascii="Arial" w:hAnsi="Arial" w:cs="Arial"/>
        </w:rPr>
        <w:t>ment,</w:t>
      </w:r>
      <w:r w:rsidR="00866A5F" w:rsidRPr="00866A5F">
        <w:rPr>
          <w:rFonts w:ascii="Arial" w:hAnsi="Arial" w:cs="Arial"/>
        </w:rPr>
        <w:t xml:space="preserve"> only the data from Time 1 were used (</w:t>
      </w:r>
      <w:r w:rsidR="006778E6">
        <w:rPr>
          <w:rFonts w:ascii="Arial" w:hAnsi="Arial" w:cs="Arial"/>
        </w:rPr>
        <w:t>respondents aged 2-11 months</w:t>
      </w:r>
      <w:r w:rsidR="00866A5F" w:rsidRPr="00866A5F">
        <w:rPr>
          <w:rFonts w:ascii="Arial" w:hAnsi="Arial" w:cs="Arial"/>
        </w:rPr>
        <w:t>).</w:t>
      </w:r>
    </w:p>
    <w:p w:rsidR="007F3FE1" w:rsidRDefault="007F3FE1" w:rsidP="00D33562">
      <w:pPr>
        <w:rPr>
          <w:rFonts w:cs="Arial"/>
          <w:szCs w:val="22"/>
        </w:rPr>
      </w:pPr>
    </w:p>
    <w:p w:rsidR="00D33562" w:rsidRDefault="00D33562" w:rsidP="00D33562">
      <w:pPr>
        <w:rPr>
          <w:rFonts w:cs="Arial"/>
          <w:szCs w:val="22"/>
        </w:rPr>
      </w:pPr>
      <w:r w:rsidRPr="00BA6B1C">
        <w:rPr>
          <w:rFonts w:cs="Arial"/>
          <w:szCs w:val="22"/>
        </w:rPr>
        <w:t>For New Zealand, two nutrition surveys were used:</w:t>
      </w:r>
    </w:p>
    <w:p w:rsidR="00BE4592" w:rsidRDefault="00BE4592" w:rsidP="00D33562">
      <w:pPr>
        <w:rPr>
          <w:rFonts w:cs="Arial"/>
          <w:szCs w:val="22"/>
        </w:rPr>
      </w:pPr>
    </w:p>
    <w:p w:rsidR="00D33562" w:rsidRDefault="00D33562" w:rsidP="00F97089">
      <w:pPr>
        <w:pStyle w:val="ListParagraph"/>
        <w:widowControl w:val="0"/>
        <w:numPr>
          <w:ilvl w:val="0"/>
          <w:numId w:val="19"/>
        </w:numPr>
        <w:ind w:left="851" w:hanging="425"/>
        <w:contextualSpacing/>
        <w:rPr>
          <w:rFonts w:ascii="Arial" w:hAnsi="Arial" w:cs="Arial"/>
        </w:rPr>
      </w:pPr>
      <w:r w:rsidRPr="00BA6B1C">
        <w:rPr>
          <w:rFonts w:ascii="Arial" w:hAnsi="Arial" w:cs="Arial"/>
        </w:rPr>
        <w:t xml:space="preserve">2002 National Children’s Nutrition Survey (NZCNS), which surveyed 3,275 children aged 5-14 years, with one 24-hour recall conducted on all respondents (Ministry of </w:t>
      </w:r>
      <w:r w:rsidRPr="00BA6B1C">
        <w:rPr>
          <w:rFonts w:ascii="Arial" w:hAnsi="Arial" w:cs="Arial"/>
        </w:rPr>
        <w:lastRenderedPageBreak/>
        <w:t>Health, 2002)</w:t>
      </w:r>
    </w:p>
    <w:p w:rsidR="00F95A51" w:rsidRDefault="00F95A51" w:rsidP="00F95A51">
      <w:pPr>
        <w:pStyle w:val="ListParagraph"/>
        <w:widowControl w:val="0"/>
        <w:ind w:left="851"/>
        <w:contextualSpacing/>
        <w:rPr>
          <w:rFonts w:ascii="Arial" w:hAnsi="Arial" w:cs="Arial"/>
        </w:rPr>
      </w:pPr>
    </w:p>
    <w:p w:rsidR="00D33562" w:rsidRPr="00BA6B1C" w:rsidRDefault="00D33562" w:rsidP="00F97089">
      <w:pPr>
        <w:pStyle w:val="ListParagraph"/>
        <w:widowControl w:val="0"/>
        <w:numPr>
          <w:ilvl w:val="0"/>
          <w:numId w:val="19"/>
        </w:numPr>
        <w:ind w:left="851" w:hanging="425"/>
        <w:contextualSpacing/>
        <w:rPr>
          <w:rFonts w:ascii="Arial" w:hAnsi="Arial" w:cs="Arial"/>
        </w:rPr>
      </w:pPr>
      <w:r w:rsidRPr="00BA6B1C">
        <w:rPr>
          <w:rFonts w:ascii="Arial" w:hAnsi="Arial" w:cs="Arial"/>
        </w:rPr>
        <w:t xml:space="preserve">1997 NNS, conducted on 4,636 respondents aged 15 years and </w:t>
      </w:r>
      <w:r w:rsidR="00572A95">
        <w:rPr>
          <w:rFonts w:ascii="Arial" w:hAnsi="Arial" w:cs="Arial"/>
        </w:rPr>
        <w:t>over</w:t>
      </w:r>
      <w:r w:rsidRPr="00BA6B1C">
        <w:rPr>
          <w:rFonts w:ascii="Arial" w:hAnsi="Arial" w:cs="Arial"/>
        </w:rPr>
        <w:t>, with a single 24-hour recall conducted for all respondents (Ministry of Health, 1999).</w:t>
      </w:r>
    </w:p>
    <w:p w:rsidR="00D33562" w:rsidRPr="00F97089" w:rsidRDefault="00D33562" w:rsidP="00F97089">
      <w:pPr>
        <w:ind w:left="851" w:hanging="284"/>
        <w:rPr>
          <w:rFonts w:cs="Arial"/>
          <w:szCs w:val="22"/>
        </w:rPr>
      </w:pPr>
    </w:p>
    <w:p w:rsidR="00D33562" w:rsidRPr="00F97089" w:rsidRDefault="00D33562" w:rsidP="00D33562">
      <w:pPr>
        <w:rPr>
          <w:rFonts w:cs="Arial"/>
          <w:szCs w:val="22"/>
        </w:rPr>
      </w:pPr>
      <w:r w:rsidRPr="00F97089">
        <w:rPr>
          <w:rFonts w:cs="Arial"/>
          <w:szCs w:val="22"/>
        </w:rPr>
        <w:t xml:space="preserve">Survey weights are used in </w:t>
      </w:r>
      <w:r w:rsidR="00F97089">
        <w:rPr>
          <w:rFonts w:cs="Arial"/>
          <w:szCs w:val="22"/>
        </w:rPr>
        <w:t>NNSs</w:t>
      </w:r>
      <w:r w:rsidRPr="00F97089">
        <w:rPr>
          <w:rFonts w:cs="Arial"/>
          <w:szCs w:val="22"/>
        </w:rPr>
        <w:t xml:space="preserve"> to ensure that the results derived from the survey sample are adjusted to be reflective of the population. Survey weights </w:t>
      </w:r>
      <w:r w:rsidR="00FF4C13">
        <w:rPr>
          <w:rFonts w:cs="Arial"/>
          <w:szCs w:val="22"/>
        </w:rPr>
        <w:t>were</w:t>
      </w:r>
      <w:r w:rsidRPr="00F97089">
        <w:rPr>
          <w:rFonts w:cs="Arial"/>
          <w:szCs w:val="22"/>
        </w:rPr>
        <w:t xml:space="preserve"> used in the dietary exposure assessment for the 2007 ANCNPAS and the 2002 NZCNS. The 1995 and 1997 surveys </w:t>
      </w:r>
      <w:r w:rsidR="00FF4C13">
        <w:rPr>
          <w:rFonts w:cs="Arial"/>
          <w:szCs w:val="22"/>
        </w:rPr>
        <w:t>were</w:t>
      </w:r>
      <w:r w:rsidRPr="00F97089">
        <w:rPr>
          <w:rFonts w:cs="Arial"/>
          <w:szCs w:val="22"/>
        </w:rPr>
        <w:t xml:space="preserve"> used unweighted as per FSANZs standard exposure assessment conventions (FSANZ</w:t>
      </w:r>
      <w:r w:rsidR="00F97089">
        <w:rPr>
          <w:rFonts w:cs="Arial"/>
          <w:szCs w:val="22"/>
        </w:rPr>
        <w:t>,</w:t>
      </w:r>
      <w:r w:rsidRPr="00F97089">
        <w:rPr>
          <w:rFonts w:cs="Arial"/>
          <w:szCs w:val="22"/>
        </w:rPr>
        <w:t xml:space="preserve"> 2009).</w:t>
      </w:r>
    </w:p>
    <w:p w:rsidR="002516A1" w:rsidRPr="00473EBF" w:rsidRDefault="002516A1" w:rsidP="002516A1">
      <w:pPr>
        <w:pStyle w:val="Heading4"/>
        <w:numPr>
          <w:ilvl w:val="3"/>
          <w:numId w:val="41"/>
        </w:numPr>
        <w:ind w:hanging="1080"/>
      </w:pPr>
      <w:r w:rsidRPr="00473EBF">
        <w:t>Chronic dietary exposure assessment</w:t>
      </w:r>
    </w:p>
    <w:p w:rsidR="0076132F" w:rsidRDefault="00D33562"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F97089">
        <w:rPr>
          <w:rFonts w:cs="Arial"/>
          <w:szCs w:val="22"/>
        </w:rPr>
        <w:t>For the chronic dietary exposure estimates</w:t>
      </w:r>
      <w:r w:rsidR="00B72E21">
        <w:rPr>
          <w:rFonts w:cs="Arial"/>
          <w:szCs w:val="22"/>
        </w:rPr>
        <w:t>,</w:t>
      </w:r>
      <w:r w:rsidRPr="00F97089">
        <w:rPr>
          <w:rFonts w:cs="Arial"/>
          <w:szCs w:val="22"/>
        </w:rPr>
        <w:t xml:space="preserve"> the distribution of consumption values from individuals in the nutrition surveys for each food </w:t>
      </w:r>
      <w:r w:rsidR="00E774D8">
        <w:rPr>
          <w:rFonts w:cs="Arial"/>
          <w:szCs w:val="22"/>
        </w:rPr>
        <w:t>was</w:t>
      </w:r>
      <w:r w:rsidRPr="00F97089">
        <w:rPr>
          <w:rFonts w:cs="Arial"/>
          <w:szCs w:val="22"/>
        </w:rPr>
        <w:t xml:space="preserve"> used in the calculations. As two 24-hour recalls were available for </w:t>
      </w:r>
      <w:r w:rsidR="00D03B1E">
        <w:rPr>
          <w:rFonts w:cs="Arial"/>
          <w:szCs w:val="22"/>
        </w:rPr>
        <w:t xml:space="preserve">the 2007 </w:t>
      </w:r>
      <w:r w:rsidR="00D03B1E" w:rsidRPr="00D03B1E">
        <w:rPr>
          <w:rFonts w:cs="Arial"/>
          <w:szCs w:val="22"/>
        </w:rPr>
        <w:t>ANCNPAS</w:t>
      </w:r>
      <w:r w:rsidRPr="00F97089">
        <w:rPr>
          <w:rFonts w:cs="Arial"/>
          <w:szCs w:val="22"/>
        </w:rPr>
        <w:t>, both days were used for the chronic dietary exposure assessment</w:t>
      </w:r>
      <w:r w:rsidR="00D03B1E">
        <w:rPr>
          <w:rFonts w:cs="Arial"/>
          <w:szCs w:val="22"/>
        </w:rPr>
        <w:t>. E</w:t>
      </w:r>
      <w:r w:rsidRPr="00F97089">
        <w:rPr>
          <w:rFonts w:cs="Arial"/>
          <w:szCs w:val="22"/>
        </w:rPr>
        <w:t xml:space="preserve">stimated dietary exposures were </w:t>
      </w:r>
      <w:r w:rsidR="00D03B1E">
        <w:rPr>
          <w:rFonts w:cs="Arial"/>
          <w:szCs w:val="22"/>
        </w:rPr>
        <w:t xml:space="preserve">then </w:t>
      </w:r>
      <w:r w:rsidRPr="00F97089">
        <w:rPr>
          <w:rFonts w:cs="Arial"/>
          <w:szCs w:val="22"/>
        </w:rPr>
        <w:t xml:space="preserve">averaged across the two days for each respondent before population summary statistics were derived. </w:t>
      </w:r>
    </w:p>
    <w:p w:rsidR="0076132F" w:rsidRDefault="0076132F"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rsidR="0076132F" w:rsidRDefault="0076132F" w:rsidP="0076132F">
      <w:pPr>
        <w:rPr>
          <w:rFonts w:cs="Arial"/>
          <w:szCs w:val="22"/>
        </w:rPr>
      </w:pPr>
      <w:r>
        <w:rPr>
          <w:rFonts w:cs="Arial"/>
          <w:szCs w:val="22"/>
        </w:rPr>
        <w:t>S</w:t>
      </w:r>
      <w:r w:rsidRPr="006D2A1C">
        <w:rPr>
          <w:rFonts w:cs="Arial"/>
          <w:szCs w:val="22"/>
        </w:rPr>
        <w:t xml:space="preserve">pecific consumption of </w:t>
      </w:r>
      <w:r>
        <w:rPr>
          <w:rFonts w:cs="Arial"/>
          <w:szCs w:val="22"/>
        </w:rPr>
        <w:t xml:space="preserve">RTE cassava chips (crisps) was </w:t>
      </w:r>
      <w:r w:rsidRPr="006D2A1C">
        <w:rPr>
          <w:rFonts w:cs="Arial"/>
          <w:szCs w:val="22"/>
        </w:rPr>
        <w:t>not captured, or not captured to a large extent, from respondents</w:t>
      </w:r>
      <w:r>
        <w:rPr>
          <w:rFonts w:cs="Arial"/>
          <w:szCs w:val="22"/>
        </w:rPr>
        <w:t xml:space="preserve"> </w:t>
      </w:r>
      <w:r w:rsidRPr="006D2A1C">
        <w:rPr>
          <w:rFonts w:cs="Arial"/>
          <w:szCs w:val="22"/>
        </w:rPr>
        <w:t>in the nutrition surveys used</w:t>
      </w:r>
      <w:r>
        <w:rPr>
          <w:rFonts w:cs="Arial"/>
          <w:szCs w:val="22"/>
        </w:rPr>
        <w:t xml:space="preserve"> in this risk assessment</w:t>
      </w:r>
      <w:r w:rsidRPr="006D2A1C">
        <w:rPr>
          <w:rFonts w:cs="Arial"/>
          <w:szCs w:val="22"/>
        </w:rPr>
        <w:t xml:space="preserve">. </w:t>
      </w:r>
      <w:r>
        <w:rPr>
          <w:rFonts w:cs="Arial"/>
          <w:szCs w:val="22"/>
        </w:rPr>
        <w:t xml:space="preserve">As </w:t>
      </w:r>
      <w:r w:rsidRPr="006D2A1C">
        <w:rPr>
          <w:rFonts w:cs="Arial"/>
          <w:szCs w:val="22"/>
        </w:rPr>
        <w:t xml:space="preserve">RTE cassava chips can contain high </w:t>
      </w:r>
      <w:r>
        <w:rPr>
          <w:rFonts w:cs="Arial"/>
          <w:szCs w:val="22"/>
        </w:rPr>
        <w:t xml:space="preserve">HCN </w:t>
      </w:r>
      <w:r w:rsidRPr="006D2A1C">
        <w:rPr>
          <w:rFonts w:cs="Arial"/>
          <w:szCs w:val="22"/>
        </w:rPr>
        <w:t>concentration</w:t>
      </w:r>
      <w:r>
        <w:rPr>
          <w:rFonts w:cs="Arial"/>
          <w:szCs w:val="22"/>
        </w:rPr>
        <w:t xml:space="preserve">s, two options were investigated for the chronic dietary exposure assessment: </w:t>
      </w:r>
    </w:p>
    <w:p w:rsidR="0076132F" w:rsidRDefault="0076132F" w:rsidP="0076132F">
      <w:pPr>
        <w:rPr>
          <w:rFonts w:cs="Arial"/>
          <w:szCs w:val="22"/>
        </w:rPr>
      </w:pPr>
    </w:p>
    <w:p w:rsidR="0076132F" w:rsidRDefault="0076132F" w:rsidP="0076132F">
      <w:pPr>
        <w:pStyle w:val="ListParagraph"/>
        <w:numPr>
          <w:ilvl w:val="0"/>
          <w:numId w:val="38"/>
        </w:numPr>
        <w:ind w:left="709" w:hanging="283"/>
        <w:rPr>
          <w:rFonts w:ascii="Arial" w:hAnsi="Arial" w:cs="Arial"/>
        </w:rPr>
      </w:pPr>
      <w:r w:rsidRPr="00FC4734">
        <w:rPr>
          <w:rFonts w:ascii="Arial" w:hAnsi="Arial" w:cs="Arial"/>
        </w:rPr>
        <w:t xml:space="preserve">Option 1 assumed all savoury snacks, such as potato chips, extruded snacks, soy chips and tapioca chips, were RTE cassava chips thus avoiding underestimation of chronic exposure to cyanogenic glycosides in the diet </w:t>
      </w:r>
      <w:r>
        <w:rPr>
          <w:rFonts w:ascii="Arial" w:hAnsi="Arial" w:cs="Arial"/>
        </w:rPr>
        <w:t xml:space="preserve">as all these products were assigned the HCN concentration derived for RTE chips. This </w:t>
      </w:r>
      <w:r w:rsidRPr="00FC4734">
        <w:rPr>
          <w:rFonts w:ascii="Arial" w:hAnsi="Arial" w:cs="Arial"/>
        </w:rPr>
        <w:t xml:space="preserve">assumes </w:t>
      </w:r>
      <w:r w:rsidRPr="00F2605B">
        <w:rPr>
          <w:rFonts w:ascii="Arial" w:hAnsi="Arial" w:cs="Arial"/>
        </w:rPr>
        <w:t>these are similar foods and are likely to be consumed in similar ways and in similar amounts</w:t>
      </w:r>
    </w:p>
    <w:p w:rsidR="0076132F" w:rsidRPr="00FC4734" w:rsidRDefault="0076132F" w:rsidP="0076132F">
      <w:pPr>
        <w:pStyle w:val="ListParagraph"/>
        <w:ind w:left="709" w:hanging="283"/>
        <w:rPr>
          <w:rFonts w:ascii="Arial" w:hAnsi="Arial" w:cs="Arial"/>
        </w:rPr>
      </w:pPr>
    </w:p>
    <w:p w:rsidR="0076132F" w:rsidRPr="009B67DE" w:rsidRDefault="0076132F" w:rsidP="0076132F">
      <w:pPr>
        <w:pStyle w:val="ListParagraph"/>
        <w:numPr>
          <w:ilvl w:val="0"/>
          <w:numId w:val="33"/>
        </w:numPr>
        <w:ind w:left="709" w:hanging="283"/>
        <w:rPr>
          <w:rFonts w:ascii="Arial" w:hAnsi="Arial" w:cs="Arial"/>
        </w:rPr>
      </w:pPr>
      <w:r>
        <w:rPr>
          <w:rFonts w:ascii="Arial" w:hAnsi="Arial" w:cs="Arial"/>
        </w:rPr>
        <w:t>O</w:t>
      </w:r>
      <w:r w:rsidRPr="009B67DE">
        <w:rPr>
          <w:rFonts w:ascii="Arial" w:hAnsi="Arial" w:cs="Arial"/>
        </w:rPr>
        <w:t xml:space="preserve">ption 2 took account of the market share of RTE cassava chips in the savoury snacks category to give a more realistic estimation of population exposure to RTE cassava chips. </w:t>
      </w:r>
    </w:p>
    <w:p w:rsidR="0076132F" w:rsidRDefault="0076132F" w:rsidP="0076132F">
      <w:pPr>
        <w:rPr>
          <w:rFonts w:cs="Arial"/>
          <w:szCs w:val="22"/>
        </w:rPr>
      </w:pPr>
    </w:p>
    <w:p w:rsidR="0076132F" w:rsidRDefault="0076132F" w:rsidP="0076132F">
      <w:pPr>
        <w:rPr>
          <w:rFonts w:cs="Arial"/>
          <w:szCs w:val="22"/>
        </w:rPr>
      </w:pPr>
      <w:r w:rsidRPr="006D2A1C">
        <w:rPr>
          <w:rFonts w:cs="Arial"/>
          <w:szCs w:val="22"/>
        </w:rPr>
        <w:t xml:space="preserve">In </w:t>
      </w:r>
      <w:r>
        <w:rPr>
          <w:rFonts w:cs="Arial"/>
          <w:szCs w:val="22"/>
        </w:rPr>
        <w:t>the second option</w:t>
      </w:r>
      <w:r w:rsidRPr="006D2A1C">
        <w:rPr>
          <w:rFonts w:cs="Arial"/>
          <w:szCs w:val="22"/>
        </w:rPr>
        <w:t xml:space="preserve">, approximate </w:t>
      </w:r>
      <w:r>
        <w:rPr>
          <w:rFonts w:cs="Arial"/>
          <w:szCs w:val="22"/>
        </w:rPr>
        <w:t xml:space="preserve">market share of salty snacks held by RTE cassava chips </w:t>
      </w:r>
      <w:r w:rsidRPr="006D2A1C">
        <w:rPr>
          <w:rFonts w:cs="Arial"/>
          <w:szCs w:val="22"/>
        </w:rPr>
        <w:t xml:space="preserve">was </w:t>
      </w:r>
      <w:r>
        <w:rPr>
          <w:rFonts w:cs="Arial"/>
          <w:szCs w:val="22"/>
        </w:rPr>
        <w:t xml:space="preserve">determined </w:t>
      </w:r>
      <w:r w:rsidRPr="006D2A1C">
        <w:rPr>
          <w:rFonts w:cs="Arial"/>
          <w:szCs w:val="22"/>
        </w:rPr>
        <w:t>and applied to the concentration of HCN in RTE cassav</w:t>
      </w:r>
      <w:r>
        <w:rPr>
          <w:rFonts w:cs="Arial"/>
          <w:szCs w:val="22"/>
        </w:rPr>
        <w:t xml:space="preserve">a chips. Specifically, the </w:t>
      </w:r>
      <w:r w:rsidRPr="006D2A1C">
        <w:rPr>
          <w:rFonts w:cs="Arial"/>
          <w:szCs w:val="22"/>
        </w:rPr>
        <w:t xml:space="preserve">grocery volume of salty snacks </w:t>
      </w:r>
      <w:r>
        <w:rPr>
          <w:rFonts w:cs="Arial"/>
          <w:szCs w:val="22"/>
        </w:rPr>
        <w:t>(including</w:t>
      </w:r>
      <w:r w:rsidRPr="006D2A1C">
        <w:rPr>
          <w:rFonts w:cs="Arial"/>
          <w:szCs w:val="22"/>
        </w:rPr>
        <w:t xml:space="preserve"> potato, corn, cereal and ‘other’ salty snacks</w:t>
      </w:r>
      <w:r>
        <w:rPr>
          <w:rFonts w:cs="Arial"/>
          <w:szCs w:val="22"/>
        </w:rPr>
        <w:t>)</w:t>
      </w:r>
      <w:r w:rsidRPr="006D2A1C">
        <w:rPr>
          <w:rFonts w:cs="Arial"/>
          <w:szCs w:val="22"/>
        </w:rPr>
        <w:t xml:space="preserve"> available in Australia </w:t>
      </w:r>
      <w:r>
        <w:rPr>
          <w:rFonts w:cs="Arial"/>
          <w:szCs w:val="22"/>
        </w:rPr>
        <w:t xml:space="preserve">is </w:t>
      </w:r>
      <w:r w:rsidRPr="006D2A1C">
        <w:rPr>
          <w:rFonts w:cs="Arial"/>
          <w:szCs w:val="22"/>
        </w:rPr>
        <w:t>approximately 49,377 tonnes per year</w:t>
      </w:r>
      <w:r>
        <w:rPr>
          <w:rFonts w:cs="Arial"/>
          <w:szCs w:val="22"/>
        </w:rPr>
        <w:t>, with the volume of ‘other’ salty snacks (presumably including RTE cassava chips) being</w:t>
      </w:r>
      <w:r w:rsidRPr="006D2A1C">
        <w:rPr>
          <w:rFonts w:cs="Arial"/>
          <w:szCs w:val="22"/>
        </w:rPr>
        <w:t xml:space="preserve"> 2,534 tonnes per year. Therefore, the volume share of ‘other’ salty snacks is approximately 5% (Retail Media, 2010). </w:t>
      </w:r>
      <w:r>
        <w:rPr>
          <w:rFonts w:cs="Arial"/>
          <w:szCs w:val="22"/>
        </w:rPr>
        <w:t xml:space="preserve">It should be noted that this is an approximation only, used in the absence of actual market share data. </w:t>
      </w:r>
      <w:r w:rsidRPr="006D2A1C">
        <w:rPr>
          <w:rFonts w:cs="Arial"/>
          <w:szCs w:val="22"/>
        </w:rPr>
        <w:t xml:space="preserve">The </w:t>
      </w:r>
      <w:r>
        <w:rPr>
          <w:rFonts w:cs="Arial"/>
          <w:szCs w:val="22"/>
        </w:rPr>
        <w:t xml:space="preserve">HCN </w:t>
      </w:r>
      <w:r w:rsidRPr="006D2A1C">
        <w:rPr>
          <w:rFonts w:cs="Arial"/>
          <w:szCs w:val="22"/>
        </w:rPr>
        <w:t xml:space="preserve">concentrations derived incorporating the </w:t>
      </w:r>
      <w:r>
        <w:rPr>
          <w:rFonts w:cs="Arial"/>
          <w:szCs w:val="22"/>
        </w:rPr>
        <w:t xml:space="preserve">approximate </w:t>
      </w:r>
      <w:r w:rsidRPr="006D2A1C">
        <w:rPr>
          <w:rFonts w:cs="Arial"/>
          <w:szCs w:val="22"/>
        </w:rPr>
        <w:t xml:space="preserve">market </w:t>
      </w:r>
      <w:r w:rsidR="002737E0" w:rsidRPr="006D2A1C">
        <w:rPr>
          <w:rFonts w:cs="Arial"/>
          <w:szCs w:val="22"/>
        </w:rPr>
        <w:t>share</w:t>
      </w:r>
      <w:r w:rsidR="002737E0">
        <w:rPr>
          <w:rFonts w:cs="Arial"/>
          <w:szCs w:val="22"/>
        </w:rPr>
        <w:t>s of 5% are</w:t>
      </w:r>
      <w:r w:rsidRPr="006D2A1C">
        <w:rPr>
          <w:rFonts w:cs="Arial"/>
          <w:szCs w:val="22"/>
        </w:rPr>
        <w:t xml:space="preserve"> shown in </w:t>
      </w:r>
      <w:r>
        <w:rPr>
          <w:rFonts w:cs="Arial"/>
          <w:szCs w:val="22"/>
        </w:rPr>
        <w:t>Appendix 6</w:t>
      </w:r>
      <w:r w:rsidRPr="006D2A1C">
        <w:rPr>
          <w:rFonts w:cs="Arial"/>
          <w:szCs w:val="22"/>
        </w:rPr>
        <w:t>.</w:t>
      </w:r>
    </w:p>
    <w:p w:rsidR="0076132F" w:rsidRDefault="0076132F"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rsidR="003A4DBD" w:rsidRDefault="002516A1"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Pr>
          <w:rFonts w:cs="Arial"/>
          <w:szCs w:val="22"/>
        </w:rPr>
        <w:t>T</w:t>
      </w:r>
      <w:r w:rsidR="00D03B1E">
        <w:rPr>
          <w:rFonts w:cs="Arial"/>
          <w:szCs w:val="22"/>
        </w:rPr>
        <w:t xml:space="preserve">his method </w:t>
      </w:r>
      <w:r>
        <w:rPr>
          <w:rFonts w:cs="Arial"/>
          <w:szCs w:val="22"/>
        </w:rPr>
        <w:t xml:space="preserve">of using a broader food group and applying a market share value </w:t>
      </w:r>
      <w:r w:rsidR="00D03B1E">
        <w:rPr>
          <w:rFonts w:cs="Arial"/>
          <w:szCs w:val="22"/>
        </w:rPr>
        <w:t xml:space="preserve">was </w:t>
      </w:r>
      <w:r>
        <w:rPr>
          <w:rFonts w:cs="Arial"/>
          <w:szCs w:val="22"/>
        </w:rPr>
        <w:t xml:space="preserve">also used for other foods for which there were no consumers, including </w:t>
      </w:r>
      <w:r w:rsidR="00D33562" w:rsidRPr="00F97089">
        <w:rPr>
          <w:rFonts w:cs="Arial"/>
          <w:szCs w:val="22"/>
        </w:rPr>
        <w:t>bread</w:t>
      </w:r>
      <w:r w:rsidR="006E1FE2">
        <w:rPr>
          <w:rFonts w:cs="Arial"/>
          <w:szCs w:val="22"/>
        </w:rPr>
        <w:t xml:space="preserve"> containing linseed</w:t>
      </w:r>
      <w:r w:rsidR="00D33562" w:rsidRPr="00F97089">
        <w:rPr>
          <w:rFonts w:cs="Arial"/>
          <w:szCs w:val="22"/>
        </w:rPr>
        <w:t xml:space="preserve"> </w:t>
      </w:r>
      <w:r w:rsidR="00D03B1E">
        <w:rPr>
          <w:rFonts w:cs="Arial"/>
          <w:szCs w:val="22"/>
        </w:rPr>
        <w:t xml:space="preserve">(no reported consumers </w:t>
      </w:r>
      <w:r w:rsidR="00D33562" w:rsidRPr="00F97089">
        <w:rPr>
          <w:rFonts w:cs="Arial"/>
          <w:szCs w:val="22"/>
        </w:rPr>
        <w:t>in the 1995 and 1997 surveys</w:t>
      </w:r>
      <w:r w:rsidR="00D03B1E">
        <w:rPr>
          <w:rFonts w:cs="Arial"/>
          <w:szCs w:val="22"/>
        </w:rPr>
        <w:t>), whereby all</w:t>
      </w:r>
      <w:r w:rsidR="00D33562" w:rsidRPr="00F97089">
        <w:rPr>
          <w:rFonts w:cs="Arial"/>
          <w:szCs w:val="22"/>
        </w:rPr>
        <w:t xml:space="preserve"> grain and wholemeal breads were used as a proxy</w:t>
      </w:r>
      <w:r>
        <w:rPr>
          <w:rFonts w:cs="Arial"/>
          <w:szCs w:val="22"/>
        </w:rPr>
        <w:t>,</w:t>
      </w:r>
      <w:r w:rsidR="00613F08">
        <w:rPr>
          <w:rFonts w:cs="Arial"/>
          <w:szCs w:val="22"/>
        </w:rPr>
        <w:t xml:space="preserve"> and </w:t>
      </w:r>
      <w:r w:rsidR="00D33562" w:rsidRPr="00F97089">
        <w:rPr>
          <w:rFonts w:cs="Arial"/>
          <w:szCs w:val="22"/>
        </w:rPr>
        <w:t xml:space="preserve">amaretti biscuits </w:t>
      </w:r>
      <w:r w:rsidR="00613F08">
        <w:rPr>
          <w:rFonts w:cs="Arial"/>
          <w:szCs w:val="22"/>
        </w:rPr>
        <w:t xml:space="preserve">and </w:t>
      </w:r>
      <w:r w:rsidR="00D33562" w:rsidRPr="00F97089">
        <w:rPr>
          <w:rFonts w:cs="Arial"/>
          <w:szCs w:val="22"/>
        </w:rPr>
        <w:t>almond fingers</w:t>
      </w:r>
      <w:r w:rsidR="00D56419">
        <w:rPr>
          <w:rFonts w:cs="Arial"/>
          <w:szCs w:val="22"/>
        </w:rPr>
        <w:t>/apple</w:t>
      </w:r>
      <w:r w:rsidR="00D33562" w:rsidRPr="00F97089">
        <w:rPr>
          <w:rFonts w:cs="Arial"/>
          <w:szCs w:val="22"/>
        </w:rPr>
        <w:t xml:space="preserve"> fingers</w:t>
      </w:r>
      <w:r w:rsidR="00613F08">
        <w:rPr>
          <w:rFonts w:cs="Arial"/>
          <w:szCs w:val="22"/>
        </w:rPr>
        <w:t>, whereby</w:t>
      </w:r>
      <w:r w:rsidR="00D33562" w:rsidRPr="00F97089">
        <w:rPr>
          <w:rFonts w:cs="Arial"/>
          <w:szCs w:val="22"/>
        </w:rPr>
        <w:t xml:space="preserve"> all nut containing biscuits were used </w:t>
      </w:r>
      <w:r w:rsidR="00613F08">
        <w:rPr>
          <w:rFonts w:cs="Arial"/>
          <w:szCs w:val="22"/>
        </w:rPr>
        <w:t>as a proxy</w:t>
      </w:r>
      <w:r w:rsidR="00D03B1E">
        <w:rPr>
          <w:rFonts w:cs="Arial"/>
          <w:szCs w:val="22"/>
        </w:rPr>
        <w:t xml:space="preserve"> </w:t>
      </w:r>
      <w:r w:rsidR="00D33562" w:rsidRPr="00F97089">
        <w:rPr>
          <w:rFonts w:cs="Arial"/>
          <w:szCs w:val="22"/>
        </w:rPr>
        <w:t>(</w:t>
      </w:r>
      <w:r w:rsidR="00D03B1E">
        <w:rPr>
          <w:rFonts w:cs="Arial"/>
          <w:szCs w:val="22"/>
        </w:rPr>
        <w:t>s</w:t>
      </w:r>
      <w:r w:rsidR="00D33562" w:rsidRPr="00F97089">
        <w:rPr>
          <w:rFonts w:cs="Arial"/>
          <w:szCs w:val="22"/>
        </w:rPr>
        <w:t xml:space="preserve">ee </w:t>
      </w:r>
      <w:r w:rsidR="00BE4592" w:rsidRPr="00E11362">
        <w:rPr>
          <w:rFonts w:cs="Arial"/>
          <w:szCs w:val="22"/>
        </w:rPr>
        <w:t>Appendix</w:t>
      </w:r>
      <w:r w:rsidR="00BE4592">
        <w:rPr>
          <w:rFonts w:cs="Arial"/>
          <w:szCs w:val="22"/>
        </w:rPr>
        <w:t xml:space="preserve"> </w:t>
      </w:r>
      <w:r w:rsidR="00E11362">
        <w:rPr>
          <w:rFonts w:cs="Arial"/>
          <w:szCs w:val="22"/>
        </w:rPr>
        <w:t>7</w:t>
      </w:r>
      <w:r w:rsidR="00D33562" w:rsidRPr="00F97089">
        <w:rPr>
          <w:rFonts w:cs="Arial"/>
          <w:szCs w:val="22"/>
        </w:rPr>
        <w:t xml:space="preserve"> for further information).</w:t>
      </w:r>
    </w:p>
    <w:p w:rsidR="003A4DBD" w:rsidRDefault="003A4DBD">
      <w:pPr>
        <w:spacing w:after="200" w:line="276" w:lineRule="auto"/>
        <w:rPr>
          <w:rFonts w:cs="Arial"/>
          <w:szCs w:val="22"/>
        </w:rPr>
      </w:pPr>
      <w:r>
        <w:rPr>
          <w:rFonts w:cs="Arial"/>
          <w:szCs w:val="22"/>
        </w:rPr>
        <w:br w:type="page"/>
      </w:r>
    </w:p>
    <w:p w:rsidR="002516A1" w:rsidRPr="00473EBF" w:rsidRDefault="002516A1" w:rsidP="002516A1">
      <w:pPr>
        <w:pStyle w:val="Heading4"/>
        <w:numPr>
          <w:ilvl w:val="3"/>
          <w:numId w:val="41"/>
        </w:numPr>
        <w:ind w:hanging="1080"/>
      </w:pPr>
      <w:r>
        <w:lastRenderedPageBreak/>
        <w:t>Acute</w:t>
      </w:r>
      <w:r w:rsidRPr="00473EBF">
        <w:t xml:space="preserve"> dietary exposure assessment</w:t>
      </w:r>
    </w:p>
    <w:p w:rsidR="00EE078F" w:rsidRDefault="00D33562"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F97089">
        <w:rPr>
          <w:rFonts w:cs="Arial"/>
          <w:szCs w:val="22"/>
        </w:rPr>
        <w:t>For the acute dietary exposure assessments, 97.5</w:t>
      </w:r>
      <w:r w:rsidRPr="00F97089">
        <w:rPr>
          <w:rFonts w:cs="Arial"/>
          <w:szCs w:val="22"/>
          <w:vertAlign w:val="superscript"/>
        </w:rPr>
        <w:t>th</w:t>
      </w:r>
      <w:r w:rsidRPr="00F97089">
        <w:rPr>
          <w:rFonts w:cs="Arial"/>
          <w:szCs w:val="22"/>
        </w:rPr>
        <w:t xml:space="preserve"> percentile </w:t>
      </w:r>
      <w:r w:rsidR="00EE078F">
        <w:rPr>
          <w:rFonts w:cs="Arial"/>
          <w:szCs w:val="22"/>
        </w:rPr>
        <w:t xml:space="preserve">or median </w:t>
      </w:r>
      <w:r w:rsidRPr="00F97089">
        <w:rPr>
          <w:rFonts w:cs="Arial"/>
          <w:szCs w:val="22"/>
        </w:rPr>
        <w:t xml:space="preserve">consumption </w:t>
      </w:r>
      <w:r w:rsidR="00EE078F">
        <w:rPr>
          <w:rFonts w:cs="Arial"/>
          <w:szCs w:val="22"/>
        </w:rPr>
        <w:t xml:space="preserve">values </w:t>
      </w:r>
      <w:r w:rsidRPr="00F97089">
        <w:rPr>
          <w:rFonts w:cs="Arial"/>
          <w:szCs w:val="22"/>
        </w:rPr>
        <w:t>were derived for each relevant food using the individual dietary records from each consumer of that food for each nutrition survey</w:t>
      </w:r>
      <w:r w:rsidR="00EE078F">
        <w:rPr>
          <w:rFonts w:cs="Arial"/>
          <w:szCs w:val="22"/>
        </w:rPr>
        <w:t xml:space="preserve">, </w:t>
      </w:r>
      <w:r w:rsidRPr="00F97089">
        <w:rPr>
          <w:rFonts w:cs="Arial"/>
          <w:szCs w:val="22"/>
        </w:rPr>
        <w:t xml:space="preserve">as described in </w:t>
      </w:r>
      <w:r w:rsidR="00B93506" w:rsidRPr="00BE4592">
        <w:rPr>
          <w:rFonts w:cs="Arial"/>
          <w:szCs w:val="22"/>
        </w:rPr>
        <w:t>Section 5</w:t>
      </w:r>
      <w:r w:rsidRPr="00BE4592">
        <w:rPr>
          <w:rFonts w:cs="Arial"/>
          <w:szCs w:val="22"/>
        </w:rPr>
        <w:t>.</w:t>
      </w:r>
      <w:r w:rsidR="00B93506" w:rsidRPr="00BE4592">
        <w:rPr>
          <w:rFonts w:cs="Arial"/>
          <w:szCs w:val="22"/>
        </w:rPr>
        <w:t>3.</w:t>
      </w:r>
      <w:r w:rsidRPr="00BE4592">
        <w:rPr>
          <w:rFonts w:cs="Arial"/>
          <w:szCs w:val="22"/>
        </w:rPr>
        <w:t>1</w:t>
      </w:r>
      <w:r w:rsidR="00BF154C">
        <w:rPr>
          <w:rFonts w:cs="Arial"/>
          <w:szCs w:val="22"/>
        </w:rPr>
        <w:t>.2</w:t>
      </w:r>
      <w:r w:rsidRPr="00F97089">
        <w:rPr>
          <w:rFonts w:cs="Arial"/>
          <w:szCs w:val="22"/>
        </w:rPr>
        <w:t xml:space="preserve">. </w:t>
      </w:r>
    </w:p>
    <w:p w:rsidR="00EE078F" w:rsidRDefault="00EE078F"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rsidR="00FC40DC" w:rsidRDefault="00613F08" w:rsidP="00D33562">
      <w:pPr>
        <w:rPr>
          <w:rFonts w:cs="Arial"/>
          <w:szCs w:val="22"/>
        </w:rPr>
      </w:pPr>
      <w:r>
        <w:rPr>
          <w:rFonts w:cs="Arial"/>
          <w:szCs w:val="22"/>
        </w:rPr>
        <w:t>C</w:t>
      </w:r>
      <w:r w:rsidR="00D33562" w:rsidRPr="00F97089">
        <w:rPr>
          <w:rFonts w:cs="Arial"/>
          <w:szCs w:val="22"/>
        </w:rPr>
        <w:t xml:space="preserve">onsumption amounts </w:t>
      </w:r>
      <w:r>
        <w:rPr>
          <w:rFonts w:cs="Arial"/>
          <w:szCs w:val="22"/>
        </w:rPr>
        <w:t xml:space="preserve">for each food represented the total amount of that food eaten, irrespective of whether it was </w:t>
      </w:r>
      <w:r w:rsidR="00D33562" w:rsidRPr="00F97089">
        <w:rPr>
          <w:rFonts w:cs="Arial"/>
          <w:szCs w:val="22"/>
        </w:rPr>
        <w:t>consumed alone and/or as an ingredient in mixed foods. For example</w:t>
      </w:r>
      <w:r w:rsidR="006937C7">
        <w:rPr>
          <w:rFonts w:cs="Arial"/>
          <w:szCs w:val="22"/>
        </w:rPr>
        <w:t>,</w:t>
      </w:r>
      <w:r w:rsidR="00FC40DC" w:rsidRPr="00FC40DC">
        <w:rPr>
          <w:rFonts w:cs="Arial"/>
          <w:szCs w:val="22"/>
        </w:rPr>
        <w:t xml:space="preserve"> </w:t>
      </w:r>
      <w:r w:rsidR="00FC40DC" w:rsidRPr="00F97089">
        <w:rPr>
          <w:rFonts w:cs="Arial"/>
          <w:szCs w:val="22"/>
        </w:rPr>
        <w:t xml:space="preserve">the </w:t>
      </w:r>
      <w:r w:rsidR="00FC40DC">
        <w:rPr>
          <w:rFonts w:cs="Arial"/>
          <w:szCs w:val="22"/>
        </w:rPr>
        <w:t xml:space="preserve">total </w:t>
      </w:r>
      <w:r w:rsidR="00FC40DC" w:rsidRPr="00F97089">
        <w:rPr>
          <w:rFonts w:cs="Arial"/>
          <w:szCs w:val="22"/>
        </w:rPr>
        <w:t xml:space="preserve">consumption </w:t>
      </w:r>
      <w:r w:rsidR="00FC40DC">
        <w:rPr>
          <w:rFonts w:cs="Arial"/>
          <w:szCs w:val="22"/>
        </w:rPr>
        <w:t xml:space="preserve">of passionfruit included </w:t>
      </w:r>
      <w:r w:rsidR="00D33562" w:rsidRPr="00F97089">
        <w:rPr>
          <w:rFonts w:cs="Arial"/>
          <w:szCs w:val="22"/>
        </w:rPr>
        <w:t xml:space="preserve">passionfruit eaten fresh, in fruit salad, in cakes, slices and other desserts, as a topping on </w:t>
      </w:r>
      <w:r w:rsidR="00FC40DC">
        <w:rPr>
          <w:rFonts w:cs="Arial"/>
          <w:szCs w:val="22"/>
        </w:rPr>
        <w:t>p</w:t>
      </w:r>
      <w:r w:rsidR="005A1D59" w:rsidRPr="00F97089">
        <w:rPr>
          <w:rFonts w:cs="Arial"/>
          <w:szCs w:val="22"/>
        </w:rPr>
        <w:t>avlova</w:t>
      </w:r>
      <w:r w:rsidR="00D33562" w:rsidRPr="00F97089">
        <w:rPr>
          <w:rFonts w:cs="Arial"/>
          <w:szCs w:val="22"/>
        </w:rPr>
        <w:t xml:space="preserve"> or in mixed juices</w:t>
      </w:r>
      <w:r w:rsidR="00FC40DC">
        <w:rPr>
          <w:rFonts w:cs="Arial"/>
          <w:szCs w:val="22"/>
        </w:rPr>
        <w:t>.</w:t>
      </w:r>
    </w:p>
    <w:p w:rsidR="00324ECC" w:rsidRDefault="00324ECC" w:rsidP="00D33562">
      <w:pPr>
        <w:rPr>
          <w:rFonts w:cs="Arial"/>
          <w:szCs w:val="22"/>
        </w:rPr>
      </w:pPr>
    </w:p>
    <w:p w:rsidR="00D33562" w:rsidRPr="00F97089" w:rsidRDefault="00324ECC" w:rsidP="00D33562">
      <w:pPr>
        <w:rPr>
          <w:rFonts w:cs="Arial"/>
          <w:szCs w:val="22"/>
          <w:shd w:val="clear" w:color="auto" w:fill="FF00FF"/>
        </w:rPr>
      </w:pPr>
      <w:r>
        <w:rPr>
          <w:rFonts w:cs="Arial"/>
          <w:szCs w:val="22"/>
        </w:rPr>
        <w:t xml:space="preserve">The only exception to the method of deriving consumption </w:t>
      </w:r>
      <w:r w:rsidR="0054656A">
        <w:rPr>
          <w:rFonts w:cs="Arial"/>
          <w:szCs w:val="22"/>
        </w:rPr>
        <w:t xml:space="preserve">amounts for an acute dietary </w:t>
      </w:r>
      <w:r w:rsidR="0054656A" w:rsidRPr="004331B2">
        <w:rPr>
          <w:rFonts w:cs="Arial"/>
          <w:szCs w:val="22"/>
        </w:rPr>
        <w:t xml:space="preserve">exposure estimate </w:t>
      </w:r>
      <w:r w:rsidRPr="004331B2">
        <w:rPr>
          <w:rFonts w:cs="Arial"/>
          <w:szCs w:val="22"/>
        </w:rPr>
        <w:t>(as described above) was a</w:t>
      </w:r>
      <w:r w:rsidR="00D33562" w:rsidRPr="004331B2">
        <w:rPr>
          <w:rFonts w:cs="Arial"/>
          <w:szCs w:val="22"/>
        </w:rPr>
        <w:t>pple juice</w:t>
      </w:r>
      <w:r w:rsidRPr="004331B2">
        <w:rPr>
          <w:rFonts w:cs="Arial"/>
          <w:szCs w:val="22"/>
        </w:rPr>
        <w:t xml:space="preserve">. Only </w:t>
      </w:r>
      <w:r w:rsidR="00D33562" w:rsidRPr="004331B2">
        <w:rPr>
          <w:rFonts w:cs="Arial"/>
          <w:szCs w:val="22"/>
        </w:rPr>
        <w:t>apple juice and blended</w:t>
      </w:r>
      <w:r w:rsidR="00D33562" w:rsidRPr="00F97089">
        <w:rPr>
          <w:rFonts w:cs="Arial"/>
          <w:szCs w:val="22"/>
        </w:rPr>
        <w:t xml:space="preserve"> juices containing apple juice were included</w:t>
      </w:r>
      <w:r w:rsidR="00A853BD">
        <w:rPr>
          <w:rFonts w:cs="Arial"/>
          <w:szCs w:val="22"/>
        </w:rPr>
        <w:t xml:space="preserve"> in the total consumption amounts</w:t>
      </w:r>
      <w:r w:rsidR="0054656A">
        <w:rPr>
          <w:rFonts w:cs="Arial"/>
          <w:szCs w:val="22"/>
        </w:rPr>
        <w:t xml:space="preserve"> for juice</w:t>
      </w:r>
      <w:r w:rsidR="004331B2">
        <w:rPr>
          <w:rFonts w:cs="Arial"/>
          <w:szCs w:val="22"/>
        </w:rPr>
        <w:t xml:space="preserve"> and it was assumed </w:t>
      </w:r>
      <w:r w:rsidR="004331B2" w:rsidRPr="003215D7">
        <w:rPr>
          <w:rFonts w:cs="Arial"/>
          <w:szCs w:val="22"/>
        </w:rPr>
        <w:t>that the concentration of HCN in unblended apple juice was equivalent to that in the apple juice within the juice blends</w:t>
      </w:r>
      <w:r w:rsidR="00D33562" w:rsidRPr="004331B2">
        <w:rPr>
          <w:rFonts w:cs="Arial"/>
          <w:szCs w:val="22"/>
        </w:rPr>
        <w:t>.</w:t>
      </w:r>
      <w:r w:rsidR="00D33562" w:rsidRPr="00F97089">
        <w:rPr>
          <w:rFonts w:cs="Arial"/>
          <w:szCs w:val="22"/>
        </w:rPr>
        <w:t xml:space="preserve"> This </w:t>
      </w:r>
      <w:r w:rsidR="00460B96">
        <w:rPr>
          <w:rFonts w:cs="Arial"/>
          <w:szCs w:val="22"/>
        </w:rPr>
        <w:t xml:space="preserve">exception was made </w:t>
      </w:r>
      <w:r w:rsidR="00D33562" w:rsidRPr="00F97089">
        <w:rPr>
          <w:rFonts w:cs="Arial"/>
          <w:szCs w:val="22"/>
        </w:rPr>
        <w:t xml:space="preserve">because the consumption amount of </w:t>
      </w:r>
      <w:r w:rsidR="00460B96">
        <w:rPr>
          <w:rFonts w:cs="Arial"/>
          <w:szCs w:val="22"/>
        </w:rPr>
        <w:t xml:space="preserve">the </w:t>
      </w:r>
      <w:r w:rsidR="00D33562" w:rsidRPr="00F97089">
        <w:rPr>
          <w:rFonts w:cs="Arial"/>
          <w:szCs w:val="22"/>
        </w:rPr>
        <w:t xml:space="preserve">juice </w:t>
      </w:r>
      <w:r w:rsidR="00460B96">
        <w:rPr>
          <w:rFonts w:cs="Arial"/>
          <w:szCs w:val="22"/>
        </w:rPr>
        <w:t xml:space="preserve">itself </w:t>
      </w:r>
      <w:r w:rsidR="00D33562" w:rsidRPr="00F97089">
        <w:rPr>
          <w:rFonts w:cs="Arial"/>
          <w:szCs w:val="22"/>
        </w:rPr>
        <w:t>was deemed to present the greatest acute risk</w:t>
      </w:r>
      <w:r w:rsidR="00460B96">
        <w:rPr>
          <w:rFonts w:cs="Arial"/>
          <w:szCs w:val="22"/>
        </w:rPr>
        <w:t xml:space="preserve">. </w:t>
      </w:r>
      <w:r w:rsidR="00C11118">
        <w:rPr>
          <w:rFonts w:cs="Arial"/>
          <w:szCs w:val="22"/>
        </w:rPr>
        <w:t>This approach is considered valid</w:t>
      </w:r>
      <w:r w:rsidR="009576A0">
        <w:rPr>
          <w:rFonts w:cs="Arial"/>
          <w:szCs w:val="22"/>
        </w:rPr>
        <w:t>,</w:t>
      </w:r>
      <w:r>
        <w:rPr>
          <w:rFonts w:cs="Arial"/>
          <w:szCs w:val="22"/>
        </w:rPr>
        <w:t xml:space="preserve"> because </w:t>
      </w:r>
      <w:r w:rsidR="00D33562" w:rsidRPr="00F97089">
        <w:rPr>
          <w:rFonts w:cs="Arial"/>
          <w:szCs w:val="22"/>
        </w:rPr>
        <w:t xml:space="preserve">this food is not </w:t>
      </w:r>
      <w:r w:rsidR="00460B96">
        <w:rPr>
          <w:rFonts w:cs="Arial"/>
          <w:szCs w:val="22"/>
        </w:rPr>
        <w:t xml:space="preserve">commonly </w:t>
      </w:r>
      <w:r w:rsidR="00D33562" w:rsidRPr="00F97089">
        <w:rPr>
          <w:rFonts w:cs="Arial"/>
          <w:szCs w:val="22"/>
        </w:rPr>
        <w:t xml:space="preserve">used as an ingredient in mixed foods </w:t>
      </w:r>
      <w:r w:rsidR="00460B96">
        <w:rPr>
          <w:rFonts w:cs="Arial"/>
          <w:szCs w:val="22"/>
        </w:rPr>
        <w:t xml:space="preserve">or further </w:t>
      </w:r>
      <w:r w:rsidR="00666561">
        <w:rPr>
          <w:rFonts w:cs="Arial"/>
          <w:szCs w:val="22"/>
        </w:rPr>
        <w:t>cooked/</w:t>
      </w:r>
      <w:r w:rsidR="00460B96">
        <w:rPr>
          <w:rFonts w:cs="Arial"/>
          <w:szCs w:val="22"/>
        </w:rPr>
        <w:t xml:space="preserve">prepared </w:t>
      </w:r>
      <w:r w:rsidR="00D33562" w:rsidRPr="00F97089">
        <w:rPr>
          <w:rFonts w:cs="Arial"/>
          <w:szCs w:val="22"/>
        </w:rPr>
        <w:t>before consumption</w:t>
      </w:r>
      <w:r w:rsidR="009576A0">
        <w:rPr>
          <w:rFonts w:cs="Arial"/>
          <w:szCs w:val="22"/>
        </w:rPr>
        <w:t>.</w:t>
      </w:r>
      <w:r>
        <w:rPr>
          <w:rFonts w:cs="Arial"/>
          <w:szCs w:val="22"/>
        </w:rPr>
        <w:t xml:space="preserve"> </w:t>
      </w:r>
    </w:p>
    <w:p w:rsidR="00D33562" w:rsidRPr="00F97089" w:rsidRDefault="00D33562" w:rsidP="00D33562">
      <w:pPr>
        <w:rPr>
          <w:rFonts w:cs="Arial"/>
          <w:szCs w:val="22"/>
        </w:rPr>
      </w:pPr>
    </w:p>
    <w:p w:rsidR="00D33562" w:rsidRPr="00F97089" w:rsidRDefault="0069777F" w:rsidP="00D33562">
      <w:pPr>
        <w:rPr>
          <w:rFonts w:cs="Arial"/>
          <w:szCs w:val="22"/>
        </w:rPr>
      </w:pPr>
      <w:r>
        <w:rPr>
          <w:rFonts w:cs="Arial"/>
          <w:szCs w:val="22"/>
        </w:rPr>
        <w:t>T</w:t>
      </w:r>
      <w:r w:rsidR="00FC40DC">
        <w:rPr>
          <w:rFonts w:cs="Arial"/>
          <w:szCs w:val="22"/>
        </w:rPr>
        <w:t xml:space="preserve">he </w:t>
      </w:r>
      <w:r w:rsidR="00D33562" w:rsidRPr="00F97089">
        <w:rPr>
          <w:rFonts w:cs="Arial"/>
          <w:szCs w:val="22"/>
        </w:rPr>
        <w:t xml:space="preserve">recommended </w:t>
      </w:r>
      <w:r w:rsidR="00FC40DC">
        <w:rPr>
          <w:rFonts w:cs="Arial"/>
          <w:szCs w:val="22"/>
        </w:rPr>
        <w:t xml:space="preserve">maximum </w:t>
      </w:r>
      <w:r w:rsidR="00D33562" w:rsidRPr="00F97089">
        <w:rPr>
          <w:rFonts w:cs="Arial"/>
          <w:szCs w:val="22"/>
        </w:rPr>
        <w:t xml:space="preserve">consumption levels </w:t>
      </w:r>
      <w:r w:rsidR="00666561">
        <w:rPr>
          <w:rFonts w:cs="Arial"/>
          <w:szCs w:val="22"/>
        </w:rPr>
        <w:t xml:space="preserve">of </w:t>
      </w:r>
      <w:r w:rsidR="000B3E7C">
        <w:rPr>
          <w:rFonts w:cs="Arial"/>
          <w:szCs w:val="22"/>
        </w:rPr>
        <w:t xml:space="preserve">raw </w:t>
      </w:r>
      <w:r>
        <w:rPr>
          <w:rFonts w:cs="Arial"/>
          <w:szCs w:val="22"/>
        </w:rPr>
        <w:t>apricot kernels</w:t>
      </w:r>
      <w:r w:rsidR="00666561">
        <w:rPr>
          <w:rFonts w:cs="Arial"/>
          <w:szCs w:val="22"/>
        </w:rPr>
        <w:t xml:space="preserve">, as provided </w:t>
      </w:r>
      <w:r w:rsidR="00906015">
        <w:rPr>
          <w:rFonts w:cs="Arial"/>
          <w:szCs w:val="22"/>
        </w:rPr>
        <w:t xml:space="preserve">on </w:t>
      </w:r>
      <w:r w:rsidR="00BB15D2">
        <w:rPr>
          <w:rFonts w:cs="Arial"/>
          <w:szCs w:val="22"/>
        </w:rPr>
        <w:t>websites associated with the product</w:t>
      </w:r>
      <w:r w:rsidR="00666561">
        <w:rPr>
          <w:rFonts w:cs="Arial"/>
          <w:szCs w:val="22"/>
        </w:rPr>
        <w:t xml:space="preserve"> </w:t>
      </w:r>
      <w:r w:rsidR="00FC40DC">
        <w:rPr>
          <w:rFonts w:cs="Arial"/>
          <w:szCs w:val="22"/>
        </w:rPr>
        <w:t>(32 kernels</w:t>
      </w:r>
      <w:r w:rsidR="00FF4C13">
        <w:rPr>
          <w:rFonts w:cs="Arial"/>
          <w:szCs w:val="22"/>
        </w:rPr>
        <w:t>/day</w:t>
      </w:r>
      <w:r w:rsidR="00FC40DC">
        <w:rPr>
          <w:rFonts w:cs="Arial"/>
          <w:szCs w:val="22"/>
        </w:rPr>
        <w:t xml:space="preserve">) </w:t>
      </w:r>
      <w:r w:rsidR="00906015">
        <w:rPr>
          <w:rFonts w:cs="Arial"/>
          <w:szCs w:val="22"/>
        </w:rPr>
        <w:t xml:space="preserve">and </w:t>
      </w:r>
      <w:r w:rsidR="00FF4C13">
        <w:rPr>
          <w:rFonts w:cs="Arial"/>
          <w:szCs w:val="22"/>
        </w:rPr>
        <w:t xml:space="preserve">consumption levels </w:t>
      </w:r>
      <w:r w:rsidR="00906015">
        <w:rPr>
          <w:rFonts w:cs="Arial"/>
          <w:szCs w:val="22"/>
        </w:rPr>
        <w:t>previously considered by FSANZ to be safe</w:t>
      </w:r>
      <w:r w:rsidR="00906015" w:rsidRPr="00906015">
        <w:rPr>
          <w:rFonts w:cs="Arial"/>
          <w:szCs w:val="22"/>
        </w:rPr>
        <w:t xml:space="preserve"> (4 kernels</w:t>
      </w:r>
      <w:r w:rsidR="00FF4C13">
        <w:rPr>
          <w:rFonts w:cs="Arial"/>
          <w:szCs w:val="22"/>
        </w:rPr>
        <w:t>/day</w:t>
      </w:r>
      <w:r w:rsidR="00906015" w:rsidRPr="00906015">
        <w:rPr>
          <w:rFonts w:cs="Arial"/>
          <w:szCs w:val="22"/>
        </w:rPr>
        <w:t>)</w:t>
      </w:r>
      <w:r>
        <w:rPr>
          <w:rFonts w:cs="Arial"/>
          <w:szCs w:val="22"/>
        </w:rPr>
        <w:t xml:space="preserve"> were used in the acute dietary exposure estimates as consumption data were not available from the NNSs</w:t>
      </w:r>
      <w:r w:rsidR="00906015" w:rsidRPr="00906015">
        <w:rPr>
          <w:rFonts w:cs="Arial"/>
          <w:szCs w:val="22"/>
        </w:rPr>
        <w:t xml:space="preserve"> </w:t>
      </w:r>
      <w:r w:rsidR="00666561">
        <w:rPr>
          <w:rFonts w:cs="Arial"/>
          <w:szCs w:val="22"/>
        </w:rPr>
        <w:t>(</w:t>
      </w:r>
      <w:r w:rsidR="0022277C">
        <w:rPr>
          <w:rFonts w:cs="Arial"/>
          <w:szCs w:val="22"/>
        </w:rPr>
        <w:t>se</w:t>
      </w:r>
      <w:r w:rsidR="00DD2DB0">
        <w:rPr>
          <w:rFonts w:cs="Arial"/>
          <w:szCs w:val="22"/>
        </w:rPr>
        <w:t>e</w:t>
      </w:r>
      <w:r w:rsidR="0022277C">
        <w:rPr>
          <w:rFonts w:cs="Arial"/>
          <w:szCs w:val="22"/>
        </w:rPr>
        <w:t xml:space="preserve"> </w:t>
      </w:r>
      <w:r w:rsidR="00BE4592">
        <w:rPr>
          <w:rFonts w:cs="Arial"/>
          <w:szCs w:val="22"/>
        </w:rPr>
        <w:t xml:space="preserve">Appendix </w:t>
      </w:r>
      <w:r w:rsidR="00E11362">
        <w:rPr>
          <w:rFonts w:cs="Arial"/>
          <w:szCs w:val="22"/>
        </w:rPr>
        <w:t>7</w:t>
      </w:r>
      <w:r w:rsidR="00D33562" w:rsidRPr="00BE4592">
        <w:rPr>
          <w:rFonts w:cs="Arial"/>
          <w:szCs w:val="22"/>
        </w:rPr>
        <w:t xml:space="preserve"> </w:t>
      </w:r>
      <w:r w:rsidR="00D33562" w:rsidRPr="00F97089">
        <w:rPr>
          <w:rFonts w:cs="Arial"/>
          <w:szCs w:val="22"/>
        </w:rPr>
        <w:t>for further information).</w:t>
      </w:r>
    </w:p>
    <w:p w:rsidR="00D33562" w:rsidRPr="00F97089" w:rsidRDefault="00D33562" w:rsidP="00D33562">
      <w:pPr>
        <w:rPr>
          <w:rFonts w:cs="Arial"/>
          <w:szCs w:val="22"/>
        </w:rPr>
      </w:pPr>
    </w:p>
    <w:p w:rsidR="00D33562" w:rsidRPr="00F97089" w:rsidRDefault="006125D5" w:rsidP="00D33562">
      <w:pPr>
        <w:rPr>
          <w:rFonts w:cs="Arial"/>
          <w:szCs w:val="22"/>
        </w:rPr>
      </w:pPr>
      <w:r>
        <w:rPr>
          <w:rFonts w:cs="Arial"/>
          <w:szCs w:val="22"/>
        </w:rPr>
        <w:t>To</w:t>
      </w:r>
      <w:r w:rsidR="00D33562" w:rsidRPr="00F97089">
        <w:rPr>
          <w:rFonts w:cs="Arial"/>
          <w:szCs w:val="22"/>
        </w:rPr>
        <w:t xml:space="preserve"> assess the risk to infants for specific foods (apple juice</w:t>
      </w:r>
      <w:r w:rsidR="00FF4C13">
        <w:rPr>
          <w:rFonts w:cs="Arial"/>
          <w:szCs w:val="22"/>
        </w:rPr>
        <w:t>,</w:t>
      </w:r>
      <w:r w:rsidR="00FF4C13" w:rsidRPr="00FF4C13">
        <w:rPr>
          <w:rFonts w:cs="Arial"/>
          <w:szCs w:val="22"/>
        </w:rPr>
        <w:t xml:space="preserve"> </w:t>
      </w:r>
      <w:r w:rsidR="00FF4C13">
        <w:rPr>
          <w:rFonts w:cs="Arial"/>
          <w:szCs w:val="22"/>
        </w:rPr>
        <w:t xml:space="preserve">infant </w:t>
      </w:r>
      <w:r w:rsidR="00FF4C13" w:rsidRPr="00F97089">
        <w:rPr>
          <w:rFonts w:cs="Arial"/>
          <w:szCs w:val="22"/>
        </w:rPr>
        <w:t>apple puree</w:t>
      </w:r>
      <w:r w:rsidR="00D33562" w:rsidRPr="00F97089">
        <w:rPr>
          <w:rFonts w:cs="Arial"/>
          <w:szCs w:val="22"/>
        </w:rPr>
        <w:t xml:space="preserve">), </w:t>
      </w:r>
      <w:r w:rsidR="00961444">
        <w:rPr>
          <w:rFonts w:cs="Arial"/>
          <w:szCs w:val="22"/>
        </w:rPr>
        <w:t>NOURISH d</w:t>
      </w:r>
      <w:r w:rsidR="00D33562" w:rsidRPr="00F97089">
        <w:rPr>
          <w:rFonts w:cs="Arial"/>
          <w:szCs w:val="22"/>
        </w:rPr>
        <w:t xml:space="preserve">ata for the first </w:t>
      </w:r>
      <w:r w:rsidR="0069777F">
        <w:rPr>
          <w:rFonts w:cs="Arial"/>
          <w:szCs w:val="22"/>
        </w:rPr>
        <w:t xml:space="preserve">survey </w:t>
      </w:r>
      <w:r w:rsidR="009576A0" w:rsidRPr="00F97089">
        <w:rPr>
          <w:rFonts w:cs="Arial"/>
          <w:szCs w:val="22"/>
        </w:rPr>
        <w:t>ti</w:t>
      </w:r>
      <w:r w:rsidR="009576A0">
        <w:rPr>
          <w:rFonts w:cs="Arial"/>
          <w:szCs w:val="22"/>
        </w:rPr>
        <w:t>me</w:t>
      </w:r>
      <w:r w:rsidR="00432E51">
        <w:rPr>
          <w:rFonts w:cs="Arial"/>
          <w:szCs w:val="22"/>
        </w:rPr>
        <w:t xml:space="preserve"> </w:t>
      </w:r>
      <w:r w:rsidR="009576A0">
        <w:rPr>
          <w:rFonts w:cs="Arial"/>
          <w:szCs w:val="22"/>
        </w:rPr>
        <w:t>period</w:t>
      </w:r>
      <w:r w:rsidR="00666561">
        <w:rPr>
          <w:rFonts w:cs="Arial"/>
          <w:szCs w:val="22"/>
        </w:rPr>
        <w:t xml:space="preserve"> </w:t>
      </w:r>
      <w:r w:rsidR="00D33562" w:rsidRPr="00F97089">
        <w:rPr>
          <w:rFonts w:cs="Arial"/>
          <w:szCs w:val="22"/>
        </w:rPr>
        <w:t>were used</w:t>
      </w:r>
      <w:r w:rsidR="00666561">
        <w:rPr>
          <w:rFonts w:cs="Arial"/>
          <w:szCs w:val="22"/>
        </w:rPr>
        <w:t>,</w:t>
      </w:r>
      <w:r w:rsidR="00D33562" w:rsidRPr="00F97089">
        <w:rPr>
          <w:rFonts w:cs="Arial"/>
          <w:szCs w:val="22"/>
        </w:rPr>
        <w:t xml:space="preserve"> with between 1 and 3 days of consumption data per respondent</w:t>
      </w:r>
      <w:r w:rsidR="0054656A">
        <w:rPr>
          <w:rFonts w:cs="Arial"/>
          <w:szCs w:val="22"/>
        </w:rPr>
        <w:t xml:space="preserve"> treated as separate days of data</w:t>
      </w:r>
      <w:r w:rsidR="00D33562" w:rsidRPr="00F97089">
        <w:rPr>
          <w:rFonts w:cs="Arial"/>
          <w:szCs w:val="22"/>
        </w:rPr>
        <w:t xml:space="preserve">. A summary of the food consumption data used for infants in the assessment are shown in </w:t>
      </w:r>
      <w:r w:rsidR="006021E9" w:rsidRPr="0025628B">
        <w:rPr>
          <w:rFonts w:cs="Arial"/>
          <w:szCs w:val="22"/>
        </w:rPr>
        <w:t xml:space="preserve">Table </w:t>
      </w:r>
      <w:r w:rsidR="0025628B">
        <w:rPr>
          <w:rFonts w:cs="Arial"/>
          <w:szCs w:val="22"/>
        </w:rPr>
        <w:t>A10.1</w:t>
      </w:r>
      <w:r w:rsidR="006021E9">
        <w:rPr>
          <w:rFonts w:cs="Arial"/>
          <w:szCs w:val="22"/>
        </w:rPr>
        <w:t xml:space="preserve"> </w:t>
      </w:r>
      <w:r w:rsidR="00666561" w:rsidRPr="0022277C">
        <w:rPr>
          <w:rFonts w:cs="Arial"/>
          <w:szCs w:val="22"/>
        </w:rPr>
        <w:t>and further details on the NOURISH data are provided in</w:t>
      </w:r>
      <w:r w:rsidR="00BE4592">
        <w:t xml:space="preserve"> </w:t>
      </w:r>
      <w:r w:rsidR="00BE4592" w:rsidRPr="00E11362">
        <w:t xml:space="preserve">Appendix </w:t>
      </w:r>
      <w:r w:rsidR="00E11362">
        <w:t>7</w:t>
      </w:r>
      <w:r w:rsidR="00BE4592">
        <w:t>.</w:t>
      </w:r>
      <w:r w:rsidR="00BE4592" w:rsidRPr="00F97089">
        <w:rPr>
          <w:rFonts w:cs="Arial"/>
          <w:szCs w:val="22"/>
        </w:rPr>
        <w:t xml:space="preserve"> </w:t>
      </w:r>
    </w:p>
    <w:p w:rsidR="00D33562" w:rsidRPr="00F97089" w:rsidRDefault="00D33562" w:rsidP="00D33562">
      <w:pPr>
        <w:rPr>
          <w:rFonts w:cs="Arial"/>
          <w:szCs w:val="22"/>
        </w:rPr>
      </w:pPr>
    </w:p>
    <w:p w:rsidR="00BE4592" w:rsidRDefault="00D33562" w:rsidP="00D33562">
      <w:pPr>
        <w:rPr>
          <w:rFonts w:cs="Arial"/>
          <w:szCs w:val="22"/>
        </w:rPr>
      </w:pPr>
      <w:r w:rsidRPr="00F97089">
        <w:rPr>
          <w:rFonts w:cs="Arial"/>
          <w:szCs w:val="22"/>
        </w:rPr>
        <w:t>Food consumption data from all four national nutrition surveys were on a 24</w:t>
      </w:r>
      <w:r w:rsidR="005A65ED">
        <w:rPr>
          <w:rFonts w:cs="Arial"/>
          <w:szCs w:val="22"/>
        </w:rPr>
        <w:t>-</w:t>
      </w:r>
      <w:r w:rsidRPr="00F97089">
        <w:rPr>
          <w:rFonts w:cs="Arial"/>
          <w:szCs w:val="22"/>
        </w:rPr>
        <w:t xml:space="preserve">hour basis. The data from the NOURISH </w:t>
      </w:r>
      <w:r w:rsidR="00BF154C">
        <w:rPr>
          <w:rFonts w:cs="Arial"/>
          <w:szCs w:val="22"/>
        </w:rPr>
        <w:t>study</w:t>
      </w:r>
      <w:r w:rsidRPr="00F97089">
        <w:rPr>
          <w:rFonts w:cs="Arial"/>
          <w:szCs w:val="22"/>
        </w:rPr>
        <w:t xml:space="preserve"> were on a ‘per eating occasion’ basis</w:t>
      </w:r>
      <w:r w:rsidR="002D2D7E">
        <w:rPr>
          <w:rFonts w:cs="Arial"/>
          <w:szCs w:val="22"/>
        </w:rPr>
        <w:t xml:space="preserve">, which is also appropriate for use in an acute dietary exposure </w:t>
      </w:r>
      <w:r w:rsidR="0012152E">
        <w:rPr>
          <w:rFonts w:cs="Arial"/>
          <w:szCs w:val="22"/>
        </w:rPr>
        <w:t xml:space="preserve">assessment. </w:t>
      </w:r>
    </w:p>
    <w:p w:rsidR="001A21E9" w:rsidRPr="00F97089" w:rsidRDefault="001A21E9" w:rsidP="00D33562">
      <w:pPr>
        <w:rPr>
          <w:rFonts w:cs="Arial"/>
          <w:szCs w:val="22"/>
        </w:rPr>
      </w:pPr>
    </w:p>
    <w:p w:rsidR="002875E4" w:rsidRDefault="002875E4" w:rsidP="003B2F20">
      <w:pPr>
        <w:pStyle w:val="Heading3"/>
      </w:pPr>
      <w:bookmarkStart w:id="130" w:name="_Toc367957750"/>
      <w:bookmarkStart w:id="131" w:name="_Toc384293523"/>
      <w:r w:rsidRPr="00473EBF">
        <w:t>5.3.3</w:t>
      </w:r>
      <w:r w:rsidR="00842210">
        <w:tab/>
      </w:r>
      <w:r w:rsidRPr="00473EBF">
        <w:t>Food mapping</w:t>
      </w:r>
      <w:bookmarkEnd w:id="130"/>
      <w:bookmarkEnd w:id="131"/>
    </w:p>
    <w:p w:rsidR="00BE4592" w:rsidRPr="00BE4592" w:rsidRDefault="00BE4592" w:rsidP="00BE4592"/>
    <w:p w:rsidR="00572A95" w:rsidRDefault="00D33562" w:rsidP="00572A95">
      <w:pPr>
        <w:rPr>
          <w:lang w:val="en-GB" w:eastAsia="en-US" w:bidi="en-US"/>
        </w:rPr>
      </w:pPr>
      <w:r w:rsidRPr="000D6863">
        <w:rPr>
          <w:rFonts w:cs="Arial"/>
          <w:szCs w:val="22"/>
        </w:rPr>
        <w:t>Mapping is the process of matching the foods analysed for HCN to the food</w:t>
      </w:r>
      <w:r w:rsidR="000D6863">
        <w:rPr>
          <w:rFonts w:cs="Arial"/>
          <w:szCs w:val="22"/>
        </w:rPr>
        <w:t>s</w:t>
      </w:r>
      <w:r w:rsidRPr="000D6863">
        <w:rPr>
          <w:rFonts w:cs="Arial"/>
          <w:szCs w:val="22"/>
        </w:rPr>
        <w:t xml:space="preserve"> consum</w:t>
      </w:r>
      <w:r w:rsidR="000D6863">
        <w:rPr>
          <w:rFonts w:cs="Arial"/>
          <w:szCs w:val="22"/>
        </w:rPr>
        <w:t>ed in the NNSs</w:t>
      </w:r>
      <w:r w:rsidRPr="000D6863">
        <w:rPr>
          <w:rFonts w:cs="Arial"/>
          <w:szCs w:val="22"/>
        </w:rPr>
        <w:t xml:space="preserve">. Direct mapping was used in this exposure estimate. Direct mapping requires the analysed foods to be matched to the same foods or to appropriately similar foods </w:t>
      </w:r>
      <w:r w:rsidR="000D6863">
        <w:rPr>
          <w:rFonts w:cs="Arial"/>
          <w:szCs w:val="22"/>
        </w:rPr>
        <w:t xml:space="preserve">consumed in the </w:t>
      </w:r>
      <w:r w:rsidRPr="000D6863">
        <w:rPr>
          <w:rFonts w:cs="Arial"/>
          <w:szCs w:val="22"/>
        </w:rPr>
        <w:t>surveys where possible</w:t>
      </w:r>
      <w:r w:rsidR="000D6863">
        <w:rPr>
          <w:rFonts w:cs="Arial"/>
          <w:szCs w:val="22"/>
        </w:rPr>
        <w:t>. For example,</w:t>
      </w:r>
      <w:r w:rsidRPr="000D6863">
        <w:rPr>
          <w:rFonts w:cs="Arial"/>
          <w:szCs w:val="22"/>
        </w:rPr>
        <w:t xml:space="preserve"> the analysed food </w:t>
      </w:r>
      <w:r w:rsidR="000D6863">
        <w:rPr>
          <w:rFonts w:cs="Arial"/>
          <w:szCs w:val="22"/>
        </w:rPr>
        <w:t>‘</w:t>
      </w:r>
      <w:r w:rsidRPr="000D6863">
        <w:rPr>
          <w:rFonts w:cs="Arial"/>
          <w:szCs w:val="22"/>
        </w:rPr>
        <w:t>Apple sauce</w:t>
      </w:r>
      <w:r w:rsidR="000D6863">
        <w:rPr>
          <w:rFonts w:cs="Arial"/>
          <w:szCs w:val="22"/>
        </w:rPr>
        <w:t>’</w:t>
      </w:r>
      <w:r w:rsidRPr="000D6863">
        <w:rPr>
          <w:rFonts w:cs="Arial"/>
          <w:szCs w:val="22"/>
        </w:rPr>
        <w:t xml:space="preserve"> was only mapped to apple sauce in </w:t>
      </w:r>
      <w:r w:rsidR="00BF154C">
        <w:rPr>
          <w:rFonts w:cs="Arial"/>
          <w:szCs w:val="22"/>
        </w:rPr>
        <w:t xml:space="preserve">the </w:t>
      </w:r>
      <w:r w:rsidRPr="000D6863">
        <w:rPr>
          <w:rFonts w:cs="Arial"/>
          <w:szCs w:val="22"/>
        </w:rPr>
        <w:t xml:space="preserve">surveys. Details of the analysed foods and the nutrition survey foods </w:t>
      </w:r>
      <w:r w:rsidR="000D6863">
        <w:rPr>
          <w:rFonts w:cs="Arial"/>
          <w:szCs w:val="22"/>
        </w:rPr>
        <w:t xml:space="preserve">to which they were mapped </w:t>
      </w:r>
      <w:r w:rsidRPr="000D6863">
        <w:rPr>
          <w:rFonts w:cs="Arial"/>
          <w:szCs w:val="22"/>
        </w:rPr>
        <w:t xml:space="preserve">are provided in </w:t>
      </w:r>
      <w:r w:rsidR="0022277C" w:rsidRPr="0025628B">
        <w:rPr>
          <w:rFonts w:cs="Arial"/>
          <w:szCs w:val="22"/>
        </w:rPr>
        <w:t>Appendix</w:t>
      </w:r>
      <w:r w:rsidR="0022277C" w:rsidRPr="00BE4592">
        <w:rPr>
          <w:rFonts w:cs="Arial"/>
          <w:szCs w:val="22"/>
        </w:rPr>
        <w:t xml:space="preserve"> </w:t>
      </w:r>
      <w:r w:rsidR="0025628B">
        <w:rPr>
          <w:rFonts w:cs="Arial"/>
          <w:szCs w:val="22"/>
        </w:rPr>
        <w:t>8</w:t>
      </w:r>
      <w:r w:rsidRPr="0022277C">
        <w:rPr>
          <w:rFonts w:cs="Arial"/>
          <w:szCs w:val="22"/>
        </w:rPr>
        <w:t>.</w:t>
      </w:r>
      <w:r w:rsidR="005E44AB">
        <w:rPr>
          <w:lang w:val="en-GB" w:eastAsia="en-US" w:bidi="en-US"/>
        </w:rPr>
        <w:t xml:space="preserve"> </w:t>
      </w:r>
      <w:r w:rsidR="00572A95">
        <w:rPr>
          <w:lang w:val="en-GB" w:eastAsia="en-US" w:bidi="en-US"/>
        </w:rPr>
        <w:t>As previously mentioned, if a food was not consumed in a nutrition survey (e.g. amaretti biscuits), then c</w:t>
      </w:r>
      <w:r w:rsidR="00572A95" w:rsidRPr="00D33562">
        <w:rPr>
          <w:lang w:val="en-GB" w:eastAsia="en-US" w:bidi="en-US"/>
        </w:rPr>
        <w:t>onsumption data</w:t>
      </w:r>
      <w:r w:rsidR="00572A95">
        <w:rPr>
          <w:lang w:val="en-GB" w:eastAsia="en-US" w:bidi="en-US"/>
        </w:rPr>
        <w:t xml:space="preserve"> </w:t>
      </w:r>
      <w:r w:rsidR="00572A95" w:rsidRPr="00D33562">
        <w:rPr>
          <w:lang w:val="en-GB" w:eastAsia="en-US" w:bidi="en-US"/>
        </w:rPr>
        <w:t>were derived from other sources.</w:t>
      </w:r>
    </w:p>
    <w:p w:rsidR="005213EB" w:rsidRDefault="005213EB" w:rsidP="00572A95">
      <w:pPr>
        <w:rPr>
          <w:rFonts w:cs="Arial"/>
          <w:szCs w:val="22"/>
        </w:rPr>
      </w:pPr>
    </w:p>
    <w:p w:rsidR="003A4DBD" w:rsidRDefault="003A4DBD">
      <w:pPr>
        <w:spacing w:after="200" w:line="276" w:lineRule="auto"/>
        <w:rPr>
          <w:rFonts w:cs="Arial"/>
          <w:i/>
          <w:szCs w:val="22"/>
        </w:rPr>
      </w:pPr>
      <w:bookmarkStart w:id="132" w:name="_Toc367957751"/>
      <w:r>
        <w:br w:type="page"/>
      </w:r>
    </w:p>
    <w:p w:rsidR="00572A95" w:rsidRDefault="00572A95" w:rsidP="003B2F20">
      <w:pPr>
        <w:pStyle w:val="Heading3"/>
      </w:pPr>
      <w:bookmarkStart w:id="133" w:name="_Toc384293524"/>
      <w:r w:rsidRPr="00473EBF">
        <w:lastRenderedPageBreak/>
        <w:t>5.3.4</w:t>
      </w:r>
      <w:r w:rsidR="00842210">
        <w:tab/>
      </w:r>
      <w:r w:rsidRPr="00473EBF">
        <w:t>Population groups assessed</w:t>
      </w:r>
      <w:bookmarkEnd w:id="132"/>
      <w:bookmarkEnd w:id="133"/>
    </w:p>
    <w:p w:rsidR="00626F43" w:rsidRPr="00626F43" w:rsidRDefault="00626F43" w:rsidP="00626F43"/>
    <w:p w:rsidR="00D33562" w:rsidRPr="000D6863" w:rsidRDefault="00D33562" w:rsidP="00D33562">
      <w:pPr>
        <w:rPr>
          <w:rFonts w:cs="Arial"/>
          <w:szCs w:val="22"/>
        </w:rPr>
      </w:pPr>
      <w:r w:rsidRPr="000D6863">
        <w:rPr>
          <w:rFonts w:cs="Arial"/>
          <w:szCs w:val="22"/>
        </w:rPr>
        <w:t>Chronic dietary exposure assessments are usually conducted for the whole population</w:t>
      </w:r>
      <w:r w:rsidR="00572A95">
        <w:rPr>
          <w:rFonts w:cs="Arial"/>
          <w:szCs w:val="22"/>
        </w:rPr>
        <w:t>. Therefore,</w:t>
      </w:r>
      <w:r w:rsidRPr="000D6863">
        <w:rPr>
          <w:rFonts w:cs="Arial"/>
          <w:szCs w:val="22"/>
        </w:rPr>
        <w:t xml:space="preserve"> the four nutrition surveys were used in total. This was </w:t>
      </w:r>
      <w:r w:rsidR="00572A95">
        <w:rPr>
          <w:rFonts w:cs="Arial"/>
          <w:szCs w:val="22"/>
        </w:rPr>
        <w:t xml:space="preserve">with the exception of </w:t>
      </w:r>
      <w:r w:rsidRPr="000D6863">
        <w:rPr>
          <w:rFonts w:cs="Arial"/>
          <w:szCs w:val="22"/>
        </w:rPr>
        <w:t xml:space="preserve">the 1995 NNS where only data from respondents aged 17 years and </w:t>
      </w:r>
      <w:r w:rsidR="00572A95">
        <w:rPr>
          <w:rFonts w:cs="Arial"/>
          <w:szCs w:val="22"/>
        </w:rPr>
        <w:t>over</w:t>
      </w:r>
      <w:r w:rsidRPr="000D6863">
        <w:rPr>
          <w:rFonts w:cs="Arial"/>
          <w:szCs w:val="22"/>
        </w:rPr>
        <w:t xml:space="preserve"> were used</w:t>
      </w:r>
      <w:r w:rsidR="00C317BB">
        <w:rPr>
          <w:rFonts w:cs="Arial"/>
          <w:szCs w:val="22"/>
        </w:rPr>
        <w:t xml:space="preserve">. This is because the </w:t>
      </w:r>
      <w:r w:rsidRPr="000D6863">
        <w:rPr>
          <w:rFonts w:cs="Arial"/>
          <w:szCs w:val="22"/>
        </w:rPr>
        <w:t xml:space="preserve">Australian population younger than </w:t>
      </w:r>
      <w:r w:rsidR="00C317BB">
        <w:rPr>
          <w:rFonts w:cs="Arial"/>
          <w:szCs w:val="22"/>
        </w:rPr>
        <w:t xml:space="preserve">17 years </w:t>
      </w:r>
      <w:r w:rsidRPr="000D6863">
        <w:rPr>
          <w:rFonts w:cs="Arial"/>
          <w:szCs w:val="22"/>
        </w:rPr>
        <w:t>was included in the 2007 ANCNPAS.</w:t>
      </w:r>
    </w:p>
    <w:p w:rsidR="00D33562" w:rsidRPr="000D6863" w:rsidRDefault="00D33562" w:rsidP="00D33562">
      <w:pPr>
        <w:rPr>
          <w:rFonts w:cs="Arial"/>
          <w:szCs w:val="22"/>
        </w:rPr>
      </w:pPr>
    </w:p>
    <w:p w:rsidR="007F3FE1" w:rsidRDefault="007F3FE1" w:rsidP="00D33562">
      <w:pPr>
        <w:rPr>
          <w:rFonts w:cs="Arial"/>
          <w:szCs w:val="22"/>
        </w:rPr>
      </w:pPr>
      <w:r w:rsidRPr="007F3FE1">
        <w:rPr>
          <w:rFonts w:cs="Arial"/>
          <w:szCs w:val="22"/>
        </w:rPr>
        <w:t xml:space="preserve">Acute dietary exposure estimates </w:t>
      </w:r>
      <w:r>
        <w:rPr>
          <w:rFonts w:cs="Arial"/>
          <w:szCs w:val="22"/>
        </w:rPr>
        <w:t>w</w:t>
      </w:r>
      <w:r w:rsidR="00C62236">
        <w:rPr>
          <w:rFonts w:cs="Arial"/>
          <w:szCs w:val="22"/>
        </w:rPr>
        <w:t xml:space="preserve">ere derived for adults and children. </w:t>
      </w:r>
      <w:r w:rsidR="00A36053">
        <w:rPr>
          <w:rFonts w:cs="Arial"/>
          <w:szCs w:val="22"/>
        </w:rPr>
        <w:t>C</w:t>
      </w:r>
      <w:r w:rsidR="00A36053" w:rsidRPr="000D6863">
        <w:rPr>
          <w:rFonts w:cs="Arial"/>
          <w:szCs w:val="22"/>
        </w:rPr>
        <w:t xml:space="preserve">hildren up to and including 6 years </w:t>
      </w:r>
      <w:r w:rsidR="00A36053">
        <w:rPr>
          <w:rFonts w:cs="Arial"/>
          <w:szCs w:val="22"/>
        </w:rPr>
        <w:t xml:space="preserve">of age as well as older children were </w:t>
      </w:r>
      <w:r w:rsidR="00A36053" w:rsidRPr="000D6863">
        <w:rPr>
          <w:rFonts w:cs="Arial"/>
          <w:szCs w:val="22"/>
        </w:rPr>
        <w:t xml:space="preserve">assessed using the </w:t>
      </w:r>
      <w:r w:rsidR="00A36053">
        <w:rPr>
          <w:rFonts w:cs="Arial"/>
          <w:szCs w:val="22"/>
        </w:rPr>
        <w:t xml:space="preserve">available age groupings in the </w:t>
      </w:r>
      <w:r w:rsidR="00A36053" w:rsidRPr="000D6863">
        <w:rPr>
          <w:rFonts w:cs="Arial"/>
          <w:szCs w:val="22"/>
        </w:rPr>
        <w:t xml:space="preserve">2007 </w:t>
      </w:r>
      <w:r w:rsidR="00A36053">
        <w:rPr>
          <w:rFonts w:cs="Arial"/>
          <w:szCs w:val="22"/>
        </w:rPr>
        <w:t xml:space="preserve">ANCNPAS </w:t>
      </w:r>
      <w:r w:rsidR="00A36053" w:rsidRPr="000D6863">
        <w:rPr>
          <w:rFonts w:cs="Arial"/>
          <w:szCs w:val="22"/>
        </w:rPr>
        <w:t xml:space="preserve">and 2002 </w:t>
      </w:r>
      <w:r w:rsidR="00A36053">
        <w:rPr>
          <w:rFonts w:cs="Arial"/>
          <w:szCs w:val="22"/>
        </w:rPr>
        <w:t xml:space="preserve">NZCNS </w:t>
      </w:r>
      <w:r w:rsidR="00A36053" w:rsidRPr="000D6863">
        <w:rPr>
          <w:rFonts w:cs="Arial"/>
          <w:szCs w:val="22"/>
        </w:rPr>
        <w:t>surveys.</w:t>
      </w:r>
      <w:r>
        <w:rPr>
          <w:rFonts w:cs="Arial"/>
          <w:szCs w:val="22"/>
        </w:rPr>
        <w:t xml:space="preserve"> T</w:t>
      </w:r>
      <w:r w:rsidR="00A36053">
        <w:rPr>
          <w:rFonts w:cs="Arial"/>
          <w:szCs w:val="22"/>
        </w:rPr>
        <w:t>he age range for the NZCNS was from 5-14 years only so acute estimates for the 5-6 year old age group only could be reported for younger children.</w:t>
      </w:r>
    </w:p>
    <w:p w:rsidR="007F3FE1" w:rsidRDefault="007F3FE1" w:rsidP="00D33562">
      <w:pPr>
        <w:rPr>
          <w:rFonts w:cs="Arial"/>
          <w:szCs w:val="22"/>
        </w:rPr>
      </w:pPr>
    </w:p>
    <w:p w:rsidR="00F25DB3" w:rsidRDefault="00A36053" w:rsidP="00D33562">
      <w:pPr>
        <w:rPr>
          <w:rFonts w:cs="Arial"/>
          <w:szCs w:val="22"/>
        </w:rPr>
      </w:pPr>
      <w:r>
        <w:rPr>
          <w:rFonts w:cs="Arial"/>
          <w:szCs w:val="22"/>
        </w:rPr>
        <w:t>Acute dietary exposure estimates for i</w:t>
      </w:r>
      <w:r w:rsidRPr="000D6863">
        <w:rPr>
          <w:rFonts w:cs="Arial"/>
          <w:szCs w:val="22"/>
        </w:rPr>
        <w:t xml:space="preserve">nfants </w:t>
      </w:r>
      <w:r w:rsidR="006778E6">
        <w:rPr>
          <w:rFonts w:cs="Arial"/>
          <w:szCs w:val="22"/>
        </w:rPr>
        <w:t>2-11</w:t>
      </w:r>
      <w:r w:rsidRPr="000D6863">
        <w:rPr>
          <w:rFonts w:cs="Arial"/>
          <w:szCs w:val="22"/>
        </w:rPr>
        <w:t xml:space="preserve"> months old</w:t>
      </w:r>
      <w:r>
        <w:rPr>
          <w:rFonts w:cs="Arial"/>
          <w:szCs w:val="22"/>
        </w:rPr>
        <w:t xml:space="preserve">, as surveyed through the </w:t>
      </w:r>
      <w:r w:rsidRPr="000D6863">
        <w:rPr>
          <w:rFonts w:cs="Arial"/>
          <w:szCs w:val="22"/>
        </w:rPr>
        <w:t>NOURISH</w:t>
      </w:r>
      <w:r>
        <w:rPr>
          <w:rFonts w:cs="Arial"/>
          <w:szCs w:val="22"/>
        </w:rPr>
        <w:t xml:space="preserve"> study, </w:t>
      </w:r>
      <w:r w:rsidRPr="000D6863">
        <w:rPr>
          <w:rFonts w:cs="Arial"/>
          <w:szCs w:val="22"/>
        </w:rPr>
        <w:t>were included for selected foods (</w:t>
      </w:r>
      <w:r w:rsidR="00FF4C13">
        <w:rPr>
          <w:rFonts w:cs="Arial"/>
          <w:szCs w:val="22"/>
        </w:rPr>
        <w:t>apple juice,</w:t>
      </w:r>
      <w:r w:rsidR="00FF4C13" w:rsidRPr="000D6863">
        <w:rPr>
          <w:rFonts w:cs="Arial"/>
          <w:szCs w:val="22"/>
        </w:rPr>
        <w:t xml:space="preserve"> </w:t>
      </w:r>
      <w:r w:rsidRPr="000D6863">
        <w:rPr>
          <w:rFonts w:cs="Arial"/>
          <w:szCs w:val="22"/>
        </w:rPr>
        <w:t>i</w:t>
      </w:r>
      <w:r>
        <w:rPr>
          <w:rFonts w:cs="Arial"/>
          <w:szCs w:val="22"/>
        </w:rPr>
        <w:t>nfant apple puree)</w:t>
      </w:r>
      <w:r w:rsidR="00D33562" w:rsidRPr="000D6863">
        <w:rPr>
          <w:rFonts w:cs="Arial"/>
          <w:szCs w:val="22"/>
        </w:rPr>
        <w:t xml:space="preserve">. </w:t>
      </w:r>
    </w:p>
    <w:p w:rsidR="00F25DB3" w:rsidRDefault="00F25DB3" w:rsidP="00D33562">
      <w:pPr>
        <w:rPr>
          <w:rFonts w:cs="Arial"/>
          <w:szCs w:val="22"/>
        </w:rPr>
      </w:pPr>
    </w:p>
    <w:p w:rsidR="00C62236" w:rsidRDefault="00AE6A6A" w:rsidP="006230C1">
      <w:pPr>
        <w:rPr>
          <w:rFonts w:asciiTheme="minorHAnsi" w:hAnsiTheme="minorHAnsi" w:cstheme="minorHAnsi"/>
          <w:b/>
          <w:bCs/>
          <w:sz w:val="24"/>
          <w:szCs w:val="20"/>
        </w:rPr>
      </w:pPr>
      <w:r w:rsidRPr="000D6863">
        <w:rPr>
          <w:rFonts w:cs="Arial"/>
          <w:szCs w:val="22"/>
        </w:rPr>
        <w:t xml:space="preserve">A summary of the population groups </w:t>
      </w:r>
      <w:r>
        <w:rPr>
          <w:rFonts w:cs="Arial"/>
          <w:szCs w:val="22"/>
        </w:rPr>
        <w:t xml:space="preserve">examined in this risk </w:t>
      </w:r>
      <w:r w:rsidRPr="000D6863">
        <w:rPr>
          <w:rFonts w:cs="Arial"/>
          <w:szCs w:val="22"/>
        </w:rPr>
        <w:t xml:space="preserve">assessment are shown in </w:t>
      </w:r>
      <w:r w:rsidR="00860EF0">
        <w:rPr>
          <w:rFonts w:cs="Arial"/>
          <w:szCs w:val="22"/>
        </w:rPr>
        <w:t xml:space="preserve">Table </w:t>
      </w:r>
      <w:r w:rsidR="00425868">
        <w:rPr>
          <w:rFonts w:cs="Arial"/>
          <w:szCs w:val="22"/>
        </w:rPr>
        <w:t>8</w:t>
      </w:r>
      <w:r w:rsidRPr="000D6863">
        <w:rPr>
          <w:rFonts w:cs="Arial"/>
          <w:szCs w:val="22"/>
        </w:rPr>
        <w:t xml:space="preserve">. Mean body weights are used in the calculations of acute dietary exposure. The mean body weights for each of the population groups assessed </w:t>
      </w:r>
      <w:r>
        <w:rPr>
          <w:rFonts w:cs="Arial"/>
          <w:szCs w:val="22"/>
        </w:rPr>
        <w:t>are</w:t>
      </w:r>
      <w:r w:rsidRPr="000D6863">
        <w:rPr>
          <w:rFonts w:cs="Arial"/>
          <w:szCs w:val="22"/>
        </w:rPr>
        <w:t xml:space="preserve"> shown in </w:t>
      </w:r>
      <w:r w:rsidRPr="000D6863">
        <w:rPr>
          <w:rFonts w:cs="Arial"/>
          <w:szCs w:val="22"/>
        </w:rPr>
        <w:fldChar w:fldCharType="begin"/>
      </w:r>
      <w:r w:rsidRPr="000D6863">
        <w:rPr>
          <w:rFonts w:cs="Arial"/>
          <w:szCs w:val="22"/>
        </w:rPr>
        <w:instrText xml:space="preserve"> REF _Ref338054338 \h  \* MERGEFORMAT </w:instrText>
      </w:r>
      <w:r w:rsidRPr="000D6863">
        <w:rPr>
          <w:rFonts w:cs="Arial"/>
          <w:szCs w:val="22"/>
        </w:rPr>
      </w:r>
      <w:r w:rsidRPr="000D6863">
        <w:rPr>
          <w:rFonts w:cs="Arial"/>
          <w:szCs w:val="22"/>
        </w:rPr>
        <w:fldChar w:fldCharType="separate"/>
      </w:r>
      <w:r w:rsidR="00794D8F" w:rsidRPr="00794D8F">
        <w:rPr>
          <w:rFonts w:cs="Arial"/>
          <w:szCs w:val="22"/>
        </w:rPr>
        <w:t xml:space="preserve">Table </w:t>
      </w:r>
      <w:r w:rsidRPr="000D6863">
        <w:rPr>
          <w:rFonts w:cs="Arial"/>
          <w:szCs w:val="22"/>
        </w:rPr>
        <w:fldChar w:fldCharType="end"/>
      </w:r>
      <w:r w:rsidR="00425868">
        <w:rPr>
          <w:rFonts w:cs="Arial"/>
          <w:szCs w:val="22"/>
        </w:rPr>
        <w:t>9</w:t>
      </w:r>
      <w:r w:rsidRPr="000D6863">
        <w:rPr>
          <w:rFonts w:cs="Arial"/>
          <w:szCs w:val="22"/>
        </w:rPr>
        <w:t>.</w:t>
      </w:r>
      <w:bookmarkStart w:id="134" w:name="_Ref337548652"/>
      <w:bookmarkStart w:id="135" w:name="Table10"/>
    </w:p>
    <w:p w:rsidR="00D33562" w:rsidRPr="00C317BB" w:rsidRDefault="00D33562" w:rsidP="00391DE3">
      <w:pPr>
        <w:pStyle w:val="Heading3LT"/>
      </w:pPr>
      <w:bookmarkStart w:id="136" w:name="_Toc384293554"/>
      <w:r w:rsidRPr="00C317BB">
        <w:t xml:space="preserve">Table </w:t>
      </w:r>
      <w:bookmarkEnd w:id="134"/>
      <w:r w:rsidR="00425868">
        <w:t>8</w:t>
      </w:r>
      <w:r w:rsidR="00C317BB">
        <w:rPr>
          <w:noProof/>
        </w:rPr>
        <w:t>:</w:t>
      </w:r>
      <w:r w:rsidRPr="00C317BB">
        <w:t xml:space="preserve"> Population groups assessed for acute and chronic dietary exposure assessments</w:t>
      </w:r>
      <w:bookmarkEnd w:id="136"/>
    </w:p>
    <w:tbl>
      <w:tblPr>
        <w:tblStyle w:val="MediumShading1-Accent1"/>
        <w:tblW w:w="9180" w:type="dxa"/>
        <w:tblBorders>
          <w:insideV w:val="single" w:sz="8" w:space="0" w:color="7BA0CD" w:themeColor="accent1" w:themeTint="BF"/>
        </w:tblBorders>
        <w:tblLook w:val="04A0" w:firstRow="1" w:lastRow="0" w:firstColumn="1" w:lastColumn="0" w:noHBand="0" w:noVBand="1"/>
      </w:tblPr>
      <w:tblGrid>
        <w:gridCol w:w="1951"/>
        <w:gridCol w:w="1134"/>
        <w:gridCol w:w="739"/>
        <w:gridCol w:w="739"/>
        <w:gridCol w:w="1215"/>
        <w:gridCol w:w="1134"/>
        <w:gridCol w:w="993"/>
        <w:gridCol w:w="1275"/>
      </w:tblGrid>
      <w:tr w:rsidR="00D33562" w:rsidRPr="00C317BB" w:rsidTr="00003C11">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51" w:type="dxa"/>
            <w:vMerge w:val="restart"/>
            <w:tcBorders>
              <w:top w:val="none" w:sz="0" w:space="0" w:color="auto"/>
              <w:left w:val="none" w:sz="0" w:space="0" w:color="auto"/>
              <w:bottom w:val="none" w:sz="0" w:space="0" w:color="auto"/>
              <w:right w:val="none" w:sz="0" w:space="0" w:color="auto"/>
            </w:tcBorders>
          </w:tcPr>
          <w:bookmarkEnd w:id="135"/>
          <w:p w:rsidR="00D33562" w:rsidRPr="00C317BB" w:rsidRDefault="00D33562" w:rsidP="00823493">
            <w:pPr>
              <w:keepNext/>
              <w:rPr>
                <w:rFonts w:cs="Arial"/>
                <w:sz w:val="20"/>
                <w:szCs w:val="20"/>
              </w:rPr>
            </w:pPr>
            <w:r w:rsidRPr="00C317BB">
              <w:rPr>
                <w:rFonts w:cs="Arial"/>
                <w:sz w:val="20"/>
                <w:szCs w:val="20"/>
              </w:rPr>
              <w:t>Exposure assessment type</w:t>
            </w:r>
          </w:p>
        </w:tc>
        <w:tc>
          <w:tcPr>
            <w:tcW w:w="1134" w:type="dxa"/>
            <w:vMerge w:val="restart"/>
            <w:tcBorders>
              <w:top w:val="none" w:sz="0" w:space="0" w:color="auto"/>
              <w:left w:val="none" w:sz="0" w:space="0" w:color="auto"/>
              <w:bottom w:val="none" w:sz="0" w:space="0" w:color="auto"/>
              <w:right w:val="none" w:sz="0" w:space="0" w:color="auto"/>
            </w:tcBorders>
          </w:tcPr>
          <w:p w:rsidR="00D33562" w:rsidRPr="00C317BB" w:rsidRDefault="00D33562" w:rsidP="006778E6">
            <w:pPr>
              <w:keepNext/>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C317BB">
              <w:rPr>
                <w:rFonts w:cs="Arial"/>
                <w:sz w:val="20"/>
                <w:szCs w:val="20"/>
              </w:rPr>
              <w:t xml:space="preserve">Infants </w:t>
            </w:r>
            <w:r w:rsidR="006778E6">
              <w:rPr>
                <w:rFonts w:cs="Arial"/>
                <w:sz w:val="20"/>
                <w:szCs w:val="20"/>
              </w:rPr>
              <w:t>2-11</w:t>
            </w:r>
            <w:r w:rsidRPr="00C317BB">
              <w:rPr>
                <w:rFonts w:cs="Arial"/>
                <w:sz w:val="20"/>
                <w:szCs w:val="20"/>
              </w:rPr>
              <w:t xml:space="preserve"> months</w:t>
            </w:r>
          </w:p>
        </w:tc>
        <w:tc>
          <w:tcPr>
            <w:tcW w:w="2693" w:type="dxa"/>
            <w:gridSpan w:val="3"/>
            <w:tcBorders>
              <w:top w:val="none" w:sz="0" w:space="0" w:color="auto"/>
              <w:left w:val="none" w:sz="0" w:space="0" w:color="auto"/>
              <w:bottom w:val="none" w:sz="0" w:space="0" w:color="auto"/>
              <w:right w:val="none" w:sz="0" w:space="0" w:color="auto"/>
            </w:tcBorders>
          </w:tcPr>
          <w:p w:rsidR="00D33562" w:rsidRPr="00C317BB" w:rsidRDefault="00D33562" w:rsidP="00823493">
            <w:pPr>
              <w:keepNext/>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C317BB">
              <w:rPr>
                <w:rFonts w:cs="Arial"/>
                <w:sz w:val="20"/>
                <w:szCs w:val="20"/>
              </w:rPr>
              <w:t>Australia</w:t>
            </w:r>
          </w:p>
        </w:tc>
        <w:tc>
          <w:tcPr>
            <w:tcW w:w="3402" w:type="dxa"/>
            <w:gridSpan w:val="3"/>
            <w:tcBorders>
              <w:top w:val="none" w:sz="0" w:space="0" w:color="auto"/>
              <w:left w:val="none" w:sz="0" w:space="0" w:color="auto"/>
              <w:bottom w:val="none" w:sz="0" w:space="0" w:color="auto"/>
              <w:right w:val="none" w:sz="0" w:space="0" w:color="auto"/>
            </w:tcBorders>
          </w:tcPr>
          <w:p w:rsidR="00D33562" w:rsidRPr="00C317BB" w:rsidRDefault="00D33562" w:rsidP="00823493">
            <w:pPr>
              <w:keepNext/>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C317BB">
              <w:rPr>
                <w:rFonts w:cs="Arial"/>
                <w:sz w:val="20"/>
                <w:szCs w:val="20"/>
              </w:rPr>
              <w:t>New Zealand</w:t>
            </w:r>
          </w:p>
        </w:tc>
      </w:tr>
      <w:tr w:rsidR="00C317BB" w:rsidRPr="00C317BB" w:rsidTr="00B65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Borders>
              <w:right w:val="none" w:sz="0" w:space="0" w:color="auto"/>
            </w:tcBorders>
            <w:shd w:val="clear" w:color="auto" w:fill="4F81BD" w:themeFill="accent1"/>
          </w:tcPr>
          <w:p w:rsidR="00D33562" w:rsidRPr="00C317BB" w:rsidRDefault="00D33562" w:rsidP="00823493">
            <w:pPr>
              <w:keepNext/>
              <w:rPr>
                <w:rFonts w:cs="Arial"/>
                <w:sz w:val="20"/>
                <w:szCs w:val="20"/>
              </w:rPr>
            </w:pPr>
          </w:p>
        </w:tc>
        <w:tc>
          <w:tcPr>
            <w:tcW w:w="1134" w:type="dxa"/>
            <w:vMerge/>
            <w:tcBorders>
              <w:left w:val="none" w:sz="0" w:space="0" w:color="auto"/>
              <w:right w:val="none" w:sz="0" w:space="0" w:color="auto"/>
            </w:tcBorders>
            <w:shd w:val="clear" w:color="auto" w:fill="4F81BD" w:themeFill="accent1"/>
          </w:tcPr>
          <w:p w:rsidR="00D33562" w:rsidRPr="00C317BB" w:rsidRDefault="00D33562" w:rsidP="00823493">
            <w:pPr>
              <w:keepNext/>
              <w:tabs>
                <w:tab w:val="left" w:pos="825"/>
              </w:tabs>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p>
        </w:tc>
        <w:tc>
          <w:tcPr>
            <w:tcW w:w="739" w:type="dxa"/>
            <w:tcBorders>
              <w:left w:val="none" w:sz="0" w:space="0" w:color="auto"/>
              <w:right w:val="none" w:sz="0" w:space="0" w:color="auto"/>
            </w:tcBorders>
            <w:shd w:val="clear" w:color="auto" w:fill="4F81BD" w:themeFill="accent1"/>
          </w:tcPr>
          <w:p w:rsidR="00D33562" w:rsidRPr="00C317BB" w:rsidRDefault="00D33562" w:rsidP="00823493">
            <w:pPr>
              <w:keepNext/>
              <w:tabs>
                <w:tab w:val="left" w:pos="825"/>
              </w:tabs>
              <w:jc w:val="center"/>
              <w:cnfStyle w:val="000000100000" w:firstRow="0" w:lastRow="0" w:firstColumn="0" w:lastColumn="0" w:oddVBand="0" w:evenVBand="0" w:oddHBand="1" w:evenHBand="0" w:firstRowFirstColumn="0" w:firstRowLastColumn="0" w:lastRowFirstColumn="0" w:lastRowLastColumn="0"/>
              <w:rPr>
                <w:rFonts w:cs="Arial"/>
                <w:b/>
                <w:color w:val="FFFFFF" w:themeColor="background1"/>
                <w:sz w:val="20"/>
                <w:szCs w:val="20"/>
              </w:rPr>
            </w:pPr>
            <w:r w:rsidRPr="00C317BB">
              <w:rPr>
                <w:rFonts w:cs="Arial"/>
                <w:b/>
                <w:color w:val="FFFFFF" w:themeColor="background1"/>
                <w:sz w:val="20"/>
                <w:szCs w:val="20"/>
              </w:rPr>
              <w:t>2-6 years</w:t>
            </w:r>
          </w:p>
        </w:tc>
        <w:tc>
          <w:tcPr>
            <w:tcW w:w="739" w:type="dxa"/>
            <w:tcBorders>
              <w:left w:val="none" w:sz="0" w:space="0" w:color="auto"/>
              <w:right w:val="none" w:sz="0" w:space="0" w:color="auto"/>
            </w:tcBorders>
            <w:shd w:val="clear" w:color="auto" w:fill="4F81BD" w:themeFill="accent1"/>
          </w:tcPr>
          <w:p w:rsidR="00D33562" w:rsidRPr="00C317BB" w:rsidRDefault="00D33562" w:rsidP="00823493">
            <w:pPr>
              <w:keepNext/>
              <w:tabs>
                <w:tab w:val="left" w:pos="825"/>
              </w:tabs>
              <w:jc w:val="center"/>
              <w:cnfStyle w:val="000000100000" w:firstRow="0" w:lastRow="0" w:firstColumn="0" w:lastColumn="0" w:oddVBand="0" w:evenVBand="0" w:oddHBand="1" w:evenHBand="0" w:firstRowFirstColumn="0" w:firstRowLastColumn="0" w:lastRowFirstColumn="0" w:lastRowLastColumn="0"/>
              <w:rPr>
                <w:rFonts w:cs="Arial"/>
                <w:b/>
                <w:color w:val="FFFFFF" w:themeColor="background1"/>
                <w:sz w:val="20"/>
                <w:szCs w:val="20"/>
              </w:rPr>
            </w:pPr>
            <w:r w:rsidRPr="00C317BB">
              <w:rPr>
                <w:rFonts w:cs="Arial"/>
                <w:b/>
                <w:color w:val="FFFFFF" w:themeColor="background1"/>
                <w:sz w:val="20"/>
                <w:szCs w:val="20"/>
              </w:rPr>
              <w:t>2-16 years</w:t>
            </w:r>
          </w:p>
        </w:tc>
        <w:tc>
          <w:tcPr>
            <w:tcW w:w="1215" w:type="dxa"/>
            <w:tcBorders>
              <w:left w:val="none" w:sz="0" w:space="0" w:color="auto"/>
              <w:right w:val="none" w:sz="0" w:space="0" w:color="auto"/>
            </w:tcBorders>
            <w:shd w:val="clear" w:color="auto" w:fill="4F81BD" w:themeFill="accent1"/>
          </w:tcPr>
          <w:p w:rsidR="00D33562" w:rsidRPr="00C317BB" w:rsidRDefault="00D33562" w:rsidP="00823493">
            <w:pPr>
              <w:keepNext/>
              <w:jc w:val="center"/>
              <w:cnfStyle w:val="000000100000" w:firstRow="0" w:lastRow="0" w:firstColumn="0" w:lastColumn="0" w:oddVBand="0" w:evenVBand="0" w:oddHBand="1" w:evenHBand="0" w:firstRowFirstColumn="0" w:firstRowLastColumn="0" w:lastRowFirstColumn="0" w:lastRowLastColumn="0"/>
              <w:rPr>
                <w:rFonts w:cs="Arial"/>
                <w:b/>
                <w:color w:val="FFFFFF" w:themeColor="background1"/>
                <w:sz w:val="20"/>
                <w:szCs w:val="20"/>
              </w:rPr>
            </w:pPr>
            <w:r w:rsidRPr="00C317BB">
              <w:rPr>
                <w:rFonts w:cs="Arial"/>
                <w:b/>
                <w:color w:val="FFFFFF" w:themeColor="background1"/>
                <w:sz w:val="20"/>
                <w:szCs w:val="20"/>
              </w:rPr>
              <w:t>17 years and above</w:t>
            </w:r>
          </w:p>
        </w:tc>
        <w:tc>
          <w:tcPr>
            <w:tcW w:w="1134" w:type="dxa"/>
            <w:tcBorders>
              <w:left w:val="none" w:sz="0" w:space="0" w:color="auto"/>
              <w:right w:val="none" w:sz="0" w:space="0" w:color="auto"/>
            </w:tcBorders>
            <w:shd w:val="clear" w:color="auto" w:fill="4F81BD" w:themeFill="accent1"/>
          </w:tcPr>
          <w:p w:rsidR="00D33562" w:rsidRPr="00C317BB" w:rsidRDefault="00D33562" w:rsidP="00823493">
            <w:pPr>
              <w:keepNext/>
              <w:jc w:val="center"/>
              <w:cnfStyle w:val="000000100000" w:firstRow="0" w:lastRow="0" w:firstColumn="0" w:lastColumn="0" w:oddVBand="0" w:evenVBand="0" w:oddHBand="1" w:evenHBand="0" w:firstRowFirstColumn="0" w:firstRowLastColumn="0" w:lastRowFirstColumn="0" w:lastRowLastColumn="0"/>
              <w:rPr>
                <w:rFonts w:cs="Arial"/>
                <w:b/>
                <w:color w:val="FFFFFF" w:themeColor="background1"/>
                <w:sz w:val="20"/>
                <w:szCs w:val="20"/>
              </w:rPr>
            </w:pPr>
            <w:r w:rsidRPr="00C317BB">
              <w:rPr>
                <w:rFonts w:cs="Arial"/>
                <w:b/>
                <w:color w:val="FFFFFF" w:themeColor="background1"/>
                <w:sz w:val="20"/>
                <w:szCs w:val="20"/>
              </w:rPr>
              <w:t>5-6 years</w:t>
            </w:r>
          </w:p>
        </w:tc>
        <w:tc>
          <w:tcPr>
            <w:tcW w:w="993" w:type="dxa"/>
            <w:tcBorders>
              <w:left w:val="none" w:sz="0" w:space="0" w:color="auto"/>
              <w:right w:val="none" w:sz="0" w:space="0" w:color="auto"/>
            </w:tcBorders>
            <w:shd w:val="clear" w:color="auto" w:fill="4F81BD" w:themeFill="accent1"/>
          </w:tcPr>
          <w:p w:rsidR="00D33562" w:rsidRPr="00C317BB" w:rsidRDefault="00D33562" w:rsidP="00823493">
            <w:pPr>
              <w:keepNext/>
              <w:jc w:val="center"/>
              <w:cnfStyle w:val="000000100000" w:firstRow="0" w:lastRow="0" w:firstColumn="0" w:lastColumn="0" w:oddVBand="0" w:evenVBand="0" w:oddHBand="1" w:evenHBand="0" w:firstRowFirstColumn="0" w:firstRowLastColumn="0" w:lastRowFirstColumn="0" w:lastRowLastColumn="0"/>
              <w:rPr>
                <w:rFonts w:cs="Arial"/>
                <w:b/>
                <w:color w:val="FFFFFF" w:themeColor="background1"/>
                <w:sz w:val="20"/>
                <w:szCs w:val="20"/>
              </w:rPr>
            </w:pPr>
            <w:r w:rsidRPr="00C317BB">
              <w:rPr>
                <w:rFonts w:cs="Arial"/>
                <w:b/>
                <w:color w:val="FFFFFF" w:themeColor="background1"/>
                <w:sz w:val="20"/>
                <w:szCs w:val="20"/>
              </w:rPr>
              <w:t>5-14 years</w:t>
            </w:r>
          </w:p>
        </w:tc>
        <w:tc>
          <w:tcPr>
            <w:tcW w:w="1275" w:type="dxa"/>
            <w:tcBorders>
              <w:left w:val="none" w:sz="0" w:space="0" w:color="auto"/>
            </w:tcBorders>
            <w:shd w:val="clear" w:color="auto" w:fill="4F81BD" w:themeFill="accent1"/>
          </w:tcPr>
          <w:p w:rsidR="00D33562" w:rsidRPr="00C317BB" w:rsidRDefault="00D33562" w:rsidP="00823493">
            <w:pPr>
              <w:keepNext/>
              <w:jc w:val="center"/>
              <w:cnfStyle w:val="000000100000" w:firstRow="0" w:lastRow="0" w:firstColumn="0" w:lastColumn="0" w:oddVBand="0" w:evenVBand="0" w:oddHBand="1" w:evenHBand="0" w:firstRowFirstColumn="0" w:firstRowLastColumn="0" w:lastRowFirstColumn="0" w:lastRowLastColumn="0"/>
              <w:rPr>
                <w:rFonts w:cs="Arial"/>
                <w:b/>
                <w:color w:val="FFFFFF" w:themeColor="background1"/>
                <w:sz w:val="20"/>
                <w:szCs w:val="20"/>
              </w:rPr>
            </w:pPr>
            <w:r w:rsidRPr="00C317BB">
              <w:rPr>
                <w:rFonts w:cs="Arial"/>
                <w:b/>
                <w:color w:val="FFFFFF" w:themeColor="background1"/>
                <w:sz w:val="20"/>
                <w:szCs w:val="20"/>
              </w:rPr>
              <w:t>15 years and above</w:t>
            </w:r>
          </w:p>
        </w:tc>
      </w:tr>
      <w:tr w:rsidR="00D33562" w:rsidRPr="00C317BB" w:rsidTr="00003C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right w:val="none" w:sz="0" w:space="0" w:color="auto"/>
            </w:tcBorders>
          </w:tcPr>
          <w:p w:rsidR="00D33562" w:rsidRPr="00C317BB" w:rsidRDefault="00D33562" w:rsidP="00823493">
            <w:pPr>
              <w:keepNext/>
              <w:rPr>
                <w:rFonts w:cs="Arial"/>
                <w:sz w:val="20"/>
                <w:szCs w:val="20"/>
              </w:rPr>
            </w:pPr>
            <w:r w:rsidRPr="00C317BB">
              <w:rPr>
                <w:rFonts w:cs="Arial"/>
                <w:sz w:val="20"/>
                <w:szCs w:val="20"/>
              </w:rPr>
              <w:t>Acute</w:t>
            </w:r>
          </w:p>
        </w:tc>
        <w:tc>
          <w:tcPr>
            <w:tcW w:w="1134" w:type="dxa"/>
            <w:tcBorders>
              <w:left w:val="none" w:sz="0" w:space="0" w:color="auto"/>
              <w:right w:val="none" w:sz="0" w:space="0" w:color="auto"/>
            </w:tcBorders>
          </w:tcPr>
          <w:p w:rsidR="00D33562" w:rsidRPr="00C317BB" w:rsidRDefault="00D33562" w:rsidP="00823493">
            <w:pPr>
              <w:keepNext/>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C317BB">
              <w:rPr>
                <w:rFonts w:cs="Arial"/>
                <w:sz w:val="20"/>
                <w:szCs w:val="20"/>
              </w:rPr>
              <w:sym w:font="Wingdings" w:char="F0FC"/>
            </w:r>
            <w:r w:rsidRPr="00C317BB">
              <w:rPr>
                <w:rFonts w:cs="Arial"/>
                <w:sz w:val="20"/>
                <w:szCs w:val="20"/>
              </w:rPr>
              <w:t>*</w:t>
            </w:r>
          </w:p>
        </w:tc>
        <w:tc>
          <w:tcPr>
            <w:tcW w:w="739" w:type="dxa"/>
            <w:tcBorders>
              <w:left w:val="none" w:sz="0" w:space="0" w:color="auto"/>
              <w:right w:val="none" w:sz="0" w:space="0" w:color="auto"/>
            </w:tcBorders>
          </w:tcPr>
          <w:p w:rsidR="00D33562" w:rsidRPr="00C317BB" w:rsidRDefault="00D33562" w:rsidP="00823493">
            <w:pPr>
              <w:keepNext/>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C317BB">
              <w:rPr>
                <w:rFonts w:cs="Arial"/>
                <w:sz w:val="20"/>
                <w:szCs w:val="20"/>
              </w:rPr>
              <w:sym w:font="Wingdings" w:char="F0FC"/>
            </w:r>
          </w:p>
        </w:tc>
        <w:tc>
          <w:tcPr>
            <w:tcW w:w="739" w:type="dxa"/>
            <w:tcBorders>
              <w:left w:val="none" w:sz="0" w:space="0" w:color="auto"/>
              <w:right w:val="none" w:sz="0" w:space="0" w:color="auto"/>
            </w:tcBorders>
          </w:tcPr>
          <w:p w:rsidR="00D33562" w:rsidRPr="00C317BB" w:rsidRDefault="00D33562" w:rsidP="00823493">
            <w:pPr>
              <w:keepNext/>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C317BB">
              <w:rPr>
                <w:rFonts w:cs="Arial"/>
                <w:sz w:val="20"/>
                <w:szCs w:val="20"/>
              </w:rPr>
              <w:sym w:font="Wingdings" w:char="F0FC"/>
            </w:r>
          </w:p>
        </w:tc>
        <w:tc>
          <w:tcPr>
            <w:tcW w:w="1215" w:type="dxa"/>
            <w:tcBorders>
              <w:left w:val="none" w:sz="0" w:space="0" w:color="auto"/>
              <w:right w:val="none" w:sz="0" w:space="0" w:color="auto"/>
            </w:tcBorders>
          </w:tcPr>
          <w:p w:rsidR="00D33562" w:rsidRPr="00C317BB" w:rsidRDefault="00D33562" w:rsidP="00823493">
            <w:pPr>
              <w:keepNext/>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C317BB">
              <w:rPr>
                <w:rFonts w:cs="Arial"/>
                <w:sz w:val="20"/>
                <w:szCs w:val="20"/>
              </w:rPr>
              <w:sym w:font="Wingdings" w:char="F0FC"/>
            </w:r>
          </w:p>
        </w:tc>
        <w:tc>
          <w:tcPr>
            <w:tcW w:w="1134" w:type="dxa"/>
            <w:tcBorders>
              <w:left w:val="none" w:sz="0" w:space="0" w:color="auto"/>
              <w:right w:val="none" w:sz="0" w:space="0" w:color="auto"/>
            </w:tcBorders>
          </w:tcPr>
          <w:p w:rsidR="00D33562" w:rsidRPr="00C317BB" w:rsidRDefault="00D33562" w:rsidP="00823493">
            <w:pPr>
              <w:keepNext/>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C317BB">
              <w:rPr>
                <w:rFonts w:cs="Arial"/>
                <w:sz w:val="20"/>
                <w:szCs w:val="20"/>
              </w:rPr>
              <w:sym w:font="Wingdings" w:char="F0FC"/>
            </w:r>
          </w:p>
        </w:tc>
        <w:tc>
          <w:tcPr>
            <w:tcW w:w="993" w:type="dxa"/>
            <w:tcBorders>
              <w:left w:val="none" w:sz="0" w:space="0" w:color="auto"/>
              <w:right w:val="none" w:sz="0" w:space="0" w:color="auto"/>
            </w:tcBorders>
          </w:tcPr>
          <w:p w:rsidR="00D33562" w:rsidRPr="00C317BB" w:rsidRDefault="00D33562" w:rsidP="00823493">
            <w:pPr>
              <w:keepNext/>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C317BB">
              <w:rPr>
                <w:rFonts w:cs="Arial"/>
                <w:sz w:val="20"/>
                <w:szCs w:val="20"/>
              </w:rPr>
              <w:sym w:font="Wingdings" w:char="F0FC"/>
            </w:r>
          </w:p>
        </w:tc>
        <w:tc>
          <w:tcPr>
            <w:tcW w:w="1275" w:type="dxa"/>
            <w:tcBorders>
              <w:left w:val="none" w:sz="0" w:space="0" w:color="auto"/>
            </w:tcBorders>
          </w:tcPr>
          <w:p w:rsidR="00D33562" w:rsidRPr="00C317BB" w:rsidRDefault="00D33562" w:rsidP="00823493">
            <w:pPr>
              <w:keepNext/>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C317BB">
              <w:rPr>
                <w:rFonts w:cs="Arial"/>
                <w:sz w:val="20"/>
                <w:szCs w:val="20"/>
              </w:rPr>
              <w:sym w:font="Wingdings" w:char="F0FC"/>
            </w:r>
          </w:p>
        </w:tc>
      </w:tr>
      <w:tr w:rsidR="00D33562" w:rsidRPr="00C317BB" w:rsidTr="00003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right w:val="none" w:sz="0" w:space="0" w:color="auto"/>
            </w:tcBorders>
          </w:tcPr>
          <w:p w:rsidR="00D33562" w:rsidRPr="00C317BB" w:rsidRDefault="00D33562" w:rsidP="00823493">
            <w:pPr>
              <w:keepNext/>
              <w:rPr>
                <w:rFonts w:cs="Arial"/>
                <w:sz w:val="20"/>
                <w:szCs w:val="20"/>
              </w:rPr>
            </w:pPr>
            <w:r w:rsidRPr="00C317BB">
              <w:rPr>
                <w:rFonts w:cs="Arial"/>
                <w:sz w:val="20"/>
                <w:szCs w:val="20"/>
              </w:rPr>
              <w:t>Chronic</w:t>
            </w:r>
          </w:p>
        </w:tc>
        <w:tc>
          <w:tcPr>
            <w:tcW w:w="1134" w:type="dxa"/>
            <w:tcBorders>
              <w:left w:val="none" w:sz="0" w:space="0" w:color="auto"/>
              <w:right w:val="none" w:sz="0" w:space="0" w:color="auto"/>
            </w:tcBorders>
          </w:tcPr>
          <w:p w:rsidR="00D33562" w:rsidRPr="00C317BB" w:rsidRDefault="00D33562" w:rsidP="00823493">
            <w:pPr>
              <w:keepNext/>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739" w:type="dxa"/>
            <w:tcBorders>
              <w:left w:val="none" w:sz="0" w:space="0" w:color="auto"/>
              <w:right w:val="none" w:sz="0" w:space="0" w:color="auto"/>
            </w:tcBorders>
          </w:tcPr>
          <w:p w:rsidR="00D33562" w:rsidRPr="00C317BB" w:rsidRDefault="00D33562" w:rsidP="00823493">
            <w:pPr>
              <w:keepNext/>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739" w:type="dxa"/>
            <w:tcBorders>
              <w:left w:val="none" w:sz="0" w:space="0" w:color="auto"/>
              <w:right w:val="none" w:sz="0" w:space="0" w:color="auto"/>
            </w:tcBorders>
          </w:tcPr>
          <w:p w:rsidR="00D33562" w:rsidRPr="00C317BB" w:rsidRDefault="00D33562" w:rsidP="00823493">
            <w:pPr>
              <w:keepNext/>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317BB">
              <w:rPr>
                <w:rFonts w:cs="Arial"/>
                <w:sz w:val="20"/>
                <w:szCs w:val="20"/>
              </w:rPr>
              <w:sym w:font="Wingdings" w:char="F0FC"/>
            </w:r>
          </w:p>
        </w:tc>
        <w:tc>
          <w:tcPr>
            <w:tcW w:w="1215" w:type="dxa"/>
            <w:tcBorders>
              <w:left w:val="none" w:sz="0" w:space="0" w:color="auto"/>
              <w:right w:val="none" w:sz="0" w:space="0" w:color="auto"/>
            </w:tcBorders>
          </w:tcPr>
          <w:p w:rsidR="00D33562" w:rsidRPr="00C317BB" w:rsidRDefault="00D33562" w:rsidP="00823493">
            <w:pPr>
              <w:keepNext/>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317BB">
              <w:rPr>
                <w:rFonts w:cs="Arial"/>
                <w:sz w:val="20"/>
                <w:szCs w:val="20"/>
              </w:rPr>
              <w:sym w:font="Wingdings" w:char="F0FC"/>
            </w:r>
          </w:p>
        </w:tc>
        <w:tc>
          <w:tcPr>
            <w:tcW w:w="1134" w:type="dxa"/>
            <w:tcBorders>
              <w:left w:val="none" w:sz="0" w:space="0" w:color="auto"/>
              <w:right w:val="none" w:sz="0" w:space="0" w:color="auto"/>
            </w:tcBorders>
          </w:tcPr>
          <w:p w:rsidR="00D33562" w:rsidRPr="00C317BB" w:rsidRDefault="00D33562" w:rsidP="00823493">
            <w:pPr>
              <w:keepNext/>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3" w:type="dxa"/>
            <w:tcBorders>
              <w:left w:val="none" w:sz="0" w:space="0" w:color="auto"/>
              <w:right w:val="none" w:sz="0" w:space="0" w:color="auto"/>
            </w:tcBorders>
          </w:tcPr>
          <w:p w:rsidR="00D33562" w:rsidRPr="00C317BB" w:rsidRDefault="00D33562" w:rsidP="00823493">
            <w:pPr>
              <w:keepNext/>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317BB">
              <w:rPr>
                <w:rFonts w:cs="Arial"/>
                <w:sz w:val="20"/>
                <w:szCs w:val="20"/>
              </w:rPr>
              <w:sym w:font="Wingdings" w:char="F0FC"/>
            </w:r>
          </w:p>
        </w:tc>
        <w:tc>
          <w:tcPr>
            <w:tcW w:w="1275" w:type="dxa"/>
            <w:tcBorders>
              <w:left w:val="none" w:sz="0" w:space="0" w:color="auto"/>
            </w:tcBorders>
          </w:tcPr>
          <w:p w:rsidR="00D33562" w:rsidRPr="00C317BB" w:rsidRDefault="00D33562" w:rsidP="00823493">
            <w:pPr>
              <w:keepNext/>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317BB">
              <w:rPr>
                <w:rFonts w:cs="Arial"/>
                <w:sz w:val="20"/>
                <w:szCs w:val="20"/>
              </w:rPr>
              <w:sym w:font="Wingdings" w:char="F0FC"/>
            </w:r>
          </w:p>
        </w:tc>
      </w:tr>
    </w:tbl>
    <w:p w:rsidR="00D33562" w:rsidRDefault="00D33562" w:rsidP="00D33562">
      <w:pPr>
        <w:rPr>
          <w:rFonts w:cs="Arial"/>
          <w:sz w:val="18"/>
        </w:rPr>
      </w:pPr>
      <w:r w:rsidRPr="00C317BB">
        <w:rPr>
          <w:rFonts w:cs="Arial"/>
          <w:sz w:val="18"/>
        </w:rPr>
        <w:t>* Selected foods only</w:t>
      </w:r>
    </w:p>
    <w:p w:rsidR="00D33562" w:rsidRPr="00C317BB" w:rsidRDefault="00D33562" w:rsidP="00391DE3">
      <w:pPr>
        <w:pStyle w:val="Heading3LT"/>
      </w:pPr>
      <w:bookmarkStart w:id="137" w:name="_Ref338054338"/>
      <w:bookmarkStart w:id="138" w:name="_Toc384293555"/>
      <w:r w:rsidRPr="00C317BB">
        <w:t xml:space="preserve">Table </w:t>
      </w:r>
      <w:bookmarkEnd w:id="137"/>
      <w:r w:rsidR="00425868">
        <w:t>9</w:t>
      </w:r>
      <w:r w:rsidR="00C317BB">
        <w:t>:</w:t>
      </w:r>
      <w:r w:rsidRPr="00C317BB">
        <w:t xml:space="preserve"> Mean body weight</w:t>
      </w:r>
      <w:r w:rsidR="00C317BB">
        <w:t xml:space="preserve">s </w:t>
      </w:r>
      <w:r w:rsidRPr="00C317BB">
        <w:t xml:space="preserve">for population groups </w:t>
      </w:r>
      <w:r w:rsidR="00C317BB">
        <w:t>used in the acute dietary exposure assessment</w:t>
      </w:r>
      <w:bookmarkEnd w:id="138"/>
    </w:p>
    <w:tbl>
      <w:tblPr>
        <w:tblStyle w:val="MediumShading1-Accent1"/>
        <w:tblW w:w="0" w:type="auto"/>
        <w:tblBorders>
          <w:insideV w:val="single" w:sz="8" w:space="0" w:color="7BA0CD" w:themeColor="accent1" w:themeTint="BF"/>
        </w:tblBorders>
        <w:tblLayout w:type="fixed"/>
        <w:tblLook w:val="04A0" w:firstRow="1" w:lastRow="0" w:firstColumn="1" w:lastColumn="0" w:noHBand="0" w:noVBand="1"/>
      </w:tblPr>
      <w:tblGrid>
        <w:gridCol w:w="1951"/>
        <w:gridCol w:w="2693"/>
        <w:gridCol w:w="1843"/>
        <w:gridCol w:w="2693"/>
      </w:tblGrid>
      <w:tr w:rsidR="00D33562" w:rsidRPr="00C92D11" w:rsidTr="00003C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none" w:sz="0" w:space="0" w:color="auto"/>
              <w:right w:val="none" w:sz="0" w:space="0" w:color="auto"/>
            </w:tcBorders>
          </w:tcPr>
          <w:p w:rsidR="00D33562" w:rsidRPr="00C92D11" w:rsidRDefault="00D33562" w:rsidP="00A93CEE">
            <w:pPr>
              <w:keepNext/>
              <w:rPr>
                <w:rFonts w:cs="Arial"/>
                <w:sz w:val="20"/>
                <w:szCs w:val="20"/>
              </w:rPr>
            </w:pPr>
            <w:r w:rsidRPr="00C92D11">
              <w:rPr>
                <w:rFonts w:cs="Arial"/>
                <w:sz w:val="20"/>
                <w:szCs w:val="20"/>
              </w:rPr>
              <w:t>Country</w:t>
            </w:r>
          </w:p>
        </w:tc>
        <w:tc>
          <w:tcPr>
            <w:tcW w:w="2693" w:type="dxa"/>
            <w:tcBorders>
              <w:top w:val="none" w:sz="0" w:space="0" w:color="auto"/>
              <w:left w:val="none" w:sz="0" w:space="0" w:color="auto"/>
              <w:bottom w:val="none" w:sz="0" w:space="0" w:color="auto"/>
              <w:right w:val="none" w:sz="0" w:space="0" w:color="auto"/>
            </w:tcBorders>
          </w:tcPr>
          <w:p w:rsidR="00D33562" w:rsidRPr="00C92D11" w:rsidRDefault="00D33562" w:rsidP="003C7BB7">
            <w:pPr>
              <w:keepNext/>
              <w:cnfStyle w:val="100000000000" w:firstRow="1" w:lastRow="0" w:firstColumn="0" w:lastColumn="0" w:oddVBand="0" w:evenVBand="0" w:oddHBand="0" w:evenHBand="0" w:firstRowFirstColumn="0" w:firstRowLastColumn="0" w:lastRowFirstColumn="0" w:lastRowLastColumn="0"/>
              <w:rPr>
                <w:rFonts w:cs="Arial"/>
                <w:sz w:val="20"/>
                <w:szCs w:val="20"/>
              </w:rPr>
            </w:pPr>
            <w:r w:rsidRPr="00C92D11">
              <w:rPr>
                <w:rFonts w:cs="Arial"/>
                <w:sz w:val="20"/>
                <w:szCs w:val="20"/>
              </w:rPr>
              <w:t>Age group</w:t>
            </w:r>
          </w:p>
        </w:tc>
        <w:tc>
          <w:tcPr>
            <w:tcW w:w="1843" w:type="dxa"/>
            <w:tcBorders>
              <w:top w:val="none" w:sz="0" w:space="0" w:color="auto"/>
              <w:left w:val="none" w:sz="0" w:space="0" w:color="auto"/>
              <w:bottom w:val="none" w:sz="0" w:space="0" w:color="auto"/>
              <w:right w:val="none" w:sz="0" w:space="0" w:color="auto"/>
            </w:tcBorders>
          </w:tcPr>
          <w:p w:rsidR="00D33562" w:rsidRPr="00C92D11" w:rsidRDefault="00D33562" w:rsidP="00A93CEE">
            <w:pPr>
              <w:keepNext/>
              <w:cnfStyle w:val="100000000000" w:firstRow="1" w:lastRow="0" w:firstColumn="0" w:lastColumn="0" w:oddVBand="0" w:evenVBand="0" w:oddHBand="0" w:evenHBand="0" w:firstRowFirstColumn="0" w:firstRowLastColumn="0" w:lastRowFirstColumn="0" w:lastRowLastColumn="0"/>
              <w:rPr>
                <w:rFonts w:cs="Arial"/>
                <w:sz w:val="20"/>
                <w:szCs w:val="20"/>
              </w:rPr>
            </w:pPr>
            <w:r w:rsidRPr="00C92D11">
              <w:rPr>
                <w:rFonts w:cs="Arial"/>
                <w:sz w:val="20"/>
                <w:szCs w:val="20"/>
              </w:rPr>
              <w:t>Nutrition survey</w:t>
            </w:r>
          </w:p>
        </w:tc>
        <w:tc>
          <w:tcPr>
            <w:tcW w:w="2693" w:type="dxa"/>
            <w:tcBorders>
              <w:top w:val="none" w:sz="0" w:space="0" w:color="auto"/>
              <w:left w:val="none" w:sz="0" w:space="0" w:color="auto"/>
              <w:bottom w:val="none" w:sz="0" w:space="0" w:color="auto"/>
              <w:right w:val="none" w:sz="0" w:space="0" w:color="auto"/>
            </w:tcBorders>
          </w:tcPr>
          <w:p w:rsidR="00D33562" w:rsidRPr="00C92D11" w:rsidRDefault="00D33562" w:rsidP="00A93CEE">
            <w:pPr>
              <w:keepNext/>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C92D11">
              <w:rPr>
                <w:rFonts w:cs="Arial"/>
                <w:sz w:val="20"/>
                <w:szCs w:val="20"/>
              </w:rPr>
              <w:t>Mean body weight (kg)</w:t>
            </w:r>
          </w:p>
        </w:tc>
      </w:tr>
      <w:tr w:rsidR="00D33562" w:rsidRPr="00C317BB" w:rsidTr="00003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val="restart"/>
            <w:tcBorders>
              <w:right w:val="none" w:sz="0" w:space="0" w:color="auto"/>
            </w:tcBorders>
          </w:tcPr>
          <w:p w:rsidR="00D33562" w:rsidRPr="00C317BB" w:rsidRDefault="00D33562" w:rsidP="00823493">
            <w:pPr>
              <w:rPr>
                <w:rFonts w:cs="Arial"/>
                <w:sz w:val="20"/>
                <w:szCs w:val="20"/>
              </w:rPr>
            </w:pPr>
            <w:r w:rsidRPr="00C317BB">
              <w:rPr>
                <w:rFonts w:cs="Arial"/>
                <w:sz w:val="20"/>
                <w:szCs w:val="20"/>
              </w:rPr>
              <w:t>Australia</w:t>
            </w:r>
          </w:p>
        </w:tc>
        <w:tc>
          <w:tcPr>
            <w:tcW w:w="2693" w:type="dxa"/>
            <w:tcBorders>
              <w:left w:val="none" w:sz="0" w:space="0" w:color="auto"/>
              <w:right w:val="none" w:sz="0" w:space="0" w:color="auto"/>
            </w:tcBorders>
          </w:tcPr>
          <w:p w:rsidR="00D33562" w:rsidRPr="00C317BB" w:rsidRDefault="00D33562" w:rsidP="00A93CEE">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C317BB">
              <w:rPr>
                <w:rFonts w:cs="Arial"/>
                <w:sz w:val="20"/>
                <w:szCs w:val="20"/>
              </w:rPr>
              <w:t>2-6 years</w:t>
            </w:r>
          </w:p>
        </w:tc>
        <w:tc>
          <w:tcPr>
            <w:tcW w:w="1843" w:type="dxa"/>
            <w:tcBorders>
              <w:left w:val="none" w:sz="0" w:space="0" w:color="auto"/>
              <w:right w:val="none" w:sz="0" w:space="0" w:color="auto"/>
            </w:tcBorders>
          </w:tcPr>
          <w:p w:rsidR="00D33562" w:rsidRPr="00C317BB" w:rsidRDefault="00D33562" w:rsidP="00A93CE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317BB">
              <w:rPr>
                <w:rFonts w:cs="Arial"/>
                <w:sz w:val="20"/>
                <w:szCs w:val="20"/>
              </w:rPr>
              <w:t>2007</w:t>
            </w:r>
          </w:p>
        </w:tc>
        <w:tc>
          <w:tcPr>
            <w:tcW w:w="2693" w:type="dxa"/>
            <w:tcBorders>
              <w:left w:val="none" w:sz="0" w:space="0" w:color="auto"/>
            </w:tcBorders>
          </w:tcPr>
          <w:p w:rsidR="00D33562" w:rsidRPr="00C317BB" w:rsidRDefault="00D33562" w:rsidP="00A93CEE">
            <w:pPr>
              <w:tabs>
                <w:tab w:val="decimal" w:pos="1309"/>
              </w:tabs>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317BB">
              <w:rPr>
                <w:rFonts w:cs="Arial"/>
                <w:sz w:val="20"/>
                <w:szCs w:val="20"/>
              </w:rPr>
              <w:t>19</w:t>
            </w:r>
          </w:p>
        </w:tc>
      </w:tr>
      <w:tr w:rsidR="00D33562" w:rsidRPr="00C317BB" w:rsidTr="00003C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Borders>
              <w:right w:val="none" w:sz="0" w:space="0" w:color="auto"/>
            </w:tcBorders>
          </w:tcPr>
          <w:p w:rsidR="00D33562" w:rsidRPr="00C317BB" w:rsidRDefault="00D33562" w:rsidP="00823493">
            <w:pPr>
              <w:rPr>
                <w:rFonts w:cs="Arial"/>
                <w:sz w:val="20"/>
                <w:szCs w:val="20"/>
              </w:rPr>
            </w:pPr>
          </w:p>
        </w:tc>
        <w:tc>
          <w:tcPr>
            <w:tcW w:w="2693" w:type="dxa"/>
            <w:tcBorders>
              <w:left w:val="none" w:sz="0" w:space="0" w:color="auto"/>
              <w:right w:val="none" w:sz="0" w:space="0" w:color="auto"/>
            </w:tcBorders>
            <w:shd w:val="clear" w:color="auto" w:fill="D3DFEE"/>
          </w:tcPr>
          <w:p w:rsidR="00D33562" w:rsidRPr="00C317BB" w:rsidRDefault="00D33562" w:rsidP="00A93CEE">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C317BB">
              <w:rPr>
                <w:rFonts w:cs="Arial"/>
                <w:sz w:val="20"/>
                <w:szCs w:val="20"/>
              </w:rPr>
              <w:t>2-16yrs</w:t>
            </w:r>
          </w:p>
        </w:tc>
        <w:tc>
          <w:tcPr>
            <w:tcW w:w="1843" w:type="dxa"/>
            <w:tcBorders>
              <w:left w:val="none" w:sz="0" w:space="0" w:color="auto"/>
              <w:right w:val="none" w:sz="0" w:space="0" w:color="auto"/>
            </w:tcBorders>
            <w:shd w:val="clear" w:color="auto" w:fill="D3DFEE"/>
          </w:tcPr>
          <w:p w:rsidR="00D33562" w:rsidRPr="00C317BB" w:rsidRDefault="00D33562" w:rsidP="00A93CEE">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C317BB">
              <w:rPr>
                <w:rFonts w:cs="Arial"/>
                <w:sz w:val="20"/>
                <w:szCs w:val="20"/>
              </w:rPr>
              <w:t>2007</w:t>
            </w:r>
          </w:p>
        </w:tc>
        <w:tc>
          <w:tcPr>
            <w:tcW w:w="2693" w:type="dxa"/>
            <w:tcBorders>
              <w:left w:val="none" w:sz="0" w:space="0" w:color="auto"/>
            </w:tcBorders>
            <w:shd w:val="clear" w:color="auto" w:fill="D3DFEE"/>
          </w:tcPr>
          <w:p w:rsidR="00D33562" w:rsidRPr="00C317BB" w:rsidRDefault="00D33562" w:rsidP="00A93CEE">
            <w:pPr>
              <w:tabs>
                <w:tab w:val="decimal" w:pos="1309"/>
              </w:tabs>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C317BB">
              <w:rPr>
                <w:rFonts w:cs="Arial"/>
                <w:sz w:val="20"/>
                <w:szCs w:val="20"/>
              </w:rPr>
              <w:t>38</w:t>
            </w:r>
          </w:p>
        </w:tc>
      </w:tr>
      <w:tr w:rsidR="00D33562" w:rsidRPr="00C317BB" w:rsidTr="00003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Borders>
              <w:right w:val="none" w:sz="0" w:space="0" w:color="auto"/>
            </w:tcBorders>
          </w:tcPr>
          <w:p w:rsidR="00D33562" w:rsidRPr="00C317BB" w:rsidRDefault="00D33562" w:rsidP="00823493">
            <w:pPr>
              <w:rPr>
                <w:rFonts w:cs="Arial"/>
                <w:sz w:val="20"/>
                <w:szCs w:val="20"/>
              </w:rPr>
            </w:pPr>
          </w:p>
        </w:tc>
        <w:tc>
          <w:tcPr>
            <w:tcW w:w="2693" w:type="dxa"/>
            <w:tcBorders>
              <w:left w:val="none" w:sz="0" w:space="0" w:color="auto"/>
              <w:right w:val="none" w:sz="0" w:space="0" w:color="auto"/>
            </w:tcBorders>
          </w:tcPr>
          <w:p w:rsidR="00D33562" w:rsidRPr="00C317BB" w:rsidRDefault="00D33562" w:rsidP="00A93CEE">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C317BB">
              <w:rPr>
                <w:rFonts w:cs="Arial"/>
                <w:sz w:val="20"/>
                <w:szCs w:val="20"/>
              </w:rPr>
              <w:t>17 years and above</w:t>
            </w:r>
          </w:p>
        </w:tc>
        <w:tc>
          <w:tcPr>
            <w:tcW w:w="1843" w:type="dxa"/>
            <w:tcBorders>
              <w:left w:val="none" w:sz="0" w:space="0" w:color="auto"/>
              <w:right w:val="none" w:sz="0" w:space="0" w:color="auto"/>
            </w:tcBorders>
          </w:tcPr>
          <w:p w:rsidR="00D33562" w:rsidRPr="00C317BB" w:rsidRDefault="00D33562" w:rsidP="00A93CE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317BB">
              <w:rPr>
                <w:rFonts w:cs="Arial"/>
                <w:sz w:val="20"/>
                <w:szCs w:val="20"/>
              </w:rPr>
              <w:t>1995</w:t>
            </w:r>
          </w:p>
        </w:tc>
        <w:tc>
          <w:tcPr>
            <w:tcW w:w="2693" w:type="dxa"/>
            <w:tcBorders>
              <w:left w:val="none" w:sz="0" w:space="0" w:color="auto"/>
            </w:tcBorders>
          </w:tcPr>
          <w:p w:rsidR="00D33562" w:rsidRPr="00C317BB" w:rsidRDefault="00D33562" w:rsidP="00A93CEE">
            <w:pPr>
              <w:tabs>
                <w:tab w:val="decimal" w:pos="1309"/>
              </w:tabs>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317BB">
              <w:rPr>
                <w:rFonts w:cs="Arial"/>
                <w:sz w:val="20"/>
                <w:szCs w:val="20"/>
              </w:rPr>
              <w:t>74</w:t>
            </w:r>
          </w:p>
        </w:tc>
      </w:tr>
      <w:tr w:rsidR="00D33562" w:rsidRPr="00C317BB" w:rsidTr="00003C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val="restart"/>
            <w:tcBorders>
              <w:right w:val="none" w:sz="0" w:space="0" w:color="auto"/>
            </w:tcBorders>
          </w:tcPr>
          <w:p w:rsidR="00D33562" w:rsidRPr="00C317BB" w:rsidRDefault="00D33562" w:rsidP="00823493">
            <w:pPr>
              <w:rPr>
                <w:rFonts w:cs="Arial"/>
                <w:sz w:val="20"/>
                <w:szCs w:val="20"/>
              </w:rPr>
            </w:pPr>
            <w:r w:rsidRPr="00C317BB">
              <w:rPr>
                <w:rFonts w:cs="Arial"/>
                <w:sz w:val="20"/>
                <w:szCs w:val="20"/>
              </w:rPr>
              <w:t>New Zealand</w:t>
            </w:r>
          </w:p>
        </w:tc>
        <w:tc>
          <w:tcPr>
            <w:tcW w:w="2693" w:type="dxa"/>
            <w:tcBorders>
              <w:left w:val="none" w:sz="0" w:space="0" w:color="auto"/>
              <w:right w:val="none" w:sz="0" w:space="0" w:color="auto"/>
            </w:tcBorders>
          </w:tcPr>
          <w:p w:rsidR="00D33562" w:rsidRPr="00C317BB" w:rsidRDefault="00D33562" w:rsidP="00A93CEE">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C317BB">
              <w:rPr>
                <w:rFonts w:cs="Arial"/>
                <w:sz w:val="20"/>
                <w:szCs w:val="20"/>
              </w:rPr>
              <w:t>5-6 years</w:t>
            </w:r>
          </w:p>
        </w:tc>
        <w:tc>
          <w:tcPr>
            <w:tcW w:w="1843" w:type="dxa"/>
            <w:tcBorders>
              <w:left w:val="none" w:sz="0" w:space="0" w:color="auto"/>
              <w:right w:val="none" w:sz="0" w:space="0" w:color="auto"/>
            </w:tcBorders>
          </w:tcPr>
          <w:p w:rsidR="00D33562" w:rsidRPr="00C317BB" w:rsidRDefault="00D33562" w:rsidP="00A93CEE">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C317BB">
              <w:rPr>
                <w:rFonts w:cs="Arial"/>
                <w:sz w:val="20"/>
                <w:szCs w:val="20"/>
              </w:rPr>
              <w:t>2002</w:t>
            </w:r>
          </w:p>
        </w:tc>
        <w:tc>
          <w:tcPr>
            <w:tcW w:w="2693" w:type="dxa"/>
            <w:tcBorders>
              <w:left w:val="none" w:sz="0" w:space="0" w:color="auto"/>
            </w:tcBorders>
          </w:tcPr>
          <w:p w:rsidR="00D33562" w:rsidRPr="00C317BB" w:rsidRDefault="00D33562" w:rsidP="00A93CEE">
            <w:pPr>
              <w:tabs>
                <w:tab w:val="decimal" w:pos="1309"/>
              </w:tabs>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C317BB">
              <w:rPr>
                <w:rFonts w:cs="Arial"/>
                <w:sz w:val="20"/>
                <w:szCs w:val="20"/>
              </w:rPr>
              <w:t>23</w:t>
            </w:r>
          </w:p>
        </w:tc>
      </w:tr>
      <w:tr w:rsidR="00D33562" w:rsidRPr="00C317BB" w:rsidTr="00003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Borders>
              <w:right w:val="none" w:sz="0" w:space="0" w:color="auto"/>
            </w:tcBorders>
          </w:tcPr>
          <w:p w:rsidR="00D33562" w:rsidRPr="00C317BB" w:rsidRDefault="00D33562" w:rsidP="00823493">
            <w:pPr>
              <w:rPr>
                <w:rFonts w:cs="Arial"/>
                <w:sz w:val="20"/>
                <w:szCs w:val="20"/>
              </w:rPr>
            </w:pPr>
          </w:p>
        </w:tc>
        <w:tc>
          <w:tcPr>
            <w:tcW w:w="2693" w:type="dxa"/>
            <w:tcBorders>
              <w:left w:val="none" w:sz="0" w:space="0" w:color="auto"/>
              <w:right w:val="none" w:sz="0" w:space="0" w:color="auto"/>
            </w:tcBorders>
            <w:shd w:val="clear" w:color="auto" w:fill="auto"/>
          </w:tcPr>
          <w:p w:rsidR="00D33562" w:rsidRPr="00C317BB" w:rsidRDefault="00D33562" w:rsidP="00A93CEE">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C317BB">
              <w:rPr>
                <w:rFonts w:cs="Arial"/>
                <w:sz w:val="20"/>
                <w:szCs w:val="20"/>
              </w:rPr>
              <w:t>5-14yrs</w:t>
            </w:r>
          </w:p>
        </w:tc>
        <w:tc>
          <w:tcPr>
            <w:tcW w:w="1843" w:type="dxa"/>
            <w:tcBorders>
              <w:left w:val="none" w:sz="0" w:space="0" w:color="auto"/>
              <w:right w:val="none" w:sz="0" w:space="0" w:color="auto"/>
            </w:tcBorders>
            <w:shd w:val="clear" w:color="auto" w:fill="auto"/>
          </w:tcPr>
          <w:p w:rsidR="00D33562" w:rsidRPr="00C317BB" w:rsidRDefault="00D33562" w:rsidP="00A93CE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317BB">
              <w:rPr>
                <w:rFonts w:cs="Arial"/>
                <w:sz w:val="20"/>
                <w:szCs w:val="20"/>
              </w:rPr>
              <w:t>2002</w:t>
            </w:r>
          </w:p>
        </w:tc>
        <w:tc>
          <w:tcPr>
            <w:tcW w:w="2693" w:type="dxa"/>
            <w:tcBorders>
              <w:left w:val="none" w:sz="0" w:space="0" w:color="auto"/>
            </w:tcBorders>
            <w:shd w:val="clear" w:color="auto" w:fill="auto"/>
          </w:tcPr>
          <w:p w:rsidR="00D33562" w:rsidRPr="00C317BB" w:rsidRDefault="00D33562" w:rsidP="00A93CEE">
            <w:pPr>
              <w:tabs>
                <w:tab w:val="decimal" w:pos="1309"/>
              </w:tabs>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317BB">
              <w:rPr>
                <w:rFonts w:cs="Arial"/>
                <w:sz w:val="20"/>
                <w:szCs w:val="20"/>
              </w:rPr>
              <w:t>40</w:t>
            </w:r>
          </w:p>
        </w:tc>
      </w:tr>
      <w:tr w:rsidR="00D33562" w:rsidRPr="00C317BB" w:rsidTr="00003C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Borders>
              <w:right w:val="none" w:sz="0" w:space="0" w:color="auto"/>
            </w:tcBorders>
          </w:tcPr>
          <w:p w:rsidR="00D33562" w:rsidRPr="00C317BB" w:rsidRDefault="00D33562" w:rsidP="00823493">
            <w:pPr>
              <w:rPr>
                <w:rFonts w:cs="Arial"/>
                <w:sz w:val="20"/>
                <w:szCs w:val="20"/>
              </w:rPr>
            </w:pPr>
          </w:p>
        </w:tc>
        <w:tc>
          <w:tcPr>
            <w:tcW w:w="2693" w:type="dxa"/>
            <w:tcBorders>
              <w:left w:val="none" w:sz="0" w:space="0" w:color="auto"/>
              <w:right w:val="none" w:sz="0" w:space="0" w:color="auto"/>
            </w:tcBorders>
          </w:tcPr>
          <w:p w:rsidR="00D33562" w:rsidRPr="00C317BB" w:rsidRDefault="00D33562" w:rsidP="00A93CEE">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C317BB">
              <w:rPr>
                <w:rFonts w:cs="Arial"/>
                <w:sz w:val="20"/>
                <w:szCs w:val="20"/>
              </w:rPr>
              <w:t>15 years and above</w:t>
            </w:r>
          </w:p>
        </w:tc>
        <w:tc>
          <w:tcPr>
            <w:tcW w:w="1843" w:type="dxa"/>
            <w:tcBorders>
              <w:left w:val="none" w:sz="0" w:space="0" w:color="auto"/>
              <w:right w:val="none" w:sz="0" w:space="0" w:color="auto"/>
            </w:tcBorders>
          </w:tcPr>
          <w:p w:rsidR="00D33562" w:rsidRPr="00C317BB" w:rsidRDefault="00D33562" w:rsidP="00A93CEE">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C317BB">
              <w:rPr>
                <w:rFonts w:cs="Arial"/>
                <w:sz w:val="20"/>
                <w:szCs w:val="20"/>
              </w:rPr>
              <w:t>1997</w:t>
            </w:r>
          </w:p>
        </w:tc>
        <w:tc>
          <w:tcPr>
            <w:tcW w:w="2693" w:type="dxa"/>
            <w:tcBorders>
              <w:left w:val="none" w:sz="0" w:space="0" w:color="auto"/>
            </w:tcBorders>
          </w:tcPr>
          <w:p w:rsidR="00D33562" w:rsidRPr="00C317BB" w:rsidRDefault="00D33562" w:rsidP="00A93CEE">
            <w:pPr>
              <w:tabs>
                <w:tab w:val="decimal" w:pos="1309"/>
              </w:tabs>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C317BB">
              <w:rPr>
                <w:rFonts w:cs="Arial"/>
                <w:sz w:val="20"/>
                <w:szCs w:val="20"/>
              </w:rPr>
              <w:t>71</w:t>
            </w:r>
          </w:p>
        </w:tc>
      </w:tr>
      <w:tr w:rsidR="00D33562" w:rsidRPr="00C317BB" w:rsidTr="00003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right w:val="none" w:sz="0" w:space="0" w:color="auto"/>
            </w:tcBorders>
          </w:tcPr>
          <w:p w:rsidR="00D33562" w:rsidRPr="00C317BB" w:rsidRDefault="00D33562" w:rsidP="00823493">
            <w:pPr>
              <w:rPr>
                <w:rFonts w:cs="Arial"/>
                <w:sz w:val="20"/>
                <w:szCs w:val="20"/>
              </w:rPr>
            </w:pPr>
            <w:r w:rsidRPr="00C317BB">
              <w:rPr>
                <w:rFonts w:cs="Arial"/>
                <w:sz w:val="20"/>
                <w:szCs w:val="20"/>
              </w:rPr>
              <w:t>All</w:t>
            </w:r>
          </w:p>
        </w:tc>
        <w:tc>
          <w:tcPr>
            <w:tcW w:w="2693" w:type="dxa"/>
            <w:tcBorders>
              <w:left w:val="none" w:sz="0" w:space="0" w:color="auto"/>
              <w:right w:val="none" w:sz="0" w:space="0" w:color="auto"/>
            </w:tcBorders>
          </w:tcPr>
          <w:p w:rsidR="00D33562" w:rsidRPr="00C317BB" w:rsidRDefault="00432E51" w:rsidP="00A93CEE">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2-11</w:t>
            </w:r>
            <w:r w:rsidR="00D33562" w:rsidRPr="00C317BB">
              <w:rPr>
                <w:rFonts w:cs="Arial"/>
                <w:sz w:val="20"/>
                <w:szCs w:val="20"/>
              </w:rPr>
              <w:t xml:space="preserve"> months</w:t>
            </w:r>
          </w:p>
        </w:tc>
        <w:tc>
          <w:tcPr>
            <w:tcW w:w="1843" w:type="dxa"/>
            <w:tcBorders>
              <w:left w:val="none" w:sz="0" w:space="0" w:color="auto"/>
              <w:right w:val="none" w:sz="0" w:space="0" w:color="auto"/>
            </w:tcBorders>
          </w:tcPr>
          <w:p w:rsidR="00D33562" w:rsidRPr="00C317BB" w:rsidRDefault="00D33562" w:rsidP="00A93CE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317BB">
              <w:rPr>
                <w:rFonts w:cs="Arial"/>
                <w:sz w:val="20"/>
                <w:szCs w:val="20"/>
              </w:rPr>
              <w:t>NOURISH</w:t>
            </w:r>
          </w:p>
        </w:tc>
        <w:tc>
          <w:tcPr>
            <w:tcW w:w="2693" w:type="dxa"/>
            <w:tcBorders>
              <w:left w:val="none" w:sz="0" w:space="0" w:color="auto"/>
            </w:tcBorders>
          </w:tcPr>
          <w:p w:rsidR="00D33562" w:rsidRPr="00C317BB" w:rsidRDefault="00C92D11" w:rsidP="00A93CEE">
            <w:pPr>
              <w:tabs>
                <w:tab w:val="decimal" w:pos="1309"/>
              </w:tabs>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7.2</w:t>
            </w:r>
          </w:p>
        </w:tc>
      </w:tr>
    </w:tbl>
    <w:p w:rsidR="00366133" w:rsidRDefault="00366133" w:rsidP="00AE6A6A">
      <w:bookmarkStart w:id="139" w:name="_Toc367957752"/>
    </w:p>
    <w:p w:rsidR="00C92D11" w:rsidRDefault="00C92D11" w:rsidP="003B2F20">
      <w:pPr>
        <w:pStyle w:val="Heading3"/>
      </w:pPr>
      <w:bookmarkStart w:id="140" w:name="_Toc384293525"/>
      <w:r w:rsidRPr="00473EBF">
        <w:t>5.3.5</w:t>
      </w:r>
      <w:r w:rsidR="00842210">
        <w:tab/>
      </w:r>
      <w:r w:rsidRPr="00473EBF">
        <w:t>Assumptions made and limitations of the dietary exposure assessment</w:t>
      </w:r>
      <w:bookmarkEnd w:id="139"/>
      <w:bookmarkEnd w:id="140"/>
    </w:p>
    <w:p w:rsidR="00366133" w:rsidRPr="00366133" w:rsidRDefault="00366133" w:rsidP="00366133"/>
    <w:p w:rsidR="00D33562" w:rsidRPr="00C92D11" w:rsidRDefault="00D33562"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C92D11">
        <w:rPr>
          <w:rFonts w:cs="Arial"/>
          <w:szCs w:val="22"/>
        </w:rPr>
        <w:t xml:space="preserve">The aim of dietary exposure assessments is to make an estimate of dietary exposure to the food chemical of </w:t>
      </w:r>
      <w:r w:rsidR="006937C7" w:rsidRPr="00C92D11">
        <w:rPr>
          <w:rFonts w:cs="Arial"/>
          <w:szCs w:val="22"/>
        </w:rPr>
        <w:t xml:space="preserve">interest </w:t>
      </w:r>
      <w:r w:rsidR="006937C7">
        <w:rPr>
          <w:rFonts w:cs="Arial"/>
          <w:szCs w:val="22"/>
        </w:rPr>
        <w:t>that</w:t>
      </w:r>
      <w:r w:rsidR="006F4F65">
        <w:rPr>
          <w:rFonts w:cs="Arial"/>
          <w:szCs w:val="22"/>
        </w:rPr>
        <w:t xml:space="preserve"> is </w:t>
      </w:r>
      <w:r w:rsidR="006F4F65" w:rsidRPr="00C92D11">
        <w:rPr>
          <w:rFonts w:cs="Arial"/>
          <w:szCs w:val="22"/>
        </w:rPr>
        <w:t xml:space="preserve">as realistic </w:t>
      </w:r>
      <w:r w:rsidRPr="00C92D11">
        <w:rPr>
          <w:rFonts w:cs="Arial"/>
          <w:szCs w:val="22"/>
        </w:rPr>
        <w:t>as possible</w:t>
      </w:r>
      <w:r w:rsidR="00C92D11" w:rsidRPr="00C92D11">
        <w:rPr>
          <w:rFonts w:cs="Arial"/>
          <w:szCs w:val="22"/>
        </w:rPr>
        <w:t xml:space="preserve">. </w:t>
      </w:r>
      <w:r w:rsidR="008174AB">
        <w:rPr>
          <w:rFonts w:cs="Arial"/>
          <w:szCs w:val="22"/>
        </w:rPr>
        <w:t>W</w:t>
      </w:r>
      <w:r w:rsidRPr="00C92D11">
        <w:rPr>
          <w:rFonts w:cs="Arial"/>
          <w:szCs w:val="22"/>
        </w:rPr>
        <w:t xml:space="preserve">here uncertainties in the data existed, a conservative approach </w:t>
      </w:r>
      <w:r w:rsidR="00C92D11">
        <w:rPr>
          <w:rFonts w:cs="Arial"/>
          <w:szCs w:val="22"/>
        </w:rPr>
        <w:t>wa</w:t>
      </w:r>
      <w:r w:rsidRPr="00C92D11">
        <w:rPr>
          <w:rFonts w:cs="Arial"/>
          <w:szCs w:val="22"/>
        </w:rPr>
        <w:t xml:space="preserve">s taken to be protective of </w:t>
      </w:r>
      <w:r w:rsidR="003562F3">
        <w:rPr>
          <w:rFonts w:cs="Arial"/>
          <w:szCs w:val="22"/>
        </w:rPr>
        <w:t xml:space="preserve">the health and safety of </w:t>
      </w:r>
      <w:r w:rsidRPr="00C92D11">
        <w:rPr>
          <w:rFonts w:cs="Arial"/>
          <w:szCs w:val="22"/>
        </w:rPr>
        <w:t>consumers.</w:t>
      </w:r>
    </w:p>
    <w:p w:rsidR="003562F3" w:rsidRDefault="003562F3"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rsidR="003562F3" w:rsidRDefault="00D33562"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C92D11">
        <w:rPr>
          <w:rFonts w:cs="Arial"/>
          <w:szCs w:val="22"/>
        </w:rPr>
        <w:t xml:space="preserve">Many of the limitations associated with dietary exposure assessments conducted by FSANZ are common </w:t>
      </w:r>
      <w:r w:rsidR="003562F3">
        <w:rPr>
          <w:rFonts w:cs="Arial"/>
          <w:szCs w:val="22"/>
        </w:rPr>
        <w:t xml:space="preserve">across most </w:t>
      </w:r>
      <w:r w:rsidRPr="00C92D11">
        <w:rPr>
          <w:rFonts w:cs="Arial"/>
          <w:szCs w:val="22"/>
        </w:rPr>
        <w:t>assessments</w:t>
      </w:r>
      <w:r w:rsidR="003562F3">
        <w:rPr>
          <w:rFonts w:cs="Arial"/>
          <w:szCs w:val="22"/>
        </w:rPr>
        <w:t xml:space="preserve">. Limitations include: </w:t>
      </w:r>
      <w:r w:rsidR="003562F3" w:rsidRPr="00C92D11">
        <w:rPr>
          <w:rFonts w:cs="Arial"/>
          <w:szCs w:val="22"/>
        </w:rPr>
        <w:t>the age of the consumption data</w:t>
      </w:r>
      <w:r w:rsidR="003562F3">
        <w:rPr>
          <w:rFonts w:cs="Arial"/>
          <w:szCs w:val="22"/>
        </w:rPr>
        <w:t>;</w:t>
      </w:r>
      <w:r w:rsidR="003562F3" w:rsidRPr="00C92D11">
        <w:rPr>
          <w:rFonts w:cs="Arial"/>
          <w:szCs w:val="22"/>
        </w:rPr>
        <w:t xml:space="preserve"> that one</w:t>
      </w:r>
      <w:r w:rsidR="003562F3">
        <w:rPr>
          <w:rFonts w:cs="Arial"/>
          <w:szCs w:val="22"/>
        </w:rPr>
        <w:t>/</w:t>
      </w:r>
      <w:r w:rsidR="003562F3" w:rsidRPr="00C92D11">
        <w:rPr>
          <w:rFonts w:cs="Arial"/>
          <w:szCs w:val="22"/>
        </w:rPr>
        <w:t>two days of consumption data are used to estimate chronic dietary exposure</w:t>
      </w:r>
      <w:r w:rsidR="003562F3">
        <w:rPr>
          <w:rFonts w:cs="Arial"/>
          <w:szCs w:val="22"/>
        </w:rPr>
        <w:t>;</w:t>
      </w:r>
      <w:r w:rsidR="003562F3" w:rsidRPr="00C92D11">
        <w:rPr>
          <w:rFonts w:cs="Arial"/>
          <w:szCs w:val="22"/>
        </w:rPr>
        <w:t xml:space="preserve"> </w:t>
      </w:r>
      <w:r w:rsidR="003562F3">
        <w:rPr>
          <w:rFonts w:cs="Arial"/>
          <w:szCs w:val="22"/>
        </w:rPr>
        <w:t xml:space="preserve">and </w:t>
      </w:r>
      <w:r w:rsidR="003562F3" w:rsidRPr="00C92D11">
        <w:rPr>
          <w:rFonts w:cs="Arial"/>
          <w:szCs w:val="22"/>
        </w:rPr>
        <w:t xml:space="preserve">that concentration data </w:t>
      </w:r>
      <w:r w:rsidR="003562F3">
        <w:rPr>
          <w:rFonts w:cs="Arial"/>
          <w:szCs w:val="22"/>
        </w:rPr>
        <w:t xml:space="preserve">for </w:t>
      </w:r>
      <w:r w:rsidR="003562F3" w:rsidRPr="00C92D11">
        <w:rPr>
          <w:rFonts w:cs="Arial"/>
          <w:szCs w:val="22"/>
        </w:rPr>
        <w:t>Australia</w:t>
      </w:r>
      <w:r w:rsidR="003562F3">
        <w:rPr>
          <w:rFonts w:cs="Arial"/>
          <w:szCs w:val="22"/>
        </w:rPr>
        <w:t>n foods</w:t>
      </w:r>
      <w:r w:rsidR="003562F3" w:rsidRPr="00C92D11">
        <w:rPr>
          <w:rFonts w:cs="Arial"/>
          <w:szCs w:val="22"/>
        </w:rPr>
        <w:t xml:space="preserve"> reflect</w:t>
      </w:r>
      <w:r w:rsidR="003562F3">
        <w:rPr>
          <w:rFonts w:cs="Arial"/>
          <w:szCs w:val="22"/>
        </w:rPr>
        <w:t>s</w:t>
      </w:r>
      <w:r w:rsidR="003562F3" w:rsidRPr="00C92D11">
        <w:rPr>
          <w:rFonts w:cs="Arial"/>
          <w:szCs w:val="22"/>
        </w:rPr>
        <w:t xml:space="preserve"> that </w:t>
      </w:r>
      <w:r w:rsidR="003562F3">
        <w:rPr>
          <w:rFonts w:cs="Arial"/>
          <w:szCs w:val="22"/>
        </w:rPr>
        <w:t xml:space="preserve">for </w:t>
      </w:r>
      <w:r w:rsidR="003562F3" w:rsidRPr="00C92D11">
        <w:rPr>
          <w:rFonts w:cs="Arial"/>
          <w:szCs w:val="22"/>
        </w:rPr>
        <w:t xml:space="preserve">New Zealand </w:t>
      </w:r>
      <w:r w:rsidR="003562F3">
        <w:rPr>
          <w:rFonts w:cs="Arial"/>
          <w:szCs w:val="22"/>
        </w:rPr>
        <w:t xml:space="preserve">foods </w:t>
      </w:r>
      <w:r w:rsidR="003562F3" w:rsidRPr="00C92D11">
        <w:rPr>
          <w:rFonts w:cs="Arial"/>
          <w:szCs w:val="22"/>
        </w:rPr>
        <w:t>and vice versa</w:t>
      </w:r>
      <w:r w:rsidR="003562F3">
        <w:rPr>
          <w:rFonts w:cs="Arial"/>
          <w:szCs w:val="22"/>
        </w:rPr>
        <w:t xml:space="preserve"> etc. Such limitations </w:t>
      </w:r>
      <w:r w:rsidRPr="00C92D11">
        <w:rPr>
          <w:rFonts w:cs="Arial"/>
          <w:szCs w:val="22"/>
        </w:rPr>
        <w:t xml:space="preserve">are outlined in detail in the document </w:t>
      </w:r>
      <w:r w:rsidRPr="00C92D11">
        <w:rPr>
          <w:rFonts w:cs="Arial"/>
          <w:i/>
          <w:szCs w:val="22"/>
        </w:rPr>
        <w:t xml:space="preserve">FSANZ </w:t>
      </w:r>
      <w:r w:rsidR="003562F3">
        <w:rPr>
          <w:rFonts w:cs="Arial"/>
          <w:i/>
          <w:szCs w:val="22"/>
        </w:rPr>
        <w:t>p</w:t>
      </w:r>
      <w:r w:rsidRPr="00C92D11">
        <w:rPr>
          <w:rFonts w:cs="Arial"/>
          <w:i/>
          <w:szCs w:val="22"/>
        </w:rPr>
        <w:t xml:space="preserve">rinciples and </w:t>
      </w:r>
      <w:r w:rsidR="003562F3">
        <w:rPr>
          <w:rFonts w:cs="Arial"/>
          <w:i/>
          <w:szCs w:val="22"/>
        </w:rPr>
        <w:lastRenderedPageBreak/>
        <w:t>p</w:t>
      </w:r>
      <w:r w:rsidRPr="00C92D11">
        <w:rPr>
          <w:rFonts w:cs="Arial"/>
          <w:i/>
          <w:szCs w:val="22"/>
        </w:rPr>
        <w:t xml:space="preserve">ractices of dietary exposure assessment for </w:t>
      </w:r>
      <w:r w:rsidR="003562F3">
        <w:rPr>
          <w:rFonts w:cs="Arial"/>
          <w:i/>
          <w:szCs w:val="22"/>
        </w:rPr>
        <w:t>f</w:t>
      </w:r>
      <w:r w:rsidRPr="00C92D11">
        <w:rPr>
          <w:rFonts w:cs="Arial"/>
          <w:i/>
          <w:szCs w:val="22"/>
        </w:rPr>
        <w:t xml:space="preserve">ood </w:t>
      </w:r>
      <w:r w:rsidR="003562F3">
        <w:rPr>
          <w:rFonts w:cs="Arial"/>
          <w:i/>
          <w:szCs w:val="22"/>
        </w:rPr>
        <w:t>r</w:t>
      </w:r>
      <w:r w:rsidRPr="00C92D11">
        <w:rPr>
          <w:rFonts w:cs="Arial"/>
          <w:i/>
          <w:szCs w:val="22"/>
        </w:rPr>
        <w:t xml:space="preserve">egulatory </w:t>
      </w:r>
      <w:r w:rsidR="003562F3">
        <w:rPr>
          <w:rFonts w:cs="Arial"/>
          <w:i/>
          <w:szCs w:val="22"/>
        </w:rPr>
        <w:t>p</w:t>
      </w:r>
      <w:r w:rsidRPr="00C92D11">
        <w:rPr>
          <w:rFonts w:cs="Arial"/>
          <w:i/>
          <w:szCs w:val="22"/>
        </w:rPr>
        <w:t>urposes</w:t>
      </w:r>
      <w:r w:rsidRPr="00C92D11">
        <w:rPr>
          <w:rFonts w:cs="Arial"/>
          <w:szCs w:val="22"/>
        </w:rPr>
        <w:t xml:space="preserve"> (FSANZ, 2009) and will not be elaborated on here. </w:t>
      </w:r>
    </w:p>
    <w:p w:rsidR="003562F3" w:rsidRDefault="003562F3"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rsidR="00D33562" w:rsidRDefault="00D33562"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C92D11">
        <w:rPr>
          <w:rFonts w:cs="Arial"/>
          <w:szCs w:val="22"/>
        </w:rPr>
        <w:t>Limitations specific to this assessment are outlined in more detail below</w:t>
      </w:r>
      <w:r w:rsidR="003562F3">
        <w:rPr>
          <w:rFonts w:cs="Arial"/>
          <w:szCs w:val="22"/>
        </w:rPr>
        <w:t xml:space="preserve">: </w:t>
      </w:r>
    </w:p>
    <w:p w:rsidR="00366133" w:rsidRPr="00C92D11" w:rsidRDefault="00366133"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rsidR="001C7C12" w:rsidRDefault="00682CA8" w:rsidP="00D42625">
      <w:pPr>
        <w:pStyle w:val="ListParagraph"/>
        <w:numPr>
          <w:ilvl w:val="0"/>
          <w:numId w:val="29"/>
        </w:numPr>
        <w:rPr>
          <w:rFonts w:ascii="Arial" w:hAnsi="Arial" w:cs="Arial"/>
        </w:rPr>
      </w:pPr>
      <w:r w:rsidRPr="001C7C12">
        <w:rPr>
          <w:rFonts w:ascii="Arial" w:hAnsi="Arial" w:cs="Arial"/>
        </w:rPr>
        <w:t>C</w:t>
      </w:r>
      <w:r w:rsidR="00D33562" w:rsidRPr="001C7C12">
        <w:rPr>
          <w:rFonts w:ascii="Arial" w:hAnsi="Arial" w:cs="Arial"/>
        </w:rPr>
        <w:t>oncentration data</w:t>
      </w:r>
      <w:r w:rsidRPr="001C7C12">
        <w:rPr>
          <w:rFonts w:ascii="Arial" w:hAnsi="Arial" w:cs="Arial"/>
        </w:rPr>
        <w:t xml:space="preserve"> – only </w:t>
      </w:r>
      <w:r w:rsidR="00D33562" w:rsidRPr="001C7C12">
        <w:rPr>
          <w:rFonts w:ascii="Arial" w:hAnsi="Arial" w:cs="Arial"/>
        </w:rPr>
        <w:t xml:space="preserve">a limited number of samples </w:t>
      </w:r>
      <w:r w:rsidR="001C7C12">
        <w:rPr>
          <w:rFonts w:ascii="Arial" w:hAnsi="Arial" w:cs="Arial"/>
        </w:rPr>
        <w:t xml:space="preserve">were </w:t>
      </w:r>
      <w:r w:rsidR="00D33562" w:rsidRPr="001C7C12">
        <w:rPr>
          <w:rFonts w:ascii="Arial" w:hAnsi="Arial" w:cs="Arial"/>
        </w:rPr>
        <w:t>analysed for each food</w:t>
      </w:r>
      <w:r w:rsidR="001C7C12" w:rsidRPr="001C7C12">
        <w:rPr>
          <w:rFonts w:ascii="Arial" w:hAnsi="Arial" w:cs="Arial"/>
        </w:rPr>
        <w:t xml:space="preserve">. For some foods, only one sample was analysed. As such, there is less certainty around whether the analysed values are representative of that food and it is </w:t>
      </w:r>
      <w:r w:rsidR="006F4F65">
        <w:rPr>
          <w:rFonts w:ascii="Arial" w:hAnsi="Arial" w:cs="Arial"/>
        </w:rPr>
        <w:t>impossible</w:t>
      </w:r>
      <w:r w:rsidR="006F4F65" w:rsidRPr="001C7C12">
        <w:rPr>
          <w:rFonts w:ascii="Arial" w:hAnsi="Arial" w:cs="Arial"/>
        </w:rPr>
        <w:t xml:space="preserve"> </w:t>
      </w:r>
      <w:r w:rsidR="001C7C12" w:rsidRPr="001C7C12">
        <w:rPr>
          <w:rFonts w:ascii="Arial" w:hAnsi="Arial" w:cs="Arial"/>
        </w:rPr>
        <w:t xml:space="preserve">to </w:t>
      </w:r>
      <w:r w:rsidR="006937C7">
        <w:rPr>
          <w:rFonts w:ascii="Arial" w:hAnsi="Arial" w:cs="Arial"/>
        </w:rPr>
        <w:t xml:space="preserve">reliably </w:t>
      </w:r>
      <w:r w:rsidR="001C7C12" w:rsidRPr="001C7C12">
        <w:rPr>
          <w:rFonts w:ascii="Arial" w:hAnsi="Arial" w:cs="Arial"/>
        </w:rPr>
        <w:t xml:space="preserve">determine the degree of variation of HCN concentrations in that food. </w:t>
      </w:r>
      <w:r w:rsidRPr="001C7C12">
        <w:rPr>
          <w:rFonts w:ascii="Arial" w:hAnsi="Arial" w:cs="Arial"/>
        </w:rPr>
        <w:t xml:space="preserve">This is not as much </w:t>
      </w:r>
      <w:r w:rsidR="00D33562" w:rsidRPr="001C7C12">
        <w:rPr>
          <w:rFonts w:ascii="Arial" w:hAnsi="Arial" w:cs="Arial"/>
        </w:rPr>
        <w:t xml:space="preserve">of an issue </w:t>
      </w:r>
      <w:r w:rsidRPr="001C7C12">
        <w:rPr>
          <w:rFonts w:ascii="Arial" w:hAnsi="Arial" w:cs="Arial"/>
        </w:rPr>
        <w:t xml:space="preserve">in cases where </w:t>
      </w:r>
      <w:r w:rsidR="00D33562" w:rsidRPr="001C7C12">
        <w:rPr>
          <w:rFonts w:ascii="Arial" w:hAnsi="Arial" w:cs="Arial"/>
        </w:rPr>
        <w:t xml:space="preserve">the concentrations </w:t>
      </w:r>
      <w:r w:rsidR="001C7C12">
        <w:rPr>
          <w:rFonts w:ascii="Arial" w:hAnsi="Arial" w:cs="Arial"/>
        </w:rPr>
        <w:t xml:space="preserve">of HCN obtained </w:t>
      </w:r>
      <w:r w:rsidRPr="001C7C12">
        <w:rPr>
          <w:rFonts w:ascii="Arial" w:hAnsi="Arial" w:cs="Arial"/>
        </w:rPr>
        <w:t xml:space="preserve">reflect those </w:t>
      </w:r>
      <w:r w:rsidR="00D33562" w:rsidRPr="001C7C12">
        <w:rPr>
          <w:rFonts w:ascii="Arial" w:hAnsi="Arial" w:cs="Arial"/>
        </w:rPr>
        <w:t xml:space="preserve">in the </w:t>
      </w:r>
      <w:r w:rsidRPr="001C7C12">
        <w:rPr>
          <w:rFonts w:ascii="Arial" w:hAnsi="Arial" w:cs="Arial"/>
        </w:rPr>
        <w:t xml:space="preserve">scientific </w:t>
      </w:r>
      <w:r w:rsidR="001C7C12" w:rsidRPr="001C7C12">
        <w:rPr>
          <w:rFonts w:ascii="Arial" w:hAnsi="Arial" w:cs="Arial"/>
        </w:rPr>
        <w:t>literature e.g.</w:t>
      </w:r>
      <w:r w:rsidR="00D33562" w:rsidRPr="001C7C12">
        <w:rPr>
          <w:rFonts w:ascii="Arial" w:hAnsi="Arial" w:cs="Arial"/>
        </w:rPr>
        <w:t xml:space="preserve"> cassava starch products</w:t>
      </w:r>
      <w:r w:rsidR="001C7C12">
        <w:rPr>
          <w:rFonts w:ascii="Arial" w:hAnsi="Arial" w:cs="Arial"/>
        </w:rPr>
        <w:t>, which</w:t>
      </w:r>
      <w:r w:rsidR="00D33562" w:rsidRPr="001C7C12">
        <w:rPr>
          <w:rFonts w:ascii="Arial" w:hAnsi="Arial" w:cs="Arial"/>
        </w:rPr>
        <w:t xml:space="preserve"> had no detectable HCN. </w:t>
      </w:r>
    </w:p>
    <w:p w:rsidR="00DD6209" w:rsidRDefault="00DD6209" w:rsidP="00DD6209">
      <w:pPr>
        <w:pStyle w:val="ListParagraph"/>
        <w:rPr>
          <w:rFonts w:ascii="Arial" w:hAnsi="Arial" w:cs="Arial"/>
        </w:rPr>
      </w:pPr>
    </w:p>
    <w:p w:rsidR="00304BCC" w:rsidRDefault="001C7C12" w:rsidP="00425868">
      <w:pPr>
        <w:pStyle w:val="ListParagraph"/>
        <w:numPr>
          <w:ilvl w:val="0"/>
          <w:numId w:val="29"/>
        </w:numPr>
        <w:rPr>
          <w:rFonts w:ascii="Arial" w:hAnsi="Arial" w:cs="Arial"/>
        </w:rPr>
      </w:pPr>
      <w:r>
        <w:rPr>
          <w:rFonts w:ascii="Arial" w:hAnsi="Arial" w:cs="Arial"/>
        </w:rPr>
        <w:t xml:space="preserve">Consumption data – </w:t>
      </w:r>
      <w:r w:rsidR="00D33562" w:rsidRPr="001C7C12">
        <w:rPr>
          <w:rFonts w:ascii="Arial" w:hAnsi="Arial" w:cs="Arial"/>
        </w:rPr>
        <w:t xml:space="preserve">there </w:t>
      </w:r>
      <w:r w:rsidR="00614772">
        <w:rPr>
          <w:rFonts w:ascii="Arial" w:hAnsi="Arial" w:cs="Arial"/>
        </w:rPr>
        <w:t>were</w:t>
      </w:r>
      <w:r w:rsidR="00D33562" w:rsidRPr="001C7C12">
        <w:rPr>
          <w:rFonts w:ascii="Arial" w:hAnsi="Arial" w:cs="Arial"/>
        </w:rPr>
        <w:t xml:space="preserve"> some foods </w:t>
      </w:r>
      <w:r>
        <w:rPr>
          <w:rFonts w:ascii="Arial" w:hAnsi="Arial" w:cs="Arial"/>
        </w:rPr>
        <w:t xml:space="preserve">that were consumed by </w:t>
      </w:r>
      <w:r w:rsidR="00D33562" w:rsidRPr="001C7C12">
        <w:rPr>
          <w:rFonts w:ascii="Arial" w:hAnsi="Arial" w:cs="Arial"/>
        </w:rPr>
        <w:t>only a small number of consumers</w:t>
      </w:r>
      <w:r>
        <w:rPr>
          <w:rFonts w:ascii="Arial" w:hAnsi="Arial" w:cs="Arial"/>
        </w:rPr>
        <w:t xml:space="preserve">. These foods include </w:t>
      </w:r>
      <w:r w:rsidR="00D33562" w:rsidRPr="001C7C12">
        <w:rPr>
          <w:rFonts w:ascii="Arial" w:hAnsi="Arial" w:cs="Arial"/>
        </w:rPr>
        <w:t xml:space="preserve">marzipan, lima beans and linseed products. These foods have detectable concentrations of HCN, however, the resulting estimates of dietary exposure may not accurately reflect </w:t>
      </w:r>
      <w:r>
        <w:rPr>
          <w:rFonts w:ascii="Arial" w:hAnsi="Arial" w:cs="Arial"/>
        </w:rPr>
        <w:t>current levels of exposure to this food</w:t>
      </w:r>
      <w:r w:rsidR="00D33562" w:rsidRPr="001C7C12">
        <w:rPr>
          <w:rFonts w:ascii="Arial" w:hAnsi="Arial" w:cs="Arial"/>
        </w:rPr>
        <w:t>.</w:t>
      </w:r>
    </w:p>
    <w:p w:rsidR="00425868" w:rsidRPr="00425868" w:rsidRDefault="00425868" w:rsidP="00425868">
      <w:pPr>
        <w:pStyle w:val="ListParagraph"/>
        <w:rPr>
          <w:rFonts w:ascii="Arial" w:hAnsi="Arial" w:cs="Arial"/>
        </w:rPr>
      </w:pPr>
    </w:p>
    <w:p w:rsidR="00D33562" w:rsidRPr="001C7C12" w:rsidRDefault="00D33562" w:rsidP="008A68B3">
      <w:pPr>
        <w:pStyle w:val="ListParagraph"/>
        <w:numPr>
          <w:ilvl w:val="0"/>
          <w:numId w:val="29"/>
        </w:numPr>
        <w:rPr>
          <w:rFonts w:ascii="Arial" w:hAnsi="Arial" w:cs="Arial"/>
        </w:rPr>
      </w:pPr>
      <w:r w:rsidRPr="001C7C12">
        <w:rPr>
          <w:rFonts w:ascii="Arial" w:hAnsi="Arial" w:cs="Arial"/>
        </w:rPr>
        <w:t xml:space="preserve">Food consumption data for infants </w:t>
      </w:r>
      <w:r w:rsidR="001C7C12">
        <w:rPr>
          <w:rFonts w:ascii="Arial" w:hAnsi="Arial" w:cs="Arial"/>
        </w:rPr>
        <w:t xml:space="preserve">– the food consumption data for infants was obtained from </w:t>
      </w:r>
      <w:r w:rsidRPr="001C7C12">
        <w:rPr>
          <w:rFonts w:ascii="Arial" w:hAnsi="Arial" w:cs="Arial"/>
        </w:rPr>
        <w:t>the NOURISH study</w:t>
      </w:r>
      <w:r w:rsidR="001C7C12">
        <w:rPr>
          <w:rFonts w:ascii="Arial" w:hAnsi="Arial" w:cs="Arial"/>
        </w:rPr>
        <w:t xml:space="preserve">. Although this study was conducted in Australia, the results were </w:t>
      </w:r>
      <w:r w:rsidRPr="001C7C12">
        <w:rPr>
          <w:rFonts w:ascii="Arial" w:hAnsi="Arial" w:cs="Arial"/>
        </w:rPr>
        <w:t xml:space="preserve">assumed </w:t>
      </w:r>
      <w:r w:rsidR="005E44AB" w:rsidRPr="001C7C12">
        <w:rPr>
          <w:rFonts w:ascii="Arial" w:hAnsi="Arial" w:cs="Arial"/>
        </w:rPr>
        <w:t>representative</w:t>
      </w:r>
      <w:r w:rsidRPr="001C7C12">
        <w:rPr>
          <w:rFonts w:ascii="Arial" w:hAnsi="Arial" w:cs="Arial"/>
        </w:rPr>
        <w:t xml:space="preserve"> of infants in New Zealand.</w:t>
      </w:r>
    </w:p>
    <w:p w:rsidR="00D33562" w:rsidRPr="00C92D11" w:rsidRDefault="00D33562" w:rsidP="00D33562">
      <w:pPr>
        <w:rPr>
          <w:rFonts w:cs="Arial"/>
          <w:szCs w:val="22"/>
        </w:rPr>
      </w:pPr>
    </w:p>
    <w:p w:rsidR="00D33562" w:rsidRDefault="00D33562" w:rsidP="00D33562">
      <w:pPr>
        <w:rPr>
          <w:rFonts w:cs="Arial"/>
          <w:szCs w:val="22"/>
        </w:rPr>
      </w:pPr>
      <w:r w:rsidRPr="00C92D11">
        <w:rPr>
          <w:rFonts w:cs="Arial"/>
          <w:szCs w:val="22"/>
        </w:rPr>
        <w:t xml:space="preserve">Despite </w:t>
      </w:r>
      <w:r w:rsidR="001C7C12">
        <w:rPr>
          <w:rFonts w:cs="Arial"/>
          <w:szCs w:val="22"/>
        </w:rPr>
        <w:t xml:space="preserve">the assumptions made and the </w:t>
      </w:r>
      <w:r w:rsidRPr="00C92D11">
        <w:rPr>
          <w:rFonts w:cs="Arial"/>
          <w:szCs w:val="22"/>
        </w:rPr>
        <w:t xml:space="preserve">limitations </w:t>
      </w:r>
      <w:r w:rsidR="001C7C12">
        <w:rPr>
          <w:rFonts w:cs="Arial"/>
          <w:szCs w:val="22"/>
        </w:rPr>
        <w:t>described above</w:t>
      </w:r>
      <w:r w:rsidRPr="00C92D11">
        <w:rPr>
          <w:rFonts w:cs="Arial"/>
          <w:szCs w:val="22"/>
        </w:rPr>
        <w:t>, the results</w:t>
      </w:r>
      <w:r w:rsidR="001C7C12">
        <w:rPr>
          <w:rFonts w:cs="Arial"/>
          <w:szCs w:val="22"/>
        </w:rPr>
        <w:t xml:space="preserve"> of the dietary exposure assessment</w:t>
      </w:r>
      <w:r w:rsidRPr="00C92D11">
        <w:rPr>
          <w:rFonts w:cs="Arial"/>
          <w:szCs w:val="22"/>
        </w:rPr>
        <w:t xml:space="preserve"> provide a basis from which to identify the potential for any risks and possible areas for more detailed work to be conducted in the future.</w:t>
      </w:r>
    </w:p>
    <w:p w:rsidR="00366133" w:rsidRDefault="00366133" w:rsidP="00D33562">
      <w:pPr>
        <w:rPr>
          <w:rFonts w:cs="Arial"/>
          <w:szCs w:val="22"/>
        </w:rPr>
      </w:pPr>
    </w:p>
    <w:p w:rsidR="00C92D11" w:rsidRDefault="00C92D11" w:rsidP="008A68B3">
      <w:pPr>
        <w:pStyle w:val="Heading3"/>
      </w:pPr>
      <w:bookmarkStart w:id="141" w:name="_Toc384293526"/>
      <w:bookmarkStart w:id="142" w:name="_Toc367957753"/>
      <w:r w:rsidRPr="00473EBF">
        <w:t>5.3.6</w:t>
      </w:r>
      <w:r w:rsidR="00842210">
        <w:tab/>
      </w:r>
      <w:r w:rsidRPr="00473EBF">
        <w:t xml:space="preserve">Chronic dietary exposure </w:t>
      </w:r>
      <w:r w:rsidR="00304BCC">
        <w:t>assessment</w:t>
      </w:r>
      <w:bookmarkEnd w:id="141"/>
      <w:r w:rsidR="00304BCC">
        <w:t xml:space="preserve"> </w:t>
      </w:r>
      <w:bookmarkEnd w:id="142"/>
    </w:p>
    <w:p w:rsidR="00366133" w:rsidRPr="00366133" w:rsidRDefault="00366133" w:rsidP="00366133"/>
    <w:p w:rsidR="00D33562" w:rsidRPr="001C7C12" w:rsidRDefault="00D33562" w:rsidP="000F40D6">
      <w:pPr>
        <w:pStyle w:val="link"/>
        <w:rPr>
          <w:rFonts w:cs="Arial"/>
          <w:szCs w:val="22"/>
        </w:rPr>
      </w:pPr>
      <w:r w:rsidRPr="001C7C12">
        <w:rPr>
          <w:rFonts w:cs="Arial"/>
          <w:szCs w:val="22"/>
        </w:rPr>
        <w:t xml:space="preserve">The results </w:t>
      </w:r>
      <w:r w:rsidR="00CA2521">
        <w:rPr>
          <w:rFonts w:cs="Arial"/>
          <w:szCs w:val="22"/>
        </w:rPr>
        <w:t xml:space="preserve">of the chronic dietary exposure assessment </w:t>
      </w:r>
      <w:r w:rsidRPr="001C7C12">
        <w:rPr>
          <w:rFonts w:cs="Arial"/>
          <w:szCs w:val="22"/>
        </w:rPr>
        <w:t xml:space="preserve">are shown in </w:t>
      </w:r>
      <w:r w:rsidR="006021E9" w:rsidRPr="002A17B7">
        <w:rPr>
          <w:rStyle w:val="FollowedHyperlink"/>
          <w:color w:val="auto"/>
          <w:u w:val="none"/>
        </w:rPr>
        <w:t xml:space="preserve">Table </w:t>
      </w:r>
      <w:r w:rsidR="00425868">
        <w:rPr>
          <w:rStyle w:val="FollowedHyperlink"/>
          <w:color w:val="auto"/>
          <w:u w:val="none"/>
        </w:rPr>
        <w:t>10</w:t>
      </w:r>
      <w:r w:rsidRPr="001C7C12">
        <w:rPr>
          <w:rFonts w:cs="Arial"/>
          <w:szCs w:val="22"/>
        </w:rPr>
        <w:t>.</w:t>
      </w:r>
      <w:r w:rsidR="006D32E7">
        <w:rPr>
          <w:rFonts w:cs="Arial"/>
          <w:szCs w:val="22"/>
        </w:rPr>
        <w:t xml:space="preserve"> </w:t>
      </w:r>
      <w:r w:rsidR="00256C32">
        <w:rPr>
          <w:rFonts w:cs="Arial"/>
          <w:szCs w:val="22"/>
        </w:rPr>
        <w:t>F</w:t>
      </w:r>
      <w:r w:rsidRPr="001C7C12">
        <w:rPr>
          <w:rFonts w:cs="Arial"/>
          <w:szCs w:val="22"/>
        </w:rPr>
        <w:t>or respondents</w:t>
      </w:r>
      <w:r w:rsidR="00936E18">
        <w:rPr>
          <w:rFonts w:cs="Arial"/>
          <w:szCs w:val="22"/>
        </w:rPr>
        <w:t>,</w:t>
      </w:r>
      <w:r w:rsidR="00256C32">
        <w:rPr>
          <w:rFonts w:cs="Arial"/>
          <w:szCs w:val="22"/>
        </w:rPr>
        <w:t xml:space="preserve"> </w:t>
      </w:r>
      <w:r w:rsidR="002D2D7E">
        <w:rPr>
          <w:rFonts w:cs="Arial"/>
          <w:szCs w:val="22"/>
        </w:rPr>
        <w:t xml:space="preserve">estimated </w:t>
      </w:r>
      <w:r w:rsidR="00256C32">
        <w:rPr>
          <w:rFonts w:cs="Arial"/>
          <w:szCs w:val="22"/>
        </w:rPr>
        <w:t>mean dietary exposures</w:t>
      </w:r>
      <w:r w:rsidRPr="001C7C12">
        <w:rPr>
          <w:rFonts w:cs="Arial"/>
          <w:szCs w:val="22"/>
        </w:rPr>
        <w:t xml:space="preserve"> range</w:t>
      </w:r>
      <w:r w:rsidR="002D2D7E">
        <w:rPr>
          <w:rFonts w:cs="Arial"/>
          <w:szCs w:val="22"/>
        </w:rPr>
        <w:t>d</w:t>
      </w:r>
      <w:r w:rsidRPr="001C7C12">
        <w:rPr>
          <w:rFonts w:cs="Arial"/>
          <w:szCs w:val="22"/>
        </w:rPr>
        <w:t xml:space="preserve"> from 1 to 2 µg/kg bw/day for the lower bound </w:t>
      </w:r>
      <w:r w:rsidR="00256C32">
        <w:rPr>
          <w:rFonts w:cs="Arial"/>
          <w:szCs w:val="22"/>
        </w:rPr>
        <w:t xml:space="preserve">concentrations </w:t>
      </w:r>
      <w:r w:rsidRPr="001C7C12">
        <w:rPr>
          <w:rFonts w:cs="Arial"/>
          <w:szCs w:val="22"/>
        </w:rPr>
        <w:t xml:space="preserve">and from 1 to </w:t>
      </w:r>
      <w:r w:rsidR="00E2337B">
        <w:rPr>
          <w:rFonts w:cs="Arial"/>
          <w:szCs w:val="22"/>
        </w:rPr>
        <w:t>3</w:t>
      </w:r>
      <w:r w:rsidR="00E2337B" w:rsidRPr="001C7C12">
        <w:rPr>
          <w:rFonts w:cs="Arial"/>
          <w:szCs w:val="22"/>
        </w:rPr>
        <w:t xml:space="preserve"> </w:t>
      </w:r>
      <w:r w:rsidRPr="001C7C12">
        <w:rPr>
          <w:rFonts w:cs="Arial"/>
          <w:szCs w:val="22"/>
        </w:rPr>
        <w:t xml:space="preserve">µg/kg bw/day for the upper bound. For consumers of </w:t>
      </w:r>
      <w:r w:rsidR="006F4F65">
        <w:rPr>
          <w:rFonts w:cs="Arial"/>
          <w:szCs w:val="22"/>
        </w:rPr>
        <w:t xml:space="preserve">foods containing </w:t>
      </w:r>
      <w:r w:rsidRPr="001C7C12">
        <w:rPr>
          <w:rFonts w:cs="Arial"/>
          <w:szCs w:val="22"/>
        </w:rPr>
        <w:t xml:space="preserve">HCN, </w:t>
      </w:r>
      <w:r w:rsidR="002D2D7E">
        <w:rPr>
          <w:rFonts w:cs="Arial"/>
          <w:szCs w:val="22"/>
        </w:rPr>
        <w:t xml:space="preserve">estimated </w:t>
      </w:r>
      <w:r w:rsidRPr="001C7C12">
        <w:rPr>
          <w:rFonts w:cs="Arial"/>
          <w:szCs w:val="22"/>
        </w:rPr>
        <w:t>mean dietary exposures range</w:t>
      </w:r>
      <w:r w:rsidR="002D2D7E">
        <w:rPr>
          <w:rFonts w:cs="Arial"/>
          <w:szCs w:val="22"/>
        </w:rPr>
        <w:t>d</w:t>
      </w:r>
      <w:r w:rsidRPr="001C7C12">
        <w:rPr>
          <w:rFonts w:cs="Arial"/>
          <w:szCs w:val="22"/>
        </w:rPr>
        <w:t xml:space="preserve"> from 1 to 2 µg/kg bw/day for the lower bound and from </w:t>
      </w:r>
      <w:r w:rsidR="00E2337B">
        <w:rPr>
          <w:rFonts w:cs="Arial"/>
          <w:szCs w:val="22"/>
        </w:rPr>
        <w:t>1</w:t>
      </w:r>
      <w:r w:rsidR="00E2337B" w:rsidRPr="001C7C12">
        <w:rPr>
          <w:rFonts w:cs="Arial"/>
          <w:szCs w:val="22"/>
        </w:rPr>
        <w:t xml:space="preserve"> </w:t>
      </w:r>
      <w:r w:rsidRPr="001C7C12">
        <w:rPr>
          <w:rFonts w:cs="Arial"/>
          <w:szCs w:val="22"/>
        </w:rPr>
        <w:t xml:space="preserve">to </w:t>
      </w:r>
      <w:r w:rsidR="00E2337B">
        <w:rPr>
          <w:rFonts w:cs="Arial"/>
          <w:szCs w:val="22"/>
        </w:rPr>
        <w:t>3</w:t>
      </w:r>
      <w:r w:rsidR="00E2337B" w:rsidRPr="001C7C12">
        <w:rPr>
          <w:rFonts w:cs="Arial"/>
          <w:szCs w:val="22"/>
        </w:rPr>
        <w:t xml:space="preserve"> </w:t>
      </w:r>
      <w:r w:rsidRPr="001C7C12">
        <w:rPr>
          <w:rFonts w:cs="Arial"/>
          <w:szCs w:val="22"/>
        </w:rPr>
        <w:t>µg/kg bw/day for the upper bound</w:t>
      </w:r>
      <w:r w:rsidR="00256C32">
        <w:rPr>
          <w:rFonts w:cs="Arial"/>
          <w:szCs w:val="22"/>
        </w:rPr>
        <w:t xml:space="preserve">. For consumers, </w:t>
      </w:r>
      <w:r w:rsidR="002D2D7E">
        <w:rPr>
          <w:rFonts w:cs="Arial"/>
          <w:szCs w:val="22"/>
        </w:rPr>
        <w:t xml:space="preserve">estimated </w:t>
      </w:r>
      <w:r w:rsidRPr="001C7C12">
        <w:rPr>
          <w:rFonts w:cs="Arial"/>
          <w:szCs w:val="22"/>
        </w:rPr>
        <w:t>90</w:t>
      </w:r>
      <w:r w:rsidRPr="001C7C12">
        <w:rPr>
          <w:rFonts w:cs="Arial"/>
          <w:szCs w:val="22"/>
          <w:vertAlign w:val="superscript"/>
        </w:rPr>
        <w:t>th</w:t>
      </w:r>
      <w:r w:rsidRPr="001C7C12">
        <w:rPr>
          <w:rFonts w:cs="Arial"/>
          <w:szCs w:val="22"/>
        </w:rPr>
        <w:t xml:space="preserve"> percentile dietary exposures </w:t>
      </w:r>
      <w:r w:rsidR="002D2D7E">
        <w:rPr>
          <w:rFonts w:cs="Arial"/>
          <w:szCs w:val="22"/>
        </w:rPr>
        <w:t>were</w:t>
      </w:r>
      <w:r w:rsidR="002D2D7E" w:rsidRPr="001C7C12">
        <w:rPr>
          <w:rFonts w:cs="Arial"/>
          <w:szCs w:val="22"/>
        </w:rPr>
        <w:t xml:space="preserve"> </w:t>
      </w:r>
      <w:r w:rsidRPr="001C7C12">
        <w:rPr>
          <w:rFonts w:cs="Arial"/>
          <w:szCs w:val="22"/>
        </w:rPr>
        <w:t>3</w:t>
      </w:r>
      <w:r w:rsidR="002A17B7">
        <w:rPr>
          <w:rFonts w:cs="Arial"/>
          <w:szCs w:val="22"/>
        </w:rPr>
        <w:t xml:space="preserve"> to </w:t>
      </w:r>
      <w:r w:rsidR="000664AC">
        <w:rPr>
          <w:rFonts w:cs="Arial"/>
          <w:szCs w:val="22"/>
        </w:rPr>
        <w:t>4</w:t>
      </w:r>
      <w:r w:rsidRPr="001C7C12">
        <w:rPr>
          <w:rFonts w:cs="Arial"/>
          <w:szCs w:val="22"/>
        </w:rPr>
        <w:t xml:space="preserve"> µg/kg bw/day for the lower bound and from 3 to </w:t>
      </w:r>
      <w:r w:rsidR="000664AC">
        <w:rPr>
          <w:rFonts w:cs="Arial"/>
          <w:szCs w:val="22"/>
        </w:rPr>
        <w:t>5</w:t>
      </w:r>
      <w:r w:rsidR="000664AC" w:rsidRPr="001C7C12">
        <w:rPr>
          <w:rFonts w:cs="Arial"/>
          <w:szCs w:val="22"/>
        </w:rPr>
        <w:t xml:space="preserve"> </w:t>
      </w:r>
      <w:r w:rsidRPr="001C7C12">
        <w:rPr>
          <w:rFonts w:cs="Arial"/>
          <w:szCs w:val="22"/>
        </w:rPr>
        <w:t>µg/kg bw/day for the upper bound.</w:t>
      </w:r>
    </w:p>
    <w:p w:rsidR="00D33562" w:rsidRPr="001C7C12" w:rsidRDefault="00D33562"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rsidR="00D33562" w:rsidRPr="001C7C12" w:rsidRDefault="006C395A"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Pr>
          <w:rFonts w:cs="Arial"/>
          <w:szCs w:val="22"/>
        </w:rPr>
        <w:t xml:space="preserve">As illustrated in </w:t>
      </w:r>
      <w:r w:rsidR="00256C32">
        <w:rPr>
          <w:rFonts w:cs="Arial"/>
          <w:szCs w:val="22"/>
        </w:rPr>
        <w:t xml:space="preserve">Table </w:t>
      </w:r>
      <w:r w:rsidR="00425868">
        <w:rPr>
          <w:rFonts w:cs="Arial"/>
          <w:szCs w:val="22"/>
        </w:rPr>
        <w:t>10</w:t>
      </w:r>
      <w:r w:rsidR="00256C32">
        <w:rPr>
          <w:rFonts w:cs="Arial"/>
          <w:szCs w:val="22"/>
        </w:rPr>
        <w:t>, t</w:t>
      </w:r>
      <w:r w:rsidR="00D33562" w:rsidRPr="001C7C12">
        <w:rPr>
          <w:rFonts w:cs="Arial"/>
          <w:szCs w:val="22"/>
        </w:rPr>
        <w:t xml:space="preserve">here are different numbers of consumers of </w:t>
      </w:r>
      <w:r w:rsidR="0036079D">
        <w:rPr>
          <w:rFonts w:cs="Arial"/>
          <w:szCs w:val="22"/>
        </w:rPr>
        <w:t xml:space="preserve">foods containing </w:t>
      </w:r>
      <w:r w:rsidR="00D33562" w:rsidRPr="001C7C12">
        <w:rPr>
          <w:rFonts w:cs="Arial"/>
          <w:szCs w:val="22"/>
        </w:rPr>
        <w:t>HCN for lower bound and upper bound results. This is because for lower bound concentrations</w:t>
      </w:r>
      <w:r w:rsidR="00256C32">
        <w:rPr>
          <w:rFonts w:cs="Arial"/>
          <w:szCs w:val="22"/>
        </w:rPr>
        <w:t>,</w:t>
      </w:r>
      <w:r w:rsidR="00D33562" w:rsidRPr="001C7C12">
        <w:rPr>
          <w:rFonts w:cs="Arial"/>
          <w:szCs w:val="22"/>
        </w:rPr>
        <w:t xml:space="preserve"> a mean of zero </w:t>
      </w:r>
      <w:r w:rsidR="00256C32">
        <w:rPr>
          <w:rFonts w:cs="Arial"/>
          <w:szCs w:val="22"/>
        </w:rPr>
        <w:t>was</w:t>
      </w:r>
      <w:r w:rsidR="00D33562" w:rsidRPr="001C7C12">
        <w:rPr>
          <w:rFonts w:cs="Arial"/>
          <w:szCs w:val="22"/>
        </w:rPr>
        <w:t xml:space="preserve"> applied for </w:t>
      </w:r>
      <w:r w:rsidR="00256C32">
        <w:rPr>
          <w:rFonts w:cs="Arial"/>
          <w:szCs w:val="22"/>
        </w:rPr>
        <w:t>foods where all concentrations were</w:t>
      </w:r>
      <w:r w:rsidR="00D33562" w:rsidRPr="001C7C12">
        <w:rPr>
          <w:rFonts w:cs="Arial"/>
          <w:szCs w:val="22"/>
        </w:rPr>
        <w:t xml:space="preserve"> below the L</w:t>
      </w:r>
      <w:r w:rsidR="00256C32">
        <w:rPr>
          <w:rFonts w:cs="Arial"/>
          <w:szCs w:val="22"/>
        </w:rPr>
        <w:t>o</w:t>
      </w:r>
      <w:r w:rsidR="00D33562" w:rsidRPr="001C7C12">
        <w:rPr>
          <w:rFonts w:cs="Arial"/>
          <w:szCs w:val="22"/>
        </w:rPr>
        <w:t xml:space="preserve">D. Even if there </w:t>
      </w:r>
      <w:r w:rsidR="00256C32">
        <w:rPr>
          <w:rFonts w:cs="Arial"/>
          <w:szCs w:val="22"/>
        </w:rPr>
        <w:t>were</w:t>
      </w:r>
      <w:r w:rsidR="00D33562" w:rsidRPr="001C7C12">
        <w:rPr>
          <w:rFonts w:cs="Arial"/>
          <w:szCs w:val="22"/>
        </w:rPr>
        <w:t xml:space="preserve"> respondents in the nutrition surveys who </w:t>
      </w:r>
      <w:r w:rsidR="00256C32">
        <w:rPr>
          <w:rFonts w:cs="Arial"/>
          <w:szCs w:val="22"/>
        </w:rPr>
        <w:t>had</w:t>
      </w:r>
      <w:r w:rsidR="00D33562" w:rsidRPr="001C7C12">
        <w:rPr>
          <w:rFonts w:cs="Arial"/>
          <w:szCs w:val="22"/>
        </w:rPr>
        <w:t xml:space="preserve"> consumed the</w:t>
      </w:r>
      <w:r w:rsidR="00256C32">
        <w:rPr>
          <w:rFonts w:cs="Arial"/>
          <w:szCs w:val="22"/>
        </w:rPr>
        <w:t>se</w:t>
      </w:r>
      <w:r w:rsidR="00D33562" w:rsidRPr="001C7C12">
        <w:rPr>
          <w:rFonts w:cs="Arial"/>
          <w:szCs w:val="22"/>
        </w:rPr>
        <w:t xml:space="preserve"> food</w:t>
      </w:r>
      <w:r w:rsidR="00256C32">
        <w:rPr>
          <w:rFonts w:cs="Arial"/>
          <w:szCs w:val="22"/>
        </w:rPr>
        <w:t xml:space="preserve">s, </w:t>
      </w:r>
      <w:r w:rsidR="00D33562" w:rsidRPr="001C7C12">
        <w:rPr>
          <w:rFonts w:cs="Arial"/>
          <w:szCs w:val="22"/>
        </w:rPr>
        <w:t xml:space="preserve">they </w:t>
      </w:r>
      <w:r w:rsidR="00256C32">
        <w:rPr>
          <w:rFonts w:cs="Arial"/>
          <w:szCs w:val="22"/>
        </w:rPr>
        <w:t>were</w:t>
      </w:r>
      <w:r w:rsidR="00D33562" w:rsidRPr="001C7C12">
        <w:rPr>
          <w:rFonts w:cs="Arial"/>
          <w:szCs w:val="22"/>
        </w:rPr>
        <w:t xml:space="preserve"> not counted as a consumer of </w:t>
      </w:r>
      <w:r w:rsidR="0036079D">
        <w:rPr>
          <w:rFonts w:cs="Arial"/>
          <w:szCs w:val="22"/>
        </w:rPr>
        <w:t xml:space="preserve">foods containing </w:t>
      </w:r>
      <w:r w:rsidR="00D33562" w:rsidRPr="001C7C12">
        <w:rPr>
          <w:rFonts w:cs="Arial"/>
          <w:szCs w:val="22"/>
        </w:rPr>
        <w:t xml:space="preserve">HCN as </w:t>
      </w:r>
      <w:r w:rsidR="00256C32">
        <w:rPr>
          <w:rFonts w:cs="Arial"/>
          <w:szCs w:val="22"/>
        </w:rPr>
        <w:t xml:space="preserve">the concentration </w:t>
      </w:r>
      <w:r w:rsidR="006E1FE2">
        <w:rPr>
          <w:rFonts w:cs="Arial"/>
          <w:szCs w:val="22"/>
        </w:rPr>
        <w:t>was</w:t>
      </w:r>
      <w:r w:rsidR="00256C32">
        <w:rPr>
          <w:rFonts w:cs="Arial"/>
          <w:szCs w:val="22"/>
        </w:rPr>
        <w:t xml:space="preserve"> zero and therefore </w:t>
      </w:r>
      <w:r w:rsidR="00D33562" w:rsidRPr="001C7C12">
        <w:rPr>
          <w:rFonts w:cs="Arial"/>
          <w:szCs w:val="22"/>
        </w:rPr>
        <w:t xml:space="preserve">their exposure </w:t>
      </w:r>
      <w:r w:rsidR="006E1FE2">
        <w:rPr>
          <w:rFonts w:cs="Arial"/>
          <w:szCs w:val="22"/>
        </w:rPr>
        <w:t>was</w:t>
      </w:r>
      <w:r w:rsidR="00D33562" w:rsidRPr="001C7C12">
        <w:rPr>
          <w:rFonts w:cs="Arial"/>
          <w:szCs w:val="22"/>
        </w:rPr>
        <w:t xml:space="preserve"> zero from that food. One impact of this is that the exposures for the lower and upper bound </w:t>
      </w:r>
      <w:r w:rsidR="00256C32">
        <w:rPr>
          <w:rFonts w:cs="Arial"/>
          <w:szCs w:val="22"/>
        </w:rPr>
        <w:t xml:space="preserve">concentrations </w:t>
      </w:r>
      <w:r w:rsidR="00D33562" w:rsidRPr="001C7C12">
        <w:rPr>
          <w:rFonts w:cs="Arial"/>
          <w:szCs w:val="22"/>
        </w:rPr>
        <w:t>cannot be presented as a range.</w:t>
      </w:r>
    </w:p>
    <w:p w:rsidR="00D33562" w:rsidRPr="001C7C12" w:rsidRDefault="00D33562"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rsidR="00D33562" w:rsidRDefault="00D33562" w:rsidP="00D33562">
      <w:r w:rsidRPr="001C7C12">
        <w:rPr>
          <w:rFonts w:cs="Arial"/>
          <w:szCs w:val="22"/>
        </w:rPr>
        <w:t xml:space="preserve">The major contributors to </w:t>
      </w:r>
      <w:r w:rsidR="002D2D7E">
        <w:rPr>
          <w:rFonts w:cs="Arial"/>
          <w:szCs w:val="22"/>
        </w:rPr>
        <w:t xml:space="preserve">estimated </w:t>
      </w:r>
      <w:r w:rsidRPr="001C7C12">
        <w:rPr>
          <w:rFonts w:cs="Arial"/>
          <w:szCs w:val="22"/>
        </w:rPr>
        <w:t xml:space="preserve">chronic dietary exposure to HCN (≥5% contribution for at least one population group) are shown in </w:t>
      </w:r>
      <w:hyperlink w:anchor="Table13" w:history="1">
        <w:r w:rsidRPr="004C6379">
          <w:fldChar w:fldCharType="begin"/>
        </w:r>
        <w:r w:rsidRPr="004C6379">
          <w:instrText xml:space="preserve"> REF _Ref338051547 \h  \* MERGEFORMAT </w:instrText>
        </w:r>
        <w:r w:rsidRPr="004C6379">
          <w:fldChar w:fldCharType="separate"/>
        </w:r>
        <w:r w:rsidR="00794D8F" w:rsidRPr="002D2572">
          <w:t xml:space="preserve">Table </w:t>
        </w:r>
        <w:r w:rsidRPr="004C6379">
          <w:fldChar w:fldCharType="end"/>
        </w:r>
        <w:r w:rsidR="00425868">
          <w:t>11</w:t>
        </w:r>
        <w:r w:rsidRPr="004C6379">
          <w:t>.</w:t>
        </w:r>
      </w:hyperlink>
      <w:r w:rsidR="006F4F65">
        <w:t xml:space="preserve"> </w:t>
      </w:r>
      <w:r w:rsidR="006E1FE2">
        <w:rPr>
          <w:rFonts w:cs="Arial"/>
          <w:szCs w:val="22"/>
        </w:rPr>
        <w:t>Bread containing linseed</w:t>
      </w:r>
      <w:r w:rsidRPr="001C7C12">
        <w:rPr>
          <w:rFonts w:cs="Arial"/>
          <w:szCs w:val="22"/>
        </w:rPr>
        <w:t xml:space="preserve"> was a major contributor </w:t>
      </w:r>
      <w:r w:rsidR="00C62236">
        <w:rPr>
          <w:rFonts w:cs="Arial"/>
          <w:szCs w:val="22"/>
        </w:rPr>
        <w:t>in</w:t>
      </w:r>
      <w:r w:rsidRPr="001C7C12">
        <w:rPr>
          <w:rFonts w:cs="Arial"/>
          <w:szCs w:val="22"/>
        </w:rPr>
        <w:t xml:space="preserve"> all four population groups assessed (</w:t>
      </w:r>
      <w:r w:rsidR="007A6415" w:rsidRPr="001C7C12">
        <w:rPr>
          <w:rFonts w:cs="Arial"/>
          <w:szCs w:val="22"/>
        </w:rPr>
        <w:t>2</w:t>
      </w:r>
      <w:r w:rsidR="007A6415">
        <w:rPr>
          <w:rFonts w:cs="Arial"/>
          <w:szCs w:val="22"/>
        </w:rPr>
        <w:t>4</w:t>
      </w:r>
      <w:r w:rsidRPr="001C7C12">
        <w:rPr>
          <w:rFonts w:cs="Arial"/>
          <w:szCs w:val="22"/>
        </w:rPr>
        <w:t>-</w:t>
      </w:r>
      <w:r w:rsidR="007A6415" w:rsidRPr="001C7C12">
        <w:rPr>
          <w:rFonts w:cs="Arial"/>
          <w:szCs w:val="22"/>
        </w:rPr>
        <w:t>7</w:t>
      </w:r>
      <w:r w:rsidR="007A6415">
        <w:rPr>
          <w:rFonts w:cs="Arial"/>
          <w:szCs w:val="22"/>
        </w:rPr>
        <w:t>5</w:t>
      </w:r>
      <w:r w:rsidRPr="001C7C12">
        <w:rPr>
          <w:rFonts w:cs="Arial"/>
          <w:szCs w:val="22"/>
        </w:rPr>
        <w:t>%), as was RTE cassava chips (5-2</w:t>
      </w:r>
      <w:r w:rsidR="00B3483B">
        <w:rPr>
          <w:rFonts w:cs="Arial"/>
          <w:szCs w:val="22"/>
        </w:rPr>
        <w:t>2</w:t>
      </w:r>
      <w:r w:rsidRPr="001C7C12">
        <w:rPr>
          <w:rFonts w:cs="Arial"/>
          <w:szCs w:val="22"/>
        </w:rPr>
        <w:t xml:space="preserve">%). For Australian and New Zealand children </w:t>
      </w:r>
      <w:r w:rsidR="00B3483B">
        <w:rPr>
          <w:rFonts w:cs="Arial"/>
          <w:szCs w:val="22"/>
        </w:rPr>
        <w:t>an</w:t>
      </w:r>
      <w:r w:rsidRPr="001C7C12">
        <w:rPr>
          <w:rFonts w:cs="Arial"/>
          <w:szCs w:val="22"/>
        </w:rPr>
        <w:t>other high contributor</w:t>
      </w:r>
      <w:r w:rsidR="00B3483B">
        <w:rPr>
          <w:rFonts w:cs="Arial"/>
          <w:szCs w:val="22"/>
        </w:rPr>
        <w:t xml:space="preserve"> was</w:t>
      </w:r>
      <w:r w:rsidRPr="001C7C12">
        <w:rPr>
          <w:rFonts w:cs="Arial"/>
          <w:szCs w:val="22"/>
        </w:rPr>
        <w:t xml:space="preserve"> linseeds (2</w:t>
      </w:r>
      <w:r w:rsidR="00B3483B">
        <w:rPr>
          <w:rFonts w:cs="Arial"/>
          <w:szCs w:val="22"/>
        </w:rPr>
        <w:t>6</w:t>
      </w:r>
      <w:r w:rsidRPr="001C7C12">
        <w:rPr>
          <w:rFonts w:cs="Arial"/>
          <w:szCs w:val="22"/>
        </w:rPr>
        <w:t>-3</w:t>
      </w:r>
      <w:r w:rsidR="00B3483B">
        <w:rPr>
          <w:rFonts w:cs="Arial"/>
          <w:szCs w:val="22"/>
        </w:rPr>
        <w:t>2</w:t>
      </w:r>
      <w:r w:rsidRPr="001C7C12">
        <w:rPr>
          <w:rFonts w:cs="Arial"/>
          <w:szCs w:val="22"/>
        </w:rPr>
        <w:t xml:space="preserve">%). </w:t>
      </w:r>
      <w:r w:rsidR="007A6415">
        <w:rPr>
          <w:rFonts w:cs="Arial"/>
          <w:szCs w:val="22"/>
        </w:rPr>
        <w:t>C</w:t>
      </w:r>
      <w:r w:rsidRPr="001C7C12">
        <w:rPr>
          <w:rFonts w:cs="Arial"/>
          <w:szCs w:val="22"/>
        </w:rPr>
        <w:t>assava roots were a major contributor for New Zealanders (</w:t>
      </w:r>
      <w:r w:rsidR="007A6415">
        <w:rPr>
          <w:rFonts w:cs="Arial"/>
          <w:szCs w:val="22"/>
        </w:rPr>
        <w:t>7</w:t>
      </w:r>
      <w:r w:rsidRPr="001C7C12">
        <w:rPr>
          <w:rFonts w:cs="Arial"/>
          <w:szCs w:val="22"/>
        </w:rPr>
        <w:t>-</w:t>
      </w:r>
      <w:r w:rsidR="007A6415" w:rsidRPr="001C7C12">
        <w:rPr>
          <w:rFonts w:cs="Arial"/>
          <w:szCs w:val="22"/>
        </w:rPr>
        <w:t>1</w:t>
      </w:r>
      <w:r w:rsidR="007A6415">
        <w:rPr>
          <w:rFonts w:cs="Arial"/>
          <w:szCs w:val="22"/>
        </w:rPr>
        <w:t>3</w:t>
      </w:r>
      <w:r w:rsidRPr="001C7C12">
        <w:rPr>
          <w:rFonts w:cs="Arial"/>
          <w:szCs w:val="22"/>
        </w:rPr>
        <w:t>%)</w:t>
      </w:r>
      <w:r w:rsidR="0025584F">
        <w:rPr>
          <w:rFonts w:cs="Arial"/>
          <w:szCs w:val="22"/>
        </w:rPr>
        <w:t>, but not Australians</w:t>
      </w:r>
      <w:r w:rsidRPr="001C7C12">
        <w:rPr>
          <w:rFonts w:cs="Arial"/>
          <w:szCs w:val="22"/>
        </w:rPr>
        <w:t xml:space="preserve">. A full list of contributions for all foods can be found in </w:t>
      </w:r>
      <w:r w:rsidR="0022277C" w:rsidRPr="0025628B">
        <w:rPr>
          <w:rFonts w:cs="Arial"/>
          <w:szCs w:val="22"/>
        </w:rPr>
        <w:t>Appendix</w:t>
      </w:r>
      <w:r w:rsidR="0022277C" w:rsidRPr="002A17B7">
        <w:rPr>
          <w:rFonts w:cs="Arial"/>
          <w:szCs w:val="22"/>
        </w:rPr>
        <w:t xml:space="preserve"> </w:t>
      </w:r>
      <w:r w:rsidR="0025628B">
        <w:rPr>
          <w:rFonts w:cs="Arial"/>
          <w:szCs w:val="22"/>
        </w:rPr>
        <w:t>9</w:t>
      </w:r>
      <w:r w:rsidRPr="002A17B7">
        <w:rPr>
          <w:rFonts w:cs="Arial"/>
          <w:szCs w:val="22"/>
        </w:rPr>
        <w:t>.</w:t>
      </w:r>
    </w:p>
    <w:p w:rsidR="00D33562" w:rsidRDefault="00D33562" w:rsidP="00D33562">
      <w:pPr>
        <w:sectPr w:rsidR="00D33562" w:rsidSect="007677B7">
          <w:footerReference w:type="default" r:id="rId25"/>
          <w:pgSz w:w="11906" w:h="16838"/>
          <w:pgMar w:top="1440" w:right="1440" w:bottom="1440" w:left="1440" w:header="709" w:footer="709" w:gutter="0"/>
          <w:cols w:space="708"/>
          <w:docGrid w:linePitch="360"/>
        </w:sectPr>
      </w:pPr>
    </w:p>
    <w:p w:rsidR="00D33562" w:rsidRPr="00292D96" w:rsidRDefault="00D33562" w:rsidP="00391DE3">
      <w:pPr>
        <w:pStyle w:val="Heading3LT"/>
      </w:pPr>
      <w:bookmarkStart w:id="143" w:name="_Ref338426211"/>
      <w:bookmarkStart w:id="144" w:name="_Toc384293556"/>
      <w:bookmarkStart w:id="145" w:name="Table12"/>
      <w:r w:rsidRPr="00292D96">
        <w:lastRenderedPageBreak/>
        <w:t xml:space="preserve">Table </w:t>
      </w:r>
      <w:r w:rsidR="00292D96" w:rsidRPr="00292D96">
        <w:t>1</w:t>
      </w:r>
      <w:bookmarkEnd w:id="143"/>
      <w:r w:rsidR="00425868">
        <w:t>0</w:t>
      </w:r>
      <w:r w:rsidR="00292D96" w:rsidRPr="00292D96">
        <w:t>:</w:t>
      </w:r>
      <w:r w:rsidRPr="00292D96">
        <w:t xml:space="preserve"> Estimated chronic dietary exposures for consumers of </w:t>
      </w:r>
      <w:r w:rsidR="0036079D">
        <w:t xml:space="preserve">foods containing cyanogenic glycosides (measured as total </w:t>
      </w:r>
      <w:r w:rsidRPr="00292D96">
        <w:t>HCN</w:t>
      </w:r>
      <w:r w:rsidR="0036079D">
        <w:t>)</w:t>
      </w:r>
      <w:r w:rsidRPr="00292D96">
        <w:t xml:space="preserve"> for Australia</w:t>
      </w:r>
      <w:r w:rsidR="00292D96" w:rsidRPr="00292D96">
        <w:t>n</w:t>
      </w:r>
      <w:r w:rsidRPr="00292D96">
        <w:t xml:space="preserve"> and New Zealand population groups</w:t>
      </w:r>
      <w:bookmarkEnd w:id="144"/>
      <w:r w:rsidR="00292D96" w:rsidRPr="00292D96">
        <w:tab/>
      </w:r>
    </w:p>
    <w:tbl>
      <w:tblPr>
        <w:tblStyle w:val="MediumShading1-Accent1"/>
        <w:tblW w:w="13198" w:type="dxa"/>
        <w:tblBorders>
          <w:insideV w:val="single" w:sz="8" w:space="0" w:color="7BA0CD" w:themeColor="accent1" w:themeTint="BF"/>
        </w:tblBorders>
        <w:tblLook w:val="04A0" w:firstRow="1" w:lastRow="0" w:firstColumn="1" w:lastColumn="0" w:noHBand="0" w:noVBand="1"/>
      </w:tblPr>
      <w:tblGrid>
        <w:gridCol w:w="2209"/>
        <w:gridCol w:w="1417"/>
        <w:gridCol w:w="869"/>
        <w:gridCol w:w="1051"/>
        <w:gridCol w:w="1557"/>
        <w:gridCol w:w="992"/>
        <w:gridCol w:w="1134"/>
        <w:gridCol w:w="992"/>
        <w:gridCol w:w="993"/>
        <w:gridCol w:w="992"/>
        <w:gridCol w:w="992"/>
      </w:tblGrid>
      <w:tr w:rsidR="006E1FE2" w:rsidRPr="002D2572" w:rsidTr="00003C1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09" w:type="dxa"/>
            <w:vMerge w:val="restart"/>
            <w:tcBorders>
              <w:right w:val="single" w:sz="8" w:space="0" w:color="7BA0CD" w:themeColor="accent1" w:themeTint="BF"/>
            </w:tcBorders>
            <w:noWrap/>
            <w:hideMark/>
          </w:tcPr>
          <w:bookmarkEnd w:id="145"/>
          <w:p w:rsidR="00D33562" w:rsidRPr="002D2572" w:rsidRDefault="00D33562" w:rsidP="000644A3">
            <w:pPr>
              <w:rPr>
                <w:rFonts w:cs="Arial"/>
                <w:bCs w:val="0"/>
                <w:sz w:val="20"/>
                <w:szCs w:val="20"/>
                <w:lang w:eastAsia="en-GB"/>
              </w:rPr>
            </w:pPr>
            <w:r w:rsidRPr="002D2572">
              <w:rPr>
                <w:rFonts w:cs="Arial"/>
                <w:bCs w:val="0"/>
                <w:sz w:val="20"/>
                <w:szCs w:val="20"/>
                <w:lang w:eastAsia="en-GB"/>
              </w:rPr>
              <w:t>Population group</w:t>
            </w:r>
          </w:p>
        </w:tc>
        <w:tc>
          <w:tcPr>
            <w:tcW w:w="1417" w:type="dxa"/>
            <w:vMerge w:val="restart"/>
            <w:tcBorders>
              <w:left w:val="single" w:sz="8" w:space="0" w:color="7BA0CD" w:themeColor="accent1" w:themeTint="BF"/>
              <w:right w:val="single" w:sz="8" w:space="0" w:color="7BA0CD" w:themeColor="accent1" w:themeTint="BF"/>
            </w:tcBorders>
            <w:hideMark/>
          </w:tcPr>
          <w:p w:rsidR="00D33562" w:rsidRPr="002D2572" w:rsidRDefault="00D33562" w:rsidP="000644A3">
            <w:pPr>
              <w:cnfStyle w:val="100000000000" w:firstRow="1" w:lastRow="0" w:firstColumn="0" w:lastColumn="0" w:oddVBand="0" w:evenVBand="0" w:oddHBand="0" w:evenHBand="0" w:firstRowFirstColumn="0" w:firstRowLastColumn="0" w:lastRowFirstColumn="0" w:lastRowLastColumn="0"/>
              <w:rPr>
                <w:rFonts w:cs="Arial"/>
                <w:bCs w:val="0"/>
                <w:sz w:val="20"/>
                <w:szCs w:val="20"/>
                <w:lang w:eastAsia="en-GB"/>
              </w:rPr>
            </w:pPr>
            <w:r w:rsidRPr="002D2572">
              <w:rPr>
                <w:rFonts w:cs="Arial"/>
                <w:bCs w:val="0"/>
                <w:sz w:val="20"/>
                <w:szCs w:val="20"/>
                <w:lang w:eastAsia="en-GB"/>
              </w:rPr>
              <w:t>Number of respondents</w:t>
            </w:r>
          </w:p>
        </w:tc>
        <w:tc>
          <w:tcPr>
            <w:tcW w:w="1920" w:type="dxa"/>
            <w:gridSpan w:val="2"/>
            <w:vMerge w:val="restart"/>
            <w:tcBorders>
              <w:left w:val="single" w:sz="8" w:space="0" w:color="7BA0CD" w:themeColor="accent1" w:themeTint="BF"/>
              <w:right w:val="single" w:sz="8" w:space="0" w:color="7BA0CD" w:themeColor="accent1" w:themeTint="BF"/>
            </w:tcBorders>
            <w:noWrap/>
            <w:hideMark/>
          </w:tcPr>
          <w:p w:rsidR="00D33562" w:rsidRPr="002D2572" w:rsidRDefault="00D33562" w:rsidP="00A93CEE">
            <w:pPr>
              <w:jc w:val="center"/>
              <w:cnfStyle w:val="100000000000" w:firstRow="1" w:lastRow="0" w:firstColumn="0" w:lastColumn="0" w:oddVBand="0" w:evenVBand="0" w:oddHBand="0" w:evenHBand="0" w:firstRowFirstColumn="0" w:firstRowLastColumn="0" w:lastRowFirstColumn="0" w:lastRowLastColumn="0"/>
              <w:rPr>
                <w:rFonts w:cs="Arial"/>
                <w:bCs w:val="0"/>
                <w:sz w:val="20"/>
                <w:szCs w:val="20"/>
                <w:lang w:eastAsia="en-GB"/>
              </w:rPr>
            </w:pPr>
            <w:r w:rsidRPr="002D2572">
              <w:rPr>
                <w:rFonts w:cs="Arial"/>
                <w:bCs w:val="0"/>
                <w:sz w:val="20"/>
                <w:szCs w:val="20"/>
                <w:lang w:eastAsia="en-GB"/>
              </w:rPr>
              <w:t>Number of consumers</w:t>
            </w:r>
          </w:p>
        </w:tc>
        <w:tc>
          <w:tcPr>
            <w:tcW w:w="1557" w:type="dxa"/>
            <w:vMerge w:val="restart"/>
            <w:tcBorders>
              <w:left w:val="single" w:sz="8" w:space="0" w:color="7BA0CD" w:themeColor="accent1" w:themeTint="BF"/>
              <w:right w:val="single" w:sz="8" w:space="0" w:color="7BA0CD" w:themeColor="accent1" w:themeTint="BF"/>
            </w:tcBorders>
            <w:noWrap/>
            <w:hideMark/>
          </w:tcPr>
          <w:p w:rsidR="00D33562" w:rsidRPr="002D2572" w:rsidRDefault="00D33562" w:rsidP="000644A3">
            <w:pPr>
              <w:cnfStyle w:val="100000000000" w:firstRow="1" w:lastRow="0" w:firstColumn="0" w:lastColumn="0" w:oddVBand="0" w:evenVBand="0" w:oddHBand="0" w:evenHBand="0" w:firstRowFirstColumn="0" w:firstRowLastColumn="0" w:lastRowFirstColumn="0" w:lastRowLastColumn="0"/>
              <w:rPr>
                <w:rFonts w:cs="Arial"/>
                <w:bCs w:val="0"/>
                <w:sz w:val="20"/>
                <w:szCs w:val="20"/>
                <w:lang w:eastAsia="en-GB"/>
              </w:rPr>
            </w:pPr>
            <w:r w:rsidRPr="002D2572">
              <w:rPr>
                <w:rFonts w:cs="Arial"/>
                <w:bCs w:val="0"/>
                <w:sz w:val="20"/>
                <w:szCs w:val="20"/>
                <w:lang w:eastAsia="en-GB"/>
              </w:rPr>
              <w:t>Exposure units</w:t>
            </w:r>
          </w:p>
        </w:tc>
        <w:tc>
          <w:tcPr>
            <w:tcW w:w="6095" w:type="dxa"/>
            <w:gridSpan w:val="6"/>
            <w:tcBorders>
              <w:left w:val="single" w:sz="8" w:space="0" w:color="7BA0CD" w:themeColor="accent1" w:themeTint="BF"/>
            </w:tcBorders>
            <w:noWrap/>
            <w:hideMark/>
          </w:tcPr>
          <w:p w:rsidR="00D33562" w:rsidRPr="002D2572" w:rsidRDefault="00D33562" w:rsidP="00823493">
            <w:pPr>
              <w:jc w:val="center"/>
              <w:cnfStyle w:val="100000000000" w:firstRow="1" w:lastRow="0" w:firstColumn="0" w:lastColumn="0" w:oddVBand="0" w:evenVBand="0" w:oddHBand="0" w:evenHBand="0" w:firstRowFirstColumn="0" w:firstRowLastColumn="0" w:lastRowFirstColumn="0" w:lastRowLastColumn="0"/>
              <w:rPr>
                <w:rFonts w:cs="Arial"/>
                <w:bCs w:val="0"/>
                <w:sz w:val="20"/>
                <w:szCs w:val="20"/>
                <w:lang w:eastAsia="en-GB"/>
              </w:rPr>
            </w:pPr>
            <w:r w:rsidRPr="002D2572">
              <w:rPr>
                <w:rFonts w:cs="Arial"/>
                <w:bCs w:val="0"/>
                <w:sz w:val="20"/>
                <w:szCs w:val="20"/>
                <w:lang w:eastAsia="en-GB"/>
              </w:rPr>
              <w:t>Estimated dietary exposure</w:t>
            </w:r>
          </w:p>
        </w:tc>
      </w:tr>
      <w:tr w:rsidR="006E1FE2" w:rsidRPr="002D2572" w:rsidTr="00003C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09" w:type="dxa"/>
            <w:vMerge/>
            <w:tcBorders>
              <w:right w:val="single" w:sz="8" w:space="0" w:color="7BA0CD" w:themeColor="accent1" w:themeTint="BF"/>
            </w:tcBorders>
            <w:shd w:val="clear" w:color="auto" w:fill="4F81BD" w:themeFill="accent1"/>
            <w:noWrap/>
            <w:hideMark/>
          </w:tcPr>
          <w:p w:rsidR="00D33562" w:rsidRPr="002D2572" w:rsidRDefault="00D33562" w:rsidP="00823493">
            <w:pPr>
              <w:rPr>
                <w:rFonts w:cs="Arial"/>
                <w:bCs w:val="0"/>
                <w:color w:val="FFFFFF" w:themeColor="background1"/>
                <w:sz w:val="20"/>
                <w:szCs w:val="20"/>
                <w:lang w:eastAsia="en-GB"/>
              </w:rPr>
            </w:pPr>
          </w:p>
        </w:tc>
        <w:tc>
          <w:tcPr>
            <w:tcW w:w="1417" w:type="dxa"/>
            <w:vMerge/>
            <w:tcBorders>
              <w:left w:val="single" w:sz="8" w:space="0" w:color="7BA0CD" w:themeColor="accent1" w:themeTint="BF"/>
              <w:right w:val="single" w:sz="8" w:space="0" w:color="7BA0CD" w:themeColor="accent1" w:themeTint="BF"/>
            </w:tcBorders>
            <w:shd w:val="clear" w:color="auto" w:fill="4F81BD" w:themeFill="accent1"/>
            <w:hideMark/>
          </w:tcPr>
          <w:p w:rsidR="00D33562" w:rsidRPr="002D2572" w:rsidRDefault="00D33562" w:rsidP="00823493">
            <w:pPr>
              <w:jc w:val="right"/>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p>
        </w:tc>
        <w:tc>
          <w:tcPr>
            <w:tcW w:w="1920" w:type="dxa"/>
            <w:gridSpan w:val="2"/>
            <w:vMerge/>
            <w:tcBorders>
              <w:left w:val="single" w:sz="8" w:space="0" w:color="7BA0CD" w:themeColor="accent1" w:themeTint="BF"/>
              <w:right w:val="single" w:sz="8" w:space="0" w:color="7BA0CD" w:themeColor="accent1" w:themeTint="BF"/>
            </w:tcBorders>
            <w:shd w:val="clear" w:color="auto" w:fill="4F81BD" w:themeFill="accent1"/>
            <w:noWrap/>
            <w:hideMark/>
          </w:tcPr>
          <w:p w:rsidR="00D33562" w:rsidRPr="002D2572" w:rsidRDefault="00D33562" w:rsidP="00823493">
            <w:pPr>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p>
        </w:tc>
        <w:tc>
          <w:tcPr>
            <w:tcW w:w="1557" w:type="dxa"/>
            <w:vMerge/>
            <w:tcBorders>
              <w:left w:val="single" w:sz="8" w:space="0" w:color="7BA0CD" w:themeColor="accent1" w:themeTint="BF"/>
              <w:right w:val="single" w:sz="8" w:space="0" w:color="7BA0CD" w:themeColor="accent1" w:themeTint="BF"/>
            </w:tcBorders>
            <w:shd w:val="clear" w:color="auto" w:fill="4F81BD" w:themeFill="accent1"/>
            <w:noWrap/>
            <w:hideMark/>
          </w:tcPr>
          <w:p w:rsidR="00D33562" w:rsidRPr="002D2572" w:rsidRDefault="00D33562" w:rsidP="00823493">
            <w:pP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p>
        </w:tc>
        <w:tc>
          <w:tcPr>
            <w:tcW w:w="2126" w:type="dxa"/>
            <w:gridSpan w:val="2"/>
            <w:tcBorders>
              <w:left w:val="single" w:sz="8" w:space="0" w:color="7BA0CD" w:themeColor="accent1" w:themeTint="BF"/>
              <w:right w:val="single" w:sz="8" w:space="0" w:color="7BA0CD" w:themeColor="accent1" w:themeTint="BF"/>
            </w:tcBorders>
            <w:shd w:val="clear" w:color="auto" w:fill="4F81BD" w:themeFill="accent1"/>
            <w:noWrap/>
            <w:hideMark/>
          </w:tcPr>
          <w:p w:rsidR="00D33562" w:rsidRPr="002D2572" w:rsidRDefault="00D33562" w:rsidP="00823493">
            <w:pPr>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r w:rsidRPr="002D2572">
              <w:rPr>
                <w:rFonts w:cs="Arial"/>
                <w:b/>
                <w:bCs/>
                <w:color w:val="FFFFFF" w:themeColor="background1"/>
                <w:sz w:val="20"/>
                <w:szCs w:val="20"/>
                <w:lang w:eastAsia="en-GB"/>
              </w:rPr>
              <w:t>All respondents</w:t>
            </w:r>
          </w:p>
        </w:tc>
        <w:tc>
          <w:tcPr>
            <w:tcW w:w="3969" w:type="dxa"/>
            <w:gridSpan w:val="4"/>
            <w:tcBorders>
              <w:left w:val="single" w:sz="8" w:space="0" w:color="7BA0CD" w:themeColor="accent1" w:themeTint="BF"/>
            </w:tcBorders>
            <w:shd w:val="clear" w:color="auto" w:fill="4F81BD" w:themeFill="accent1"/>
            <w:noWrap/>
            <w:hideMark/>
          </w:tcPr>
          <w:p w:rsidR="00D33562" w:rsidRPr="002D2572" w:rsidRDefault="00D33562" w:rsidP="00823493">
            <w:pPr>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r w:rsidRPr="002D2572">
              <w:rPr>
                <w:rFonts w:cs="Arial"/>
                <w:b/>
                <w:bCs/>
                <w:color w:val="FFFFFF" w:themeColor="background1"/>
                <w:sz w:val="20"/>
                <w:szCs w:val="20"/>
                <w:lang w:eastAsia="en-GB"/>
              </w:rPr>
              <w:t>Consumers only</w:t>
            </w:r>
          </w:p>
        </w:tc>
      </w:tr>
      <w:tr w:rsidR="006E1FE2" w:rsidRPr="002D2572" w:rsidTr="00003C1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09" w:type="dxa"/>
            <w:vMerge/>
            <w:tcBorders>
              <w:right w:val="single" w:sz="8" w:space="0" w:color="7BA0CD" w:themeColor="accent1" w:themeTint="BF"/>
            </w:tcBorders>
            <w:shd w:val="clear" w:color="auto" w:fill="4F81BD" w:themeFill="accent1"/>
            <w:hideMark/>
          </w:tcPr>
          <w:p w:rsidR="00D33562" w:rsidRPr="002D2572" w:rsidRDefault="00D33562" w:rsidP="00823493">
            <w:pPr>
              <w:rPr>
                <w:rFonts w:cs="Arial"/>
                <w:bCs w:val="0"/>
                <w:color w:val="FFFFFF" w:themeColor="background1"/>
                <w:sz w:val="20"/>
                <w:szCs w:val="20"/>
                <w:lang w:eastAsia="en-GB"/>
              </w:rPr>
            </w:pPr>
          </w:p>
        </w:tc>
        <w:tc>
          <w:tcPr>
            <w:tcW w:w="1417" w:type="dxa"/>
            <w:vMerge/>
            <w:tcBorders>
              <w:left w:val="single" w:sz="8" w:space="0" w:color="7BA0CD" w:themeColor="accent1" w:themeTint="BF"/>
              <w:right w:val="single" w:sz="8" w:space="0" w:color="7BA0CD" w:themeColor="accent1" w:themeTint="BF"/>
            </w:tcBorders>
            <w:shd w:val="clear" w:color="auto" w:fill="4F81BD" w:themeFill="accent1"/>
            <w:hideMark/>
          </w:tcPr>
          <w:p w:rsidR="00D33562" w:rsidRPr="002D2572" w:rsidRDefault="00D33562" w:rsidP="00823493">
            <w:pPr>
              <w:cnfStyle w:val="000000010000" w:firstRow="0" w:lastRow="0" w:firstColumn="0" w:lastColumn="0" w:oddVBand="0" w:evenVBand="0" w:oddHBand="0" w:evenHBand="1" w:firstRowFirstColumn="0" w:firstRowLastColumn="0" w:lastRowFirstColumn="0" w:lastRowLastColumn="0"/>
              <w:rPr>
                <w:rFonts w:cs="Arial"/>
                <w:b/>
                <w:bCs/>
                <w:color w:val="FFFFFF" w:themeColor="background1"/>
                <w:sz w:val="20"/>
                <w:szCs w:val="20"/>
                <w:lang w:eastAsia="en-GB"/>
              </w:rPr>
            </w:pPr>
          </w:p>
        </w:tc>
        <w:tc>
          <w:tcPr>
            <w:tcW w:w="1920" w:type="dxa"/>
            <w:gridSpan w:val="2"/>
            <w:tcBorders>
              <w:left w:val="single" w:sz="8" w:space="0" w:color="7BA0CD" w:themeColor="accent1" w:themeTint="BF"/>
              <w:right w:val="single" w:sz="8" w:space="0" w:color="7BA0CD" w:themeColor="accent1" w:themeTint="BF"/>
            </w:tcBorders>
            <w:shd w:val="clear" w:color="auto" w:fill="4F81BD" w:themeFill="accent1"/>
            <w:noWrap/>
            <w:hideMark/>
          </w:tcPr>
          <w:p w:rsidR="00D33562" w:rsidRPr="002D2572" w:rsidRDefault="00D33562" w:rsidP="000644A3">
            <w:pPr>
              <w:jc w:val="center"/>
              <w:cnfStyle w:val="000000010000" w:firstRow="0" w:lastRow="0" w:firstColumn="0" w:lastColumn="0" w:oddVBand="0" w:evenVBand="0" w:oddHBand="0" w:evenHBand="1" w:firstRowFirstColumn="0" w:firstRowLastColumn="0" w:lastRowFirstColumn="0" w:lastRowLastColumn="0"/>
              <w:rPr>
                <w:rFonts w:cs="Arial"/>
                <w:b/>
                <w:bCs/>
                <w:color w:val="FFFFFF" w:themeColor="background1"/>
                <w:sz w:val="20"/>
                <w:szCs w:val="20"/>
                <w:lang w:eastAsia="en-GB"/>
              </w:rPr>
            </w:pPr>
            <w:r w:rsidRPr="002D2572">
              <w:rPr>
                <w:rFonts w:cs="Arial"/>
                <w:b/>
                <w:bCs/>
                <w:color w:val="FFFFFF" w:themeColor="background1"/>
                <w:sz w:val="20"/>
                <w:szCs w:val="20"/>
                <w:lang w:eastAsia="en-GB"/>
              </w:rPr>
              <w:t>(% consumers)</w:t>
            </w:r>
          </w:p>
        </w:tc>
        <w:tc>
          <w:tcPr>
            <w:tcW w:w="1557" w:type="dxa"/>
            <w:vMerge/>
            <w:tcBorders>
              <w:left w:val="single" w:sz="8" w:space="0" w:color="7BA0CD" w:themeColor="accent1" w:themeTint="BF"/>
              <w:right w:val="single" w:sz="8" w:space="0" w:color="7BA0CD" w:themeColor="accent1" w:themeTint="BF"/>
            </w:tcBorders>
            <w:shd w:val="clear" w:color="auto" w:fill="4F81BD" w:themeFill="accent1"/>
            <w:hideMark/>
          </w:tcPr>
          <w:p w:rsidR="00D33562" w:rsidRPr="002D2572" w:rsidRDefault="00D33562" w:rsidP="00823493">
            <w:pPr>
              <w:cnfStyle w:val="000000010000" w:firstRow="0" w:lastRow="0" w:firstColumn="0" w:lastColumn="0" w:oddVBand="0" w:evenVBand="0" w:oddHBand="0" w:evenHBand="1" w:firstRowFirstColumn="0" w:firstRowLastColumn="0" w:lastRowFirstColumn="0" w:lastRowLastColumn="0"/>
              <w:rPr>
                <w:rFonts w:cs="Arial"/>
                <w:b/>
                <w:bCs/>
                <w:color w:val="FFFFFF" w:themeColor="background1"/>
                <w:sz w:val="20"/>
                <w:szCs w:val="20"/>
                <w:lang w:eastAsia="en-GB"/>
              </w:rPr>
            </w:pPr>
          </w:p>
        </w:tc>
        <w:tc>
          <w:tcPr>
            <w:tcW w:w="2126" w:type="dxa"/>
            <w:gridSpan w:val="2"/>
            <w:tcBorders>
              <w:left w:val="single" w:sz="8" w:space="0" w:color="7BA0CD" w:themeColor="accent1" w:themeTint="BF"/>
              <w:right w:val="single" w:sz="8" w:space="0" w:color="7BA0CD" w:themeColor="accent1" w:themeTint="BF"/>
            </w:tcBorders>
            <w:shd w:val="clear" w:color="auto" w:fill="4F81BD" w:themeFill="accent1"/>
            <w:noWrap/>
            <w:hideMark/>
          </w:tcPr>
          <w:p w:rsidR="00D33562" w:rsidRPr="002D2572" w:rsidRDefault="00D33562" w:rsidP="000644A3">
            <w:pPr>
              <w:jc w:val="center"/>
              <w:cnfStyle w:val="000000010000" w:firstRow="0" w:lastRow="0" w:firstColumn="0" w:lastColumn="0" w:oddVBand="0" w:evenVBand="0" w:oddHBand="0" w:evenHBand="1" w:firstRowFirstColumn="0" w:firstRowLastColumn="0" w:lastRowFirstColumn="0" w:lastRowLastColumn="0"/>
              <w:rPr>
                <w:rFonts w:cs="Arial"/>
                <w:b/>
                <w:bCs/>
                <w:color w:val="FFFFFF" w:themeColor="background1"/>
                <w:sz w:val="20"/>
                <w:szCs w:val="20"/>
                <w:lang w:eastAsia="en-GB"/>
              </w:rPr>
            </w:pPr>
            <w:r w:rsidRPr="002D2572">
              <w:rPr>
                <w:rFonts w:cs="Arial"/>
                <w:b/>
                <w:bCs/>
                <w:color w:val="FFFFFF" w:themeColor="background1"/>
                <w:sz w:val="20"/>
                <w:szCs w:val="20"/>
                <w:lang w:eastAsia="en-GB"/>
              </w:rPr>
              <w:t>Mean</w:t>
            </w:r>
          </w:p>
        </w:tc>
        <w:tc>
          <w:tcPr>
            <w:tcW w:w="1985" w:type="dxa"/>
            <w:gridSpan w:val="2"/>
            <w:tcBorders>
              <w:left w:val="single" w:sz="8" w:space="0" w:color="7BA0CD" w:themeColor="accent1" w:themeTint="BF"/>
              <w:right w:val="single" w:sz="8" w:space="0" w:color="7BA0CD" w:themeColor="accent1" w:themeTint="BF"/>
            </w:tcBorders>
            <w:shd w:val="clear" w:color="auto" w:fill="4F81BD" w:themeFill="accent1"/>
            <w:noWrap/>
            <w:hideMark/>
          </w:tcPr>
          <w:p w:rsidR="00D33562" w:rsidRPr="002D2572" w:rsidRDefault="00D33562" w:rsidP="000644A3">
            <w:pPr>
              <w:jc w:val="center"/>
              <w:cnfStyle w:val="000000010000" w:firstRow="0" w:lastRow="0" w:firstColumn="0" w:lastColumn="0" w:oddVBand="0" w:evenVBand="0" w:oddHBand="0" w:evenHBand="1" w:firstRowFirstColumn="0" w:firstRowLastColumn="0" w:lastRowFirstColumn="0" w:lastRowLastColumn="0"/>
              <w:rPr>
                <w:rFonts w:cs="Arial"/>
                <w:b/>
                <w:bCs/>
                <w:color w:val="FFFFFF" w:themeColor="background1"/>
                <w:sz w:val="20"/>
                <w:szCs w:val="20"/>
                <w:lang w:eastAsia="en-GB"/>
              </w:rPr>
            </w:pPr>
            <w:r w:rsidRPr="002D2572">
              <w:rPr>
                <w:rFonts w:cs="Arial"/>
                <w:b/>
                <w:bCs/>
                <w:color w:val="FFFFFF" w:themeColor="background1"/>
                <w:sz w:val="20"/>
                <w:szCs w:val="20"/>
                <w:lang w:eastAsia="en-GB"/>
              </w:rPr>
              <w:t>Mean</w:t>
            </w:r>
          </w:p>
        </w:tc>
        <w:tc>
          <w:tcPr>
            <w:tcW w:w="1984" w:type="dxa"/>
            <w:gridSpan w:val="2"/>
            <w:tcBorders>
              <w:left w:val="single" w:sz="8" w:space="0" w:color="7BA0CD" w:themeColor="accent1" w:themeTint="BF"/>
            </w:tcBorders>
            <w:shd w:val="clear" w:color="auto" w:fill="4F81BD" w:themeFill="accent1"/>
            <w:noWrap/>
            <w:hideMark/>
          </w:tcPr>
          <w:p w:rsidR="00D33562" w:rsidRPr="002D2572" w:rsidRDefault="00D33562" w:rsidP="000644A3">
            <w:pPr>
              <w:jc w:val="center"/>
              <w:cnfStyle w:val="000000010000" w:firstRow="0" w:lastRow="0" w:firstColumn="0" w:lastColumn="0" w:oddVBand="0" w:evenVBand="0" w:oddHBand="0" w:evenHBand="1" w:firstRowFirstColumn="0" w:firstRowLastColumn="0" w:lastRowFirstColumn="0" w:lastRowLastColumn="0"/>
              <w:rPr>
                <w:rFonts w:cs="Arial"/>
                <w:b/>
                <w:bCs/>
                <w:color w:val="FFFFFF" w:themeColor="background1"/>
                <w:sz w:val="20"/>
                <w:szCs w:val="20"/>
                <w:lang w:eastAsia="en-GB"/>
              </w:rPr>
            </w:pPr>
            <w:r w:rsidRPr="002D2572">
              <w:rPr>
                <w:rFonts w:cs="Arial"/>
                <w:b/>
                <w:bCs/>
                <w:color w:val="FFFFFF" w:themeColor="background1"/>
                <w:sz w:val="20"/>
                <w:szCs w:val="20"/>
                <w:lang w:eastAsia="en-GB"/>
              </w:rPr>
              <w:t>90</w:t>
            </w:r>
            <w:r w:rsidRPr="002D2572">
              <w:rPr>
                <w:rFonts w:cs="Arial"/>
                <w:b/>
                <w:bCs/>
                <w:color w:val="FFFFFF" w:themeColor="background1"/>
                <w:sz w:val="20"/>
                <w:szCs w:val="20"/>
                <w:vertAlign w:val="superscript"/>
                <w:lang w:eastAsia="en-GB"/>
              </w:rPr>
              <w:t>th</w:t>
            </w:r>
            <w:r w:rsidRPr="002D2572">
              <w:rPr>
                <w:rFonts w:cs="Arial"/>
                <w:b/>
                <w:bCs/>
                <w:color w:val="FFFFFF" w:themeColor="background1"/>
                <w:sz w:val="20"/>
                <w:szCs w:val="20"/>
                <w:lang w:eastAsia="en-GB"/>
              </w:rPr>
              <w:t xml:space="preserve"> percentile</w:t>
            </w:r>
          </w:p>
        </w:tc>
      </w:tr>
      <w:tr w:rsidR="006E40A8" w:rsidRPr="006E1FE2" w:rsidTr="00003C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09" w:type="dxa"/>
            <w:vMerge/>
            <w:tcBorders>
              <w:right w:val="single" w:sz="8" w:space="0" w:color="7BA0CD" w:themeColor="accent1" w:themeTint="BF"/>
            </w:tcBorders>
            <w:shd w:val="clear" w:color="auto" w:fill="4F81BD" w:themeFill="accent1"/>
            <w:hideMark/>
          </w:tcPr>
          <w:p w:rsidR="00D33562" w:rsidRPr="006E1FE2" w:rsidRDefault="00D33562" w:rsidP="00823493">
            <w:pPr>
              <w:rPr>
                <w:rFonts w:cs="Arial"/>
                <w:b w:val="0"/>
                <w:bCs w:val="0"/>
                <w:color w:val="FFFFFF" w:themeColor="background1"/>
                <w:sz w:val="20"/>
                <w:szCs w:val="20"/>
                <w:lang w:eastAsia="en-GB"/>
              </w:rPr>
            </w:pPr>
          </w:p>
        </w:tc>
        <w:tc>
          <w:tcPr>
            <w:tcW w:w="1417" w:type="dxa"/>
            <w:vMerge/>
            <w:tcBorders>
              <w:left w:val="single" w:sz="8" w:space="0" w:color="7BA0CD" w:themeColor="accent1" w:themeTint="BF"/>
              <w:right w:val="single" w:sz="8" w:space="0" w:color="7BA0CD" w:themeColor="accent1" w:themeTint="BF"/>
            </w:tcBorders>
            <w:shd w:val="clear" w:color="auto" w:fill="4F81BD" w:themeFill="accent1"/>
            <w:hideMark/>
          </w:tcPr>
          <w:p w:rsidR="00D33562" w:rsidRPr="006E1FE2" w:rsidRDefault="00D33562" w:rsidP="00823493">
            <w:pP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p>
        </w:tc>
        <w:tc>
          <w:tcPr>
            <w:tcW w:w="869" w:type="dxa"/>
            <w:tcBorders>
              <w:left w:val="single" w:sz="8" w:space="0" w:color="7BA0CD" w:themeColor="accent1" w:themeTint="BF"/>
              <w:right w:val="single" w:sz="8" w:space="0" w:color="7BA0CD" w:themeColor="accent1" w:themeTint="BF"/>
            </w:tcBorders>
            <w:shd w:val="clear" w:color="auto" w:fill="4F81BD" w:themeFill="accent1"/>
            <w:noWrap/>
            <w:hideMark/>
          </w:tcPr>
          <w:p w:rsidR="00D33562" w:rsidRPr="006E1FE2" w:rsidRDefault="00D33562" w:rsidP="000F40D6">
            <w:pPr>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r w:rsidRPr="006E1FE2">
              <w:rPr>
                <w:rFonts w:cs="Arial"/>
                <w:b/>
                <w:bCs/>
                <w:color w:val="FFFFFF" w:themeColor="background1"/>
                <w:sz w:val="20"/>
                <w:szCs w:val="20"/>
                <w:lang w:eastAsia="en-GB"/>
              </w:rPr>
              <w:t>LB</w:t>
            </w:r>
          </w:p>
        </w:tc>
        <w:tc>
          <w:tcPr>
            <w:tcW w:w="1051" w:type="dxa"/>
            <w:tcBorders>
              <w:left w:val="single" w:sz="8" w:space="0" w:color="7BA0CD" w:themeColor="accent1" w:themeTint="BF"/>
              <w:right w:val="single" w:sz="8" w:space="0" w:color="7BA0CD" w:themeColor="accent1" w:themeTint="BF"/>
            </w:tcBorders>
            <w:shd w:val="clear" w:color="auto" w:fill="4F81BD" w:themeFill="accent1"/>
            <w:noWrap/>
            <w:hideMark/>
          </w:tcPr>
          <w:p w:rsidR="00D33562" w:rsidRPr="006E1FE2" w:rsidRDefault="00D33562" w:rsidP="00D23A1C">
            <w:pPr>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r w:rsidRPr="006E1FE2">
              <w:rPr>
                <w:rFonts w:cs="Arial"/>
                <w:b/>
                <w:bCs/>
                <w:color w:val="FFFFFF" w:themeColor="background1"/>
                <w:sz w:val="20"/>
                <w:szCs w:val="20"/>
                <w:lang w:eastAsia="en-GB"/>
              </w:rPr>
              <w:t>UB</w:t>
            </w:r>
          </w:p>
        </w:tc>
        <w:tc>
          <w:tcPr>
            <w:tcW w:w="1557" w:type="dxa"/>
            <w:vMerge/>
            <w:tcBorders>
              <w:left w:val="single" w:sz="8" w:space="0" w:color="7BA0CD" w:themeColor="accent1" w:themeTint="BF"/>
              <w:right w:val="single" w:sz="8" w:space="0" w:color="7BA0CD" w:themeColor="accent1" w:themeTint="BF"/>
            </w:tcBorders>
            <w:shd w:val="clear" w:color="auto" w:fill="4F81BD" w:themeFill="accent1"/>
            <w:hideMark/>
          </w:tcPr>
          <w:p w:rsidR="00D33562" w:rsidRPr="006E1FE2" w:rsidRDefault="00D33562" w:rsidP="00823493">
            <w:pP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p>
        </w:tc>
        <w:tc>
          <w:tcPr>
            <w:tcW w:w="992" w:type="dxa"/>
            <w:tcBorders>
              <w:left w:val="single" w:sz="8" w:space="0" w:color="7BA0CD" w:themeColor="accent1" w:themeTint="BF"/>
              <w:right w:val="single" w:sz="8" w:space="0" w:color="7BA0CD" w:themeColor="accent1" w:themeTint="BF"/>
            </w:tcBorders>
            <w:shd w:val="clear" w:color="auto" w:fill="4F81BD" w:themeFill="accent1"/>
            <w:noWrap/>
            <w:hideMark/>
          </w:tcPr>
          <w:p w:rsidR="00D33562" w:rsidRPr="006E1FE2" w:rsidRDefault="00D33562" w:rsidP="00823493">
            <w:pPr>
              <w:jc w:val="right"/>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r w:rsidRPr="006E1FE2">
              <w:rPr>
                <w:rFonts w:cs="Arial"/>
                <w:b/>
                <w:bCs/>
                <w:color w:val="FFFFFF" w:themeColor="background1"/>
                <w:sz w:val="20"/>
                <w:szCs w:val="20"/>
                <w:lang w:eastAsia="en-GB"/>
              </w:rPr>
              <w:t>LB</w:t>
            </w:r>
          </w:p>
        </w:tc>
        <w:tc>
          <w:tcPr>
            <w:tcW w:w="1134" w:type="dxa"/>
            <w:tcBorders>
              <w:left w:val="single" w:sz="8" w:space="0" w:color="7BA0CD" w:themeColor="accent1" w:themeTint="BF"/>
              <w:right w:val="single" w:sz="8" w:space="0" w:color="7BA0CD" w:themeColor="accent1" w:themeTint="BF"/>
            </w:tcBorders>
            <w:shd w:val="clear" w:color="auto" w:fill="4F81BD" w:themeFill="accent1"/>
            <w:noWrap/>
            <w:hideMark/>
          </w:tcPr>
          <w:p w:rsidR="00D33562" w:rsidRPr="006E1FE2" w:rsidRDefault="00D33562" w:rsidP="00823493">
            <w:pPr>
              <w:jc w:val="right"/>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r w:rsidRPr="006E1FE2">
              <w:rPr>
                <w:rFonts w:cs="Arial"/>
                <w:b/>
                <w:bCs/>
                <w:color w:val="FFFFFF" w:themeColor="background1"/>
                <w:sz w:val="20"/>
                <w:szCs w:val="20"/>
                <w:lang w:eastAsia="en-GB"/>
              </w:rPr>
              <w:t>UB</w:t>
            </w:r>
          </w:p>
        </w:tc>
        <w:tc>
          <w:tcPr>
            <w:tcW w:w="992" w:type="dxa"/>
            <w:tcBorders>
              <w:left w:val="single" w:sz="8" w:space="0" w:color="7BA0CD" w:themeColor="accent1" w:themeTint="BF"/>
              <w:right w:val="single" w:sz="8" w:space="0" w:color="7BA0CD" w:themeColor="accent1" w:themeTint="BF"/>
            </w:tcBorders>
            <w:shd w:val="clear" w:color="auto" w:fill="4F81BD" w:themeFill="accent1"/>
            <w:noWrap/>
            <w:hideMark/>
          </w:tcPr>
          <w:p w:rsidR="00D33562" w:rsidRPr="006E1FE2" w:rsidRDefault="00D33562" w:rsidP="00823493">
            <w:pPr>
              <w:jc w:val="right"/>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r w:rsidRPr="006E1FE2">
              <w:rPr>
                <w:rFonts w:cs="Arial"/>
                <w:b/>
                <w:bCs/>
                <w:color w:val="FFFFFF" w:themeColor="background1"/>
                <w:sz w:val="20"/>
                <w:szCs w:val="20"/>
                <w:lang w:eastAsia="en-GB"/>
              </w:rPr>
              <w:t>LB</w:t>
            </w:r>
          </w:p>
        </w:tc>
        <w:tc>
          <w:tcPr>
            <w:tcW w:w="993" w:type="dxa"/>
            <w:tcBorders>
              <w:left w:val="single" w:sz="8" w:space="0" w:color="7BA0CD" w:themeColor="accent1" w:themeTint="BF"/>
              <w:right w:val="single" w:sz="8" w:space="0" w:color="7BA0CD" w:themeColor="accent1" w:themeTint="BF"/>
            </w:tcBorders>
            <w:shd w:val="clear" w:color="auto" w:fill="4F81BD" w:themeFill="accent1"/>
            <w:noWrap/>
            <w:hideMark/>
          </w:tcPr>
          <w:p w:rsidR="00D33562" w:rsidRPr="006E1FE2" w:rsidRDefault="00D33562" w:rsidP="00823493">
            <w:pPr>
              <w:jc w:val="right"/>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r w:rsidRPr="006E1FE2">
              <w:rPr>
                <w:rFonts w:cs="Arial"/>
                <w:b/>
                <w:bCs/>
                <w:color w:val="FFFFFF" w:themeColor="background1"/>
                <w:sz w:val="20"/>
                <w:szCs w:val="20"/>
                <w:lang w:eastAsia="en-GB"/>
              </w:rPr>
              <w:t>UB</w:t>
            </w:r>
          </w:p>
        </w:tc>
        <w:tc>
          <w:tcPr>
            <w:tcW w:w="992" w:type="dxa"/>
            <w:tcBorders>
              <w:left w:val="single" w:sz="8" w:space="0" w:color="7BA0CD" w:themeColor="accent1" w:themeTint="BF"/>
              <w:right w:val="single" w:sz="8" w:space="0" w:color="7BA0CD" w:themeColor="accent1" w:themeTint="BF"/>
            </w:tcBorders>
            <w:shd w:val="clear" w:color="auto" w:fill="4F81BD" w:themeFill="accent1"/>
            <w:noWrap/>
            <w:hideMark/>
          </w:tcPr>
          <w:p w:rsidR="00D33562" w:rsidRPr="006E1FE2" w:rsidRDefault="00D33562" w:rsidP="00823493">
            <w:pPr>
              <w:jc w:val="right"/>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r w:rsidRPr="006E1FE2">
              <w:rPr>
                <w:rFonts w:cs="Arial"/>
                <w:b/>
                <w:bCs/>
                <w:color w:val="FFFFFF" w:themeColor="background1"/>
                <w:sz w:val="20"/>
                <w:szCs w:val="20"/>
                <w:lang w:eastAsia="en-GB"/>
              </w:rPr>
              <w:t>LB</w:t>
            </w:r>
          </w:p>
        </w:tc>
        <w:tc>
          <w:tcPr>
            <w:tcW w:w="992" w:type="dxa"/>
            <w:tcBorders>
              <w:left w:val="single" w:sz="8" w:space="0" w:color="7BA0CD" w:themeColor="accent1" w:themeTint="BF"/>
            </w:tcBorders>
            <w:shd w:val="clear" w:color="auto" w:fill="4F81BD" w:themeFill="accent1"/>
            <w:noWrap/>
            <w:hideMark/>
          </w:tcPr>
          <w:p w:rsidR="00D33562" w:rsidRPr="006E1FE2" w:rsidRDefault="00D33562" w:rsidP="00823493">
            <w:pPr>
              <w:jc w:val="right"/>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r w:rsidRPr="006E1FE2">
              <w:rPr>
                <w:rFonts w:cs="Arial"/>
                <w:b/>
                <w:bCs/>
                <w:color w:val="FFFFFF" w:themeColor="background1"/>
                <w:sz w:val="20"/>
                <w:szCs w:val="20"/>
                <w:lang w:eastAsia="en-GB"/>
              </w:rPr>
              <w:t>UB</w:t>
            </w:r>
          </w:p>
        </w:tc>
      </w:tr>
      <w:tr w:rsidR="006E40A8" w:rsidRPr="00292D96" w:rsidTr="00003C1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09" w:type="dxa"/>
            <w:vMerge w:val="restart"/>
            <w:tcBorders>
              <w:right w:val="single" w:sz="8" w:space="0" w:color="7BA0CD" w:themeColor="accent1" w:themeTint="BF"/>
            </w:tcBorders>
            <w:shd w:val="clear" w:color="auto" w:fill="D3DFEE"/>
            <w:noWrap/>
            <w:hideMark/>
          </w:tcPr>
          <w:p w:rsidR="008D6371" w:rsidRPr="00292D96" w:rsidRDefault="008D6371" w:rsidP="00823493">
            <w:pPr>
              <w:rPr>
                <w:rFonts w:cs="Arial"/>
                <w:color w:val="000000"/>
                <w:sz w:val="20"/>
                <w:szCs w:val="20"/>
                <w:lang w:eastAsia="en-GB"/>
              </w:rPr>
            </w:pPr>
            <w:r w:rsidRPr="00292D96">
              <w:rPr>
                <w:rFonts w:cs="Arial"/>
                <w:color w:val="000000"/>
                <w:sz w:val="20"/>
                <w:szCs w:val="20"/>
                <w:lang w:eastAsia="en-GB"/>
              </w:rPr>
              <w:t xml:space="preserve">Australia </w:t>
            </w:r>
            <w:r w:rsidRPr="00292D96">
              <w:rPr>
                <w:rFonts w:cs="Arial"/>
                <w:color w:val="000000"/>
                <w:sz w:val="20"/>
                <w:szCs w:val="20"/>
                <w:lang w:eastAsia="en-GB"/>
              </w:rPr>
              <w:br/>
              <w:t>2-16 years</w:t>
            </w:r>
          </w:p>
        </w:tc>
        <w:tc>
          <w:tcPr>
            <w:tcW w:w="1417" w:type="dxa"/>
            <w:vMerge w:val="restart"/>
            <w:tcBorders>
              <w:left w:val="single" w:sz="8" w:space="0" w:color="7BA0CD" w:themeColor="accent1" w:themeTint="BF"/>
              <w:right w:val="single" w:sz="8" w:space="0" w:color="7BA0CD" w:themeColor="accent1" w:themeTint="BF"/>
            </w:tcBorders>
            <w:shd w:val="clear" w:color="auto" w:fill="D3DFEE"/>
            <w:noWrap/>
            <w:hideMark/>
          </w:tcPr>
          <w:p w:rsidR="008D6371" w:rsidRPr="00292D96" w:rsidRDefault="008D6371"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92D96">
              <w:rPr>
                <w:rFonts w:cs="Arial"/>
                <w:color w:val="000000"/>
                <w:sz w:val="20"/>
                <w:szCs w:val="20"/>
                <w:lang w:eastAsia="en-GB"/>
              </w:rPr>
              <w:t>4,487</w:t>
            </w:r>
          </w:p>
        </w:tc>
        <w:tc>
          <w:tcPr>
            <w:tcW w:w="869" w:type="dxa"/>
            <w:tcBorders>
              <w:left w:val="single" w:sz="8" w:space="0" w:color="7BA0CD" w:themeColor="accent1" w:themeTint="BF"/>
              <w:bottom w:val="nil"/>
              <w:right w:val="single" w:sz="8" w:space="0" w:color="7BA0CD" w:themeColor="accent1" w:themeTint="BF"/>
            </w:tcBorders>
            <w:shd w:val="clear" w:color="auto" w:fill="D3DFEE"/>
            <w:noWrap/>
            <w:hideMark/>
          </w:tcPr>
          <w:p w:rsidR="008D6371" w:rsidRPr="00292D96" w:rsidRDefault="008D6371" w:rsidP="00A638EF">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92D96">
              <w:rPr>
                <w:rFonts w:cs="Arial"/>
                <w:color w:val="000000"/>
                <w:sz w:val="20"/>
                <w:szCs w:val="20"/>
                <w:lang w:eastAsia="en-GB"/>
              </w:rPr>
              <w:t>3,</w:t>
            </w:r>
            <w:r w:rsidR="00A638EF" w:rsidRPr="00292D96">
              <w:rPr>
                <w:rFonts w:cs="Arial"/>
                <w:color w:val="000000"/>
                <w:sz w:val="20"/>
                <w:szCs w:val="20"/>
                <w:lang w:eastAsia="en-GB"/>
              </w:rPr>
              <w:t>85</w:t>
            </w:r>
            <w:r w:rsidR="00A638EF">
              <w:rPr>
                <w:rFonts w:cs="Arial"/>
                <w:color w:val="000000"/>
                <w:sz w:val="20"/>
                <w:szCs w:val="20"/>
                <w:lang w:eastAsia="en-GB"/>
              </w:rPr>
              <w:t>9</w:t>
            </w:r>
          </w:p>
        </w:tc>
        <w:tc>
          <w:tcPr>
            <w:tcW w:w="1051" w:type="dxa"/>
            <w:tcBorders>
              <w:left w:val="single" w:sz="8" w:space="0" w:color="7BA0CD" w:themeColor="accent1" w:themeTint="BF"/>
              <w:bottom w:val="nil"/>
              <w:right w:val="single" w:sz="8" w:space="0" w:color="7BA0CD" w:themeColor="accent1" w:themeTint="BF"/>
            </w:tcBorders>
            <w:shd w:val="clear" w:color="auto" w:fill="D3DFEE"/>
            <w:noWrap/>
            <w:hideMark/>
          </w:tcPr>
          <w:p w:rsidR="008D6371" w:rsidRPr="00292D96" w:rsidRDefault="008D6371"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92D96">
              <w:rPr>
                <w:rFonts w:cs="Arial"/>
                <w:color w:val="000000"/>
                <w:sz w:val="20"/>
                <w:szCs w:val="20"/>
                <w:lang w:eastAsia="en-GB"/>
              </w:rPr>
              <w:t>4,456</w:t>
            </w:r>
          </w:p>
        </w:tc>
        <w:tc>
          <w:tcPr>
            <w:tcW w:w="1557" w:type="dxa"/>
            <w:tcBorders>
              <w:left w:val="single" w:sz="8" w:space="0" w:color="7BA0CD" w:themeColor="accent1" w:themeTint="BF"/>
              <w:bottom w:val="nil"/>
              <w:right w:val="single" w:sz="8" w:space="0" w:color="7BA0CD" w:themeColor="accent1" w:themeTint="BF"/>
            </w:tcBorders>
            <w:shd w:val="clear" w:color="auto" w:fill="D3DFEE"/>
            <w:noWrap/>
            <w:hideMark/>
          </w:tcPr>
          <w:p w:rsidR="008D6371" w:rsidRPr="00292D96" w:rsidRDefault="008D6371"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92D96">
              <w:rPr>
                <w:rFonts w:cs="Arial"/>
                <w:color w:val="000000"/>
                <w:sz w:val="20"/>
                <w:szCs w:val="20"/>
                <w:lang w:eastAsia="en-GB"/>
              </w:rPr>
              <w:t>µg/day</w:t>
            </w:r>
          </w:p>
        </w:tc>
        <w:tc>
          <w:tcPr>
            <w:tcW w:w="992" w:type="dxa"/>
            <w:tcBorders>
              <w:left w:val="single" w:sz="8" w:space="0" w:color="7BA0CD" w:themeColor="accent1" w:themeTint="BF"/>
              <w:bottom w:val="nil"/>
              <w:right w:val="single" w:sz="8" w:space="0" w:color="7BA0CD" w:themeColor="accent1" w:themeTint="BF"/>
            </w:tcBorders>
            <w:shd w:val="clear" w:color="auto" w:fill="D3DFEE"/>
            <w:noWrap/>
            <w:hideMark/>
          </w:tcPr>
          <w:p w:rsidR="008D6371" w:rsidRPr="00292D96" w:rsidRDefault="008D6371"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D130D8">
              <w:t>47</w:t>
            </w:r>
          </w:p>
        </w:tc>
        <w:tc>
          <w:tcPr>
            <w:tcW w:w="1134" w:type="dxa"/>
            <w:tcBorders>
              <w:left w:val="single" w:sz="8" w:space="0" w:color="7BA0CD" w:themeColor="accent1" w:themeTint="BF"/>
              <w:bottom w:val="nil"/>
              <w:right w:val="single" w:sz="8" w:space="0" w:color="7BA0CD" w:themeColor="accent1" w:themeTint="BF"/>
            </w:tcBorders>
            <w:shd w:val="clear" w:color="auto" w:fill="D3DFEE"/>
            <w:noWrap/>
            <w:hideMark/>
          </w:tcPr>
          <w:p w:rsidR="008D6371" w:rsidRPr="00292D96" w:rsidRDefault="008D6371"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D130D8">
              <w:t>81</w:t>
            </w:r>
          </w:p>
        </w:tc>
        <w:tc>
          <w:tcPr>
            <w:tcW w:w="992" w:type="dxa"/>
            <w:tcBorders>
              <w:left w:val="single" w:sz="8" w:space="0" w:color="7BA0CD" w:themeColor="accent1" w:themeTint="BF"/>
              <w:bottom w:val="nil"/>
              <w:right w:val="single" w:sz="8" w:space="0" w:color="7BA0CD" w:themeColor="accent1" w:themeTint="BF"/>
            </w:tcBorders>
            <w:shd w:val="clear" w:color="auto" w:fill="D3DFEE"/>
            <w:noWrap/>
            <w:hideMark/>
          </w:tcPr>
          <w:p w:rsidR="008D6371" w:rsidRPr="00292D96" w:rsidRDefault="008D6371"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D130D8">
              <w:t>55</w:t>
            </w:r>
          </w:p>
        </w:tc>
        <w:tc>
          <w:tcPr>
            <w:tcW w:w="993" w:type="dxa"/>
            <w:tcBorders>
              <w:left w:val="single" w:sz="8" w:space="0" w:color="7BA0CD" w:themeColor="accent1" w:themeTint="BF"/>
              <w:bottom w:val="nil"/>
              <w:right w:val="single" w:sz="8" w:space="0" w:color="7BA0CD" w:themeColor="accent1" w:themeTint="BF"/>
            </w:tcBorders>
            <w:shd w:val="clear" w:color="auto" w:fill="D3DFEE"/>
            <w:noWrap/>
            <w:hideMark/>
          </w:tcPr>
          <w:p w:rsidR="008D6371" w:rsidRPr="00292D96" w:rsidRDefault="008D6371"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D130D8">
              <w:t>82</w:t>
            </w:r>
          </w:p>
        </w:tc>
        <w:tc>
          <w:tcPr>
            <w:tcW w:w="992" w:type="dxa"/>
            <w:tcBorders>
              <w:left w:val="single" w:sz="8" w:space="0" w:color="7BA0CD" w:themeColor="accent1" w:themeTint="BF"/>
              <w:bottom w:val="nil"/>
              <w:right w:val="single" w:sz="8" w:space="0" w:color="7BA0CD" w:themeColor="accent1" w:themeTint="BF"/>
            </w:tcBorders>
            <w:shd w:val="clear" w:color="auto" w:fill="D3DFEE"/>
            <w:noWrap/>
            <w:hideMark/>
          </w:tcPr>
          <w:p w:rsidR="008D6371" w:rsidRPr="00292D96" w:rsidRDefault="008D6371"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D130D8">
              <w:t>81</w:t>
            </w:r>
          </w:p>
        </w:tc>
        <w:tc>
          <w:tcPr>
            <w:tcW w:w="992" w:type="dxa"/>
            <w:tcBorders>
              <w:left w:val="single" w:sz="8" w:space="0" w:color="7BA0CD" w:themeColor="accent1" w:themeTint="BF"/>
              <w:bottom w:val="nil"/>
            </w:tcBorders>
            <w:shd w:val="clear" w:color="auto" w:fill="D3DFEE"/>
            <w:noWrap/>
            <w:hideMark/>
          </w:tcPr>
          <w:p w:rsidR="008D6371" w:rsidRPr="00292D96" w:rsidRDefault="008D6371"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D130D8">
              <w:t>146</w:t>
            </w:r>
          </w:p>
        </w:tc>
      </w:tr>
      <w:tr w:rsidR="006E40A8" w:rsidRPr="00292D96" w:rsidTr="00003C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09" w:type="dxa"/>
            <w:vMerge/>
            <w:tcBorders>
              <w:right w:val="single" w:sz="8" w:space="0" w:color="7BA0CD" w:themeColor="accent1" w:themeTint="BF"/>
            </w:tcBorders>
            <w:shd w:val="clear" w:color="auto" w:fill="D3DFEE"/>
            <w:hideMark/>
          </w:tcPr>
          <w:p w:rsidR="008D6371" w:rsidRPr="00292D96" w:rsidRDefault="008D6371" w:rsidP="00823493">
            <w:pPr>
              <w:rPr>
                <w:rFonts w:cs="Arial"/>
                <w:color w:val="000000"/>
                <w:sz w:val="20"/>
                <w:szCs w:val="20"/>
                <w:lang w:eastAsia="en-GB"/>
              </w:rPr>
            </w:pPr>
          </w:p>
        </w:tc>
        <w:tc>
          <w:tcPr>
            <w:tcW w:w="1417" w:type="dxa"/>
            <w:vMerge/>
            <w:tcBorders>
              <w:left w:val="single" w:sz="8" w:space="0" w:color="7BA0CD" w:themeColor="accent1" w:themeTint="BF"/>
              <w:right w:val="single" w:sz="8" w:space="0" w:color="7BA0CD" w:themeColor="accent1" w:themeTint="BF"/>
            </w:tcBorders>
            <w:shd w:val="clear" w:color="auto" w:fill="D3DFEE"/>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p>
        </w:tc>
        <w:tc>
          <w:tcPr>
            <w:tcW w:w="869" w:type="dxa"/>
            <w:tcBorders>
              <w:top w:val="nil"/>
              <w:left w:val="single" w:sz="8" w:space="0" w:color="7BA0CD" w:themeColor="accent1" w:themeTint="BF"/>
              <w:right w:val="single" w:sz="8" w:space="0" w:color="7BA0CD" w:themeColor="accent1" w:themeTint="BF"/>
            </w:tcBorders>
            <w:shd w:val="clear" w:color="auto" w:fill="D3DFEE"/>
            <w:noWrap/>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92D96">
              <w:rPr>
                <w:rFonts w:cs="Arial"/>
                <w:color w:val="000000"/>
                <w:sz w:val="20"/>
                <w:szCs w:val="20"/>
                <w:lang w:eastAsia="en-GB"/>
              </w:rPr>
              <w:t>(86.0)</w:t>
            </w:r>
          </w:p>
        </w:tc>
        <w:tc>
          <w:tcPr>
            <w:tcW w:w="1051" w:type="dxa"/>
            <w:tcBorders>
              <w:top w:val="nil"/>
              <w:left w:val="single" w:sz="8" w:space="0" w:color="7BA0CD" w:themeColor="accent1" w:themeTint="BF"/>
              <w:right w:val="single" w:sz="8" w:space="0" w:color="7BA0CD" w:themeColor="accent1" w:themeTint="BF"/>
            </w:tcBorders>
            <w:shd w:val="clear" w:color="auto" w:fill="D3DFEE"/>
            <w:noWrap/>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92D96">
              <w:rPr>
                <w:rFonts w:cs="Arial"/>
                <w:color w:val="000000"/>
                <w:sz w:val="20"/>
                <w:szCs w:val="20"/>
                <w:lang w:eastAsia="en-GB"/>
              </w:rPr>
              <w:t>(99.3)</w:t>
            </w:r>
          </w:p>
        </w:tc>
        <w:tc>
          <w:tcPr>
            <w:tcW w:w="1557" w:type="dxa"/>
            <w:tcBorders>
              <w:top w:val="nil"/>
              <w:left w:val="single" w:sz="8" w:space="0" w:color="7BA0CD" w:themeColor="accent1" w:themeTint="BF"/>
              <w:right w:val="single" w:sz="8" w:space="0" w:color="7BA0CD" w:themeColor="accent1" w:themeTint="BF"/>
            </w:tcBorders>
            <w:shd w:val="clear" w:color="auto" w:fill="D3DFEE"/>
            <w:noWrap/>
            <w:hideMark/>
          </w:tcPr>
          <w:p w:rsidR="008D6371" w:rsidRPr="00292D96" w:rsidRDefault="008D6371"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92D96">
              <w:rPr>
                <w:rFonts w:cs="Arial"/>
                <w:color w:val="000000"/>
                <w:sz w:val="20"/>
                <w:szCs w:val="20"/>
                <w:lang w:eastAsia="en-GB"/>
              </w:rPr>
              <w:t>µg/kg bw/day</w:t>
            </w:r>
          </w:p>
        </w:tc>
        <w:tc>
          <w:tcPr>
            <w:tcW w:w="992" w:type="dxa"/>
            <w:tcBorders>
              <w:top w:val="nil"/>
              <w:left w:val="single" w:sz="8" w:space="0" w:color="7BA0CD" w:themeColor="accent1" w:themeTint="BF"/>
              <w:right w:val="single" w:sz="8" w:space="0" w:color="7BA0CD" w:themeColor="accent1" w:themeTint="BF"/>
            </w:tcBorders>
            <w:shd w:val="clear" w:color="auto" w:fill="D3DFEE"/>
            <w:noWrap/>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D130D8">
              <w:t>2</w:t>
            </w:r>
          </w:p>
        </w:tc>
        <w:tc>
          <w:tcPr>
            <w:tcW w:w="1134" w:type="dxa"/>
            <w:tcBorders>
              <w:top w:val="nil"/>
              <w:left w:val="single" w:sz="8" w:space="0" w:color="7BA0CD" w:themeColor="accent1" w:themeTint="BF"/>
              <w:right w:val="single" w:sz="8" w:space="0" w:color="7BA0CD" w:themeColor="accent1" w:themeTint="BF"/>
            </w:tcBorders>
            <w:shd w:val="clear" w:color="auto" w:fill="D3DFEE"/>
            <w:noWrap/>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D130D8">
              <w:t>3</w:t>
            </w:r>
          </w:p>
        </w:tc>
        <w:tc>
          <w:tcPr>
            <w:tcW w:w="992" w:type="dxa"/>
            <w:tcBorders>
              <w:top w:val="nil"/>
              <w:left w:val="single" w:sz="8" w:space="0" w:color="7BA0CD" w:themeColor="accent1" w:themeTint="BF"/>
              <w:right w:val="single" w:sz="8" w:space="0" w:color="7BA0CD" w:themeColor="accent1" w:themeTint="BF"/>
            </w:tcBorders>
            <w:shd w:val="clear" w:color="auto" w:fill="D3DFEE"/>
            <w:noWrap/>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D130D8">
              <w:t>2</w:t>
            </w:r>
          </w:p>
        </w:tc>
        <w:tc>
          <w:tcPr>
            <w:tcW w:w="993" w:type="dxa"/>
            <w:tcBorders>
              <w:top w:val="nil"/>
              <w:left w:val="single" w:sz="8" w:space="0" w:color="7BA0CD" w:themeColor="accent1" w:themeTint="BF"/>
              <w:right w:val="single" w:sz="8" w:space="0" w:color="7BA0CD" w:themeColor="accent1" w:themeTint="BF"/>
            </w:tcBorders>
            <w:shd w:val="clear" w:color="auto" w:fill="D3DFEE"/>
            <w:noWrap/>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D130D8">
              <w:t>3</w:t>
            </w:r>
          </w:p>
        </w:tc>
        <w:tc>
          <w:tcPr>
            <w:tcW w:w="992" w:type="dxa"/>
            <w:tcBorders>
              <w:top w:val="nil"/>
              <w:left w:val="single" w:sz="8" w:space="0" w:color="7BA0CD" w:themeColor="accent1" w:themeTint="BF"/>
              <w:right w:val="single" w:sz="8" w:space="0" w:color="7BA0CD" w:themeColor="accent1" w:themeTint="BF"/>
            </w:tcBorders>
            <w:shd w:val="clear" w:color="auto" w:fill="D3DFEE"/>
            <w:noWrap/>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D130D8">
              <w:t>3</w:t>
            </w:r>
          </w:p>
        </w:tc>
        <w:tc>
          <w:tcPr>
            <w:tcW w:w="992" w:type="dxa"/>
            <w:tcBorders>
              <w:top w:val="nil"/>
              <w:left w:val="single" w:sz="8" w:space="0" w:color="7BA0CD" w:themeColor="accent1" w:themeTint="BF"/>
            </w:tcBorders>
            <w:shd w:val="clear" w:color="auto" w:fill="D3DFEE"/>
            <w:noWrap/>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D130D8">
              <w:t>5</w:t>
            </w:r>
          </w:p>
        </w:tc>
      </w:tr>
      <w:tr w:rsidR="008D6371" w:rsidRPr="00292D96" w:rsidTr="00003C1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09" w:type="dxa"/>
            <w:vMerge w:val="restart"/>
            <w:tcBorders>
              <w:right w:val="single" w:sz="8" w:space="0" w:color="7BA0CD" w:themeColor="accent1" w:themeTint="BF"/>
            </w:tcBorders>
            <w:shd w:val="clear" w:color="auto" w:fill="auto"/>
            <w:noWrap/>
            <w:hideMark/>
          </w:tcPr>
          <w:p w:rsidR="008D6371" w:rsidRPr="00292D96" w:rsidRDefault="008D6371" w:rsidP="00823493">
            <w:pPr>
              <w:rPr>
                <w:rFonts w:cs="Arial"/>
                <w:color w:val="000000"/>
                <w:sz w:val="20"/>
                <w:szCs w:val="20"/>
                <w:lang w:eastAsia="en-GB"/>
              </w:rPr>
            </w:pPr>
            <w:r w:rsidRPr="00292D96">
              <w:rPr>
                <w:rFonts w:cs="Arial"/>
                <w:color w:val="000000"/>
                <w:sz w:val="20"/>
                <w:szCs w:val="20"/>
                <w:lang w:eastAsia="en-GB"/>
              </w:rPr>
              <w:t xml:space="preserve">Australia </w:t>
            </w:r>
            <w:r w:rsidRPr="00292D96">
              <w:rPr>
                <w:rFonts w:cs="Arial"/>
                <w:color w:val="000000"/>
                <w:sz w:val="20"/>
                <w:szCs w:val="20"/>
                <w:lang w:eastAsia="en-GB"/>
              </w:rPr>
              <w:br/>
              <w:t>17 years and above</w:t>
            </w:r>
          </w:p>
        </w:tc>
        <w:tc>
          <w:tcPr>
            <w:tcW w:w="1417" w:type="dxa"/>
            <w:vMerge w:val="restart"/>
            <w:tcBorders>
              <w:left w:val="single" w:sz="8" w:space="0" w:color="7BA0CD" w:themeColor="accent1" w:themeTint="BF"/>
              <w:right w:val="single" w:sz="8" w:space="0" w:color="7BA0CD" w:themeColor="accent1" w:themeTint="BF"/>
            </w:tcBorders>
            <w:shd w:val="clear" w:color="auto" w:fill="auto"/>
            <w:noWrap/>
            <w:hideMark/>
          </w:tcPr>
          <w:p w:rsidR="008D6371" w:rsidRPr="00292D96" w:rsidRDefault="008D6371"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92D96">
              <w:rPr>
                <w:rFonts w:cs="Arial"/>
                <w:color w:val="000000"/>
                <w:sz w:val="20"/>
                <w:szCs w:val="20"/>
                <w:lang w:eastAsia="en-GB"/>
              </w:rPr>
              <w:t>11,129</w:t>
            </w:r>
          </w:p>
        </w:tc>
        <w:tc>
          <w:tcPr>
            <w:tcW w:w="869" w:type="dxa"/>
            <w:tcBorders>
              <w:left w:val="single" w:sz="8" w:space="0" w:color="7BA0CD" w:themeColor="accent1" w:themeTint="BF"/>
              <w:bottom w:val="nil"/>
              <w:right w:val="single" w:sz="8" w:space="0" w:color="7BA0CD" w:themeColor="accent1" w:themeTint="BF"/>
            </w:tcBorders>
            <w:shd w:val="clear" w:color="auto" w:fill="auto"/>
            <w:noWrap/>
            <w:hideMark/>
          </w:tcPr>
          <w:p w:rsidR="008D6371" w:rsidRPr="00292D96" w:rsidRDefault="008D6371" w:rsidP="00A638EF">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92D96">
              <w:rPr>
                <w:rFonts w:cs="Arial"/>
                <w:color w:val="000000"/>
                <w:sz w:val="20"/>
                <w:szCs w:val="20"/>
                <w:lang w:eastAsia="en-GB"/>
              </w:rPr>
              <w:t>6,</w:t>
            </w:r>
            <w:r w:rsidR="00A638EF" w:rsidRPr="00292D96">
              <w:rPr>
                <w:rFonts w:cs="Arial"/>
                <w:color w:val="000000"/>
                <w:sz w:val="20"/>
                <w:szCs w:val="20"/>
                <w:lang w:eastAsia="en-GB"/>
              </w:rPr>
              <w:t>14</w:t>
            </w:r>
            <w:r w:rsidR="00A638EF">
              <w:rPr>
                <w:rFonts w:cs="Arial"/>
                <w:color w:val="000000"/>
                <w:sz w:val="20"/>
                <w:szCs w:val="20"/>
                <w:lang w:eastAsia="en-GB"/>
              </w:rPr>
              <w:t>6</w:t>
            </w:r>
          </w:p>
        </w:tc>
        <w:tc>
          <w:tcPr>
            <w:tcW w:w="1051" w:type="dxa"/>
            <w:tcBorders>
              <w:left w:val="single" w:sz="8" w:space="0" w:color="7BA0CD" w:themeColor="accent1" w:themeTint="BF"/>
              <w:bottom w:val="nil"/>
              <w:right w:val="single" w:sz="8" w:space="0" w:color="7BA0CD" w:themeColor="accent1" w:themeTint="BF"/>
            </w:tcBorders>
            <w:shd w:val="clear" w:color="auto" w:fill="auto"/>
            <w:noWrap/>
            <w:hideMark/>
          </w:tcPr>
          <w:p w:rsidR="008D6371" w:rsidRPr="00292D96" w:rsidRDefault="008D6371"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92D96">
              <w:rPr>
                <w:rFonts w:cs="Arial"/>
                <w:color w:val="000000"/>
                <w:sz w:val="20"/>
                <w:szCs w:val="20"/>
                <w:lang w:eastAsia="en-GB"/>
              </w:rPr>
              <w:t>10,186</w:t>
            </w:r>
          </w:p>
        </w:tc>
        <w:tc>
          <w:tcPr>
            <w:tcW w:w="1557" w:type="dxa"/>
            <w:tcBorders>
              <w:left w:val="single" w:sz="8" w:space="0" w:color="7BA0CD" w:themeColor="accent1" w:themeTint="BF"/>
              <w:bottom w:val="nil"/>
              <w:right w:val="single" w:sz="8" w:space="0" w:color="7BA0CD" w:themeColor="accent1" w:themeTint="BF"/>
            </w:tcBorders>
            <w:shd w:val="clear" w:color="auto" w:fill="auto"/>
            <w:noWrap/>
            <w:hideMark/>
          </w:tcPr>
          <w:p w:rsidR="008D6371" w:rsidRPr="00292D96" w:rsidRDefault="008D6371"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92D96">
              <w:rPr>
                <w:rFonts w:cs="Arial"/>
                <w:color w:val="000000"/>
                <w:sz w:val="20"/>
                <w:szCs w:val="20"/>
                <w:lang w:eastAsia="en-GB"/>
              </w:rPr>
              <w:t>µg/day</w:t>
            </w:r>
          </w:p>
        </w:tc>
        <w:tc>
          <w:tcPr>
            <w:tcW w:w="992" w:type="dxa"/>
            <w:tcBorders>
              <w:left w:val="single" w:sz="8" w:space="0" w:color="7BA0CD" w:themeColor="accent1" w:themeTint="BF"/>
              <w:bottom w:val="nil"/>
              <w:right w:val="single" w:sz="8" w:space="0" w:color="7BA0CD" w:themeColor="accent1" w:themeTint="BF"/>
            </w:tcBorders>
            <w:shd w:val="clear" w:color="auto" w:fill="auto"/>
            <w:noWrap/>
            <w:hideMark/>
          </w:tcPr>
          <w:p w:rsidR="008D6371" w:rsidRPr="00292D96" w:rsidRDefault="008D6371"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D130D8">
              <w:t>50</w:t>
            </w:r>
          </w:p>
        </w:tc>
        <w:tc>
          <w:tcPr>
            <w:tcW w:w="1134" w:type="dxa"/>
            <w:tcBorders>
              <w:left w:val="single" w:sz="8" w:space="0" w:color="7BA0CD" w:themeColor="accent1" w:themeTint="BF"/>
              <w:bottom w:val="nil"/>
              <w:right w:val="single" w:sz="8" w:space="0" w:color="7BA0CD" w:themeColor="accent1" w:themeTint="BF"/>
            </w:tcBorders>
            <w:shd w:val="clear" w:color="auto" w:fill="auto"/>
            <w:noWrap/>
            <w:hideMark/>
          </w:tcPr>
          <w:p w:rsidR="008D6371" w:rsidRPr="00292D96" w:rsidRDefault="008D6371"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D130D8">
              <w:t>87</w:t>
            </w:r>
          </w:p>
        </w:tc>
        <w:tc>
          <w:tcPr>
            <w:tcW w:w="992" w:type="dxa"/>
            <w:tcBorders>
              <w:left w:val="single" w:sz="8" w:space="0" w:color="7BA0CD" w:themeColor="accent1" w:themeTint="BF"/>
              <w:bottom w:val="nil"/>
              <w:right w:val="single" w:sz="8" w:space="0" w:color="7BA0CD" w:themeColor="accent1" w:themeTint="BF"/>
            </w:tcBorders>
            <w:shd w:val="clear" w:color="auto" w:fill="auto"/>
            <w:noWrap/>
            <w:hideMark/>
          </w:tcPr>
          <w:p w:rsidR="008D6371" w:rsidRPr="00292D96" w:rsidRDefault="008D6371"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D130D8">
              <w:t>90</w:t>
            </w:r>
          </w:p>
        </w:tc>
        <w:tc>
          <w:tcPr>
            <w:tcW w:w="993" w:type="dxa"/>
            <w:tcBorders>
              <w:left w:val="single" w:sz="8" w:space="0" w:color="7BA0CD" w:themeColor="accent1" w:themeTint="BF"/>
              <w:bottom w:val="nil"/>
              <w:right w:val="single" w:sz="8" w:space="0" w:color="7BA0CD" w:themeColor="accent1" w:themeTint="BF"/>
            </w:tcBorders>
            <w:shd w:val="clear" w:color="auto" w:fill="auto"/>
            <w:noWrap/>
            <w:hideMark/>
          </w:tcPr>
          <w:p w:rsidR="008D6371" w:rsidRPr="00292D96" w:rsidRDefault="008D6371"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D130D8">
              <w:t>95</w:t>
            </w:r>
          </w:p>
        </w:tc>
        <w:tc>
          <w:tcPr>
            <w:tcW w:w="992" w:type="dxa"/>
            <w:tcBorders>
              <w:left w:val="single" w:sz="8" w:space="0" w:color="7BA0CD" w:themeColor="accent1" w:themeTint="BF"/>
              <w:bottom w:val="nil"/>
              <w:right w:val="single" w:sz="8" w:space="0" w:color="7BA0CD" w:themeColor="accent1" w:themeTint="BF"/>
            </w:tcBorders>
            <w:shd w:val="clear" w:color="auto" w:fill="auto"/>
            <w:noWrap/>
            <w:hideMark/>
          </w:tcPr>
          <w:p w:rsidR="008D6371" w:rsidRPr="00292D96" w:rsidRDefault="008D6371"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D130D8">
              <w:t>188</w:t>
            </w:r>
          </w:p>
        </w:tc>
        <w:tc>
          <w:tcPr>
            <w:tcW w:w="992" w:type="dxa"/>
            <w:tcBorders>
              <w:left w:val="single" w:sz="8" w:space="0" w:color="7BA0CD" w:themeColor="accent1" w:themeTint="BF"/>
              <w:bottom w:val="nil"/>
            </w:tcBorders>
            <w:shd w:val="clear" w:color="auto" w:fill="auto"/>
            <w:noWrap/>
            <w:hideMark/>
          </w:tcPr>
          <w:p w:rsidR="008D6371" w:rsidRPr="00292D96" w:rsidRDefault="008D6371"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D130D8">
              <w:t>213</w:t>
            </w:r>
          </w:p>
        </w:tc>
      </w:tr>
      <w:tr w:rsidR="008D6371" w:rsidRPr="00292D96" w:rsidTr="00003C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09" w:type="dxa"/>
            <w:vMerge/>
            <w:tcBorders>
              <w:right w:val="single" w:sz="8" w:space="0" w:color="7BA0CD" w:themeColor="accent1" w:themeTint="BF"/>
            </w:tcBorders>
            <w:shd w:val="clear" w:color="auto" w:fill="auto"/>
            <w:hideMark/>
          </w:tcPr>
          <w:p w:rsidR="008D6371" w:rsidRPr="00292D96" w:rsidRDefault="008D6371" w:rsidP="00823493">
            <w:pPr>
              <w:rPr>
                <w:rFonts w:cs="Arial"/>
                <w:color w:val="000000"/>
                <w:sz w:val="20"/>
                <w:szCs w:val="20"/>
                <w:lang w:eastAsia="en-GB"/>
              </w:rPr>
            </w:pPr>
          </w:p>
        </w:tc>
        <w:tc>
          <w:tcPr>
            <w:tcW w:w="1417" w:type="dxa"/>
            <w:vMerge/>
            <w:tcBorders>
              <w:left w:val="single" w:sz="8" w:space="0" w:color="7BA0CD" w:themeColor="accent1" w:themeTint="BF"/>
              <w:right w:val="single" w:sz="8" w:space="0" w:color="7BA0CD" w:themeColor="accent1" w:themeTint="BF"/>
            </w:tcBorders>
            <w:shd w:val="clear" w:color="auto" w:fill="auto"/>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p>
        </w:tc>
        <w:tc>
          <w:tcPr>
            <w:tcW w:w="869" w:type="dxa"/>
            <w:tcBorders>
              <w:top w:val="nil"/>
              <w:left w:val="single" w:sz="8" w:space="0" w:color="7BA0CD" w:themeColor="accent1" w:themeTint="BF"/>
              <w:right w:val="single" w:sz="8" w:space="0" w:color="7BA0CD" w:themeColor="accent1" w:themeTint="BF"/>
            </w:tcBorders>
            <w:shd w:val="clear" w:color="auto" w:fill="auto"/>
            <w:noWrap/>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92D96">
              <w:rPr>
                <w:rFonts w:cs="Arial"/>
                <w:color w:val="000000"/>
                <w:sz w:val="20"/>
                <w:szCs w:val="20"/>
                <w:lang w:eastAsia="en-GB"/>
              </w:rPr>
              <w:t>(55.2)</w:t>
            </w:r>
          </w:p>
        </w:tc>
        <w:tc>
          <w:tcPr>
            <w:tcW w:w="1051" w:type="dxa"/>
            <w:tcBorders>
              <w:top w:val="nil"/>
              <w:left w:val="single" w:sz="8" w:space="0" w:color="7BA0CD" w:themeColor="accent1" w:themeTint="BF"/>
              <w:right w:val="single" w:sz="8" w:space="0" w:color="7BA0CD" w:themeColor="accent1" w:themeTint="BF"/>
            </w:tcBorders>
            <w:shd w:val="clear" w:color="auto" w:fill="auto"/>
            <w:noWrap/>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92D96">
              <w:rPr>
                <w:rFonts w:cs="Arial"/>
                <w:color w:val="000000"/>
                <w:sz w:val="20"/>
                <w:szCs w:val="20"/>
                <w:lang w:eastAsia="en-GB"/>
              </w:rPr>
              <w:t>(91.5)</w:t>
            </w:r>
          </w:p>
        </w:tc>
        <w:tc>
          <w:tcPr>
            <w:tcW w:w="1557" w:type="dxa"/>
            <w:tcBorders>
              <w:top w:val="nil"/>
              <w:left w:val="single" w:sz="8" w:space="0" w:color="7BA0CD" w:themeColor="accent1" w:themeTint="BF"/>
              <w:right w:val="single" w:sz="8" w:space="0" w:color="7BA0CD" w:themeColor="accent1" w:themeTint="BF"/>
            </w:tcBorders>
            <w:shd w:val="clear" w:color="auto" w:fill="auto"/>
            <w:noWrap/>
            <w:hideMark/>
          </w:tcPr>
          <w:p w:rsidR="008D6371" w:rsidRPr="00292D96" w:rsidRDefault="008D6371"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92D96">
              <w:rPr>
                <w:rFonts w:cs="Arial"/>
                <w:color w:val="000000"/>
                <w:sz w:val="20"/>
                <w:szCs w:val="20"/>
                <w:lang w:eastAsia="en-GB"/>
              </w:rPr>
              <w:t>µg/kg bw/day</w:t>
            </w:r>
          </w:p>
        </w:tc>
        <w:tc>
          <w:tcPr>
            <w:tcW w:w="992" w:type="dxa"/>
            <w:tcBorders>
              <w:top w:val="nil"/>
              <w:left w:val="single" w:sz="8" w:space="0" w:color="7BA0CD" w:themeColor="accent1" w:themeTint="BF"/>
              <w:right w:val="single" w:sz="8" w:space="0" w:color="7BA0CD" w:themeColor="accent1" w:themeTint="BF"/>
            </w:tcBorders>
            <w:shd w:val="clear" w:color="auto" w:fill="auto"/>
            <w:noWrap/>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D130D8">
              <w:t>1</w:t>
            </w:r>
          </w:p>
        </w:tc>
        <w:tc>
          <w:tcPr>
            <w:tcW w:w="1134" w:type="dxa"/>
            <w:tcBorders>
              <w:top w:val="nil"/>
              <w:left w:val="single" w:sz="8" w:space="0" w:color="7BA0CD" w:themeColor="accent1" w:themeTint="BF"/>
              <w:right w:val="single" w:sz="8" w:space="0" w:color="7BA0CD" w:themeColor="accent1" w:themeTint="BF"/>
            </w:tcBorders>
            <w:shd w:val="clear" w:color="auto" w:fill="auto"/>
            <w:noWrap/>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D130D8">
              <w:t>1</w:t>
            </w:r>
          </w:p>
        </w:tc>
        <w:tc>
          <w:tcPr>
            <w:tcW w:w="992" w:type="dxa"/>
            <w:tcBorders>
              <w:top w:val="nil"/>
              <w:left w:val="single" w:sz="8" w:space="0" w:color="7BA0CD" w:themeColor="accent1" w:themeTint="BF"/>
              <w:right w:val="single" w:sz="8" w:space="0" w:color="7BA0CD" w:themeColor="accent1" w:themeTint="BF"/>
            </w:tcBorders>
            <w:shd w:val="clear" w:color="auto" w:fill="auto"/>
            <w:noWrap/>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D130D8">
              <w:t>1</w:t>
            </w:r>
          </w:p>
        </w:tc>
        <w:tc>
          <w:tcPr>
            <w:tcW w:w="993" w:type="dxa"/>
            <w:tcBorders>
              <w:top w:val="nil"/>
              <w:left w:val="single" w:sz="8" w:space="0" w:color="7BA0CD" w:themeColor="accent1" w:themeTint="BF"/>
              <w:right w:val="single" w:sz="8" w:space="0" w:color="7BA0CD" w:themeColor="accent1" w:themeTint="BF"/>
            </w:tcBorders>
            <w:shd w:val="clear" w:color="auto" w:fill="auto"/>
            <w:noWrap/>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D130D8">
              <w:t>1</w:t>
            </w:r>
          </w:p>
        </w:tc>
        <w:tc>
          <w:tcPr>
            <w:tcW w:w="992" w:type="dxa"/>
            <w:tcBorders>
              <w:top w:val="nil"/>
              <w:left w:val="single" w:sz="8" w:space="0" w:color="7BA0CD" w:themeColor="accent1" w:themeTint="BF"/>
              <w:right w:val="single" w:sz="8" w:space="0" w:color="7BA0CD" w:themeColor="accent1" w:themeTint="BF"/>
            </w:tcBorders>
            <w:shd w:val="clear" w:color="auto" w:fill="auto"/>
            <w:noWrap/>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D130D8">
              <w:t>3</w:t>
            </w:r>
          </w:p>
        </w:tc>
        <w:tc>
          <w:tcPr>
            <w:tcW w:w="992" w:type="dxa"/>
            <w:tcBorders>
              <w:top w:val="nil"/>
              <w:left w:val="single" w:sz="8" w:space="0" w:color="7BA0CD" w:themeColor="accent1" w:themeTint="BF"/>
            </w:tcBorders>
            <w:shd w:val="clear" w:color="auto" w:fill="auto"/>
            <w:noWrap/>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D130D8">
              <w:t>3</w:t>
            </w:r>
          </w:p>
        </w:tc>
      </w:tr>
      <w:tr w:rsidR="006E40A8" w:rsidRPr="00292D96" w:rsidTr="00003C1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09" w:type="dxa"/>
            <w:vMerge w:val="restart"/>
            <w:tcBorders>
              <w:right w:val="single" w:sz="8" w:space="0" w:color="7BA0CD" w:themeColor="accent1" w:themeTint="BF"/>
            </w:tcBorders>
            <w:shd w:val="clear" w:color="auto" w:fill="D3DFEE"/>
            <w:noWrap/>
            <w:hideMark/>
          </w:tcPr>
          <w:p w:rsidR="008D6371" w:rsidRPr="00292D96" w:rsidRDefault="008D6371" w:rsidP="00823493">
            <w:pPr>
              <w:rPr>
                <w:rFonts w:cs="Arial"/>
                <w:color w:val="000000"/>
                <w:sz w:val="20"/>
                <w:szCs w:val="20"/>
                <w:lang w:eastAsia="en-GB"/>
              </w:rPr>
            </w:pPr>
            <w:r w:rsidRPr="00292D96">
              <w:rPr>
                <w:rFonts w:cs="Arial"/>
                <w:color w:val="000000"/>
                <w:sz w:val="20"/>
                <w:szCs w:val="20"/>
                <w:lang w:eastAsia="en-GB"/>
              </w:rPr>
              <w:t xml:space="preserve">New Zealand </w:t>
            </w:r>
            <w:r w:rsidRPr="00292D96">
              <w:rPr>
                <w:rFonts w:cs="Arial"/>
                <w:color w:val="000000"/>
                <w:sz w:val="20"/>
                <w:szCs w:val="20"/>
                <w:lang w:eastAsia="en-GB"/>
              </w:rPr>
              <w:br/>
              <w:t>5-14 years</w:t>
            </w:r>
          </w:p>
        </w:tc>
        <w:tc>
          <w:tcPr>
            <w:tcW w:w="1417" w:type="dxa"/>
            <w:vMerge w:val="restart"/>
            <w:tcBorders>
              <w:left w:val="single" w:sz="8" w:space="0" w:color="7BA0CD" w:themeColor="accent1" w:themeTint="BF"/>
              <w:right w:val="single" w:sz="8" w:space="0" w:color="7BA0CD" w:themeColor="accent1" w:themeTint="BF"/>
            </w:tcBorders>
            <w:shd w:val="clear" w:color="auto" w:fill="D3DFEE"/>
            <w:noWrap/>
            <w:hideMark/>
          </w:tcPr>
          <w:p w:rsidR="008D6371" w:rsidRPr="00292D96" w:rsidRDefault="00A638EF"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Pr>
                <w:rFonts w:cs="Arial"/>
                <w:color w:val="000000"/>
                <w:sz w:val="20"/>
                <w:szCs w:val="20"/>
                <w:lang w:eastAsia="en-GB"/>
              </w:rPr>
              <w:t>3275</w:t>
            </w:r>
          </w:p>
        </w:tc>
        <w:tc>
          <w:tcPr>
            <w:tcW w:w="869" w:type="dxa"/>
            <w:tcBorders>
              <w:left w:val="single" w:sz="8" w:space="0" w:color="7BA0CD" w:themeColor="accent1" w:themeTint="BF"/>
              <w:bottom w:val="nil"/>
              <w:right w:val="single" w:sz="8" w:space="0" w:color="7BA0CD" w:themeColor="accent1" w:themeTint="BF"/>
            </w:tcBorders>
            <w:shd w:val="clear" w:color="auto" w:fill="D3DFEE"/>
            <w:noWrap/>
            <w:hideMark/>
          </w:tcPr>
          <w:p w:rsidR="008D6371" w:rsidRPr="00292D96" w:rsidRDefault="008D6371" w:rsidP="00A638EF">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92D96">
              <w:rPr>
                <w:rFonts w:cs="Arial"/>
                <w:color w:val="000000"/>
                <w:sz w:val="20"/>
                <w:szCs w:val="20"/>
                <w:lang w:eastAsia="en-GB"/>
              </w:rPr>
              <w:t>2,</w:t>
            </w:r>
            <w:r w:rsidR="00A638EF">
              <w:rPr>
                <w:rFonts w:cs="Arial"/>
                <w:color w:val="000000"/>
                <w:sz w:val="20"/>
                <w:szCs w:val="20"/>
                <w:lang w:eastAsia="en-GB"/>
              </w:rPr>
              <w:t>105</w:t>
            </w:r>
          </w:p>
        </w:tc>
        <w:tc>
          <w:tcPr>
            <w:tcW w:w="1051" w:type="dxa"/>
            <w:tcBorders>
              <w:left w:val="single" w:sz="8" w:space="0" w:color="7BA0CD" w:themeColor="accent1" w:themeTint="BF"/>
              <w:bottom w:val="nil"/>
              <w:right w:val="single" w:sz="8" w:space="0" w:color="7BA0CD" w:themeColor="accent1" w:themeTint="BF"/>
            </w:tcBorders>
            <w:shd w:val="clear" w:color="auto" w:fill="D3DFEE"/>
            <w:noWrap/>
            <w:hideMark/>
          </w:tcPr>
          <w:p w:rsidR="008D6371" w:rsidRPr="00292D96" w:rsidRDefault="00A638EF"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Pr>
                <w:rFonts w:cs="Arial"/>
                <w:color w:val="000000"/>
                <w:sz w:val="20"/>
                <w:szCs w:val="20"/>
                <w:lang w:eastAsia="en-GB"/>
              </w:rPr>
              <w:t>3,146</w:t>
            </w:r>
          </w:p>
        </w:tc>
        <w:tc>
          <w:tcPr>
            <w:tcW w:w="1557" w:type="dxa"/>
            <w:tcBorders>
              <w:left w:val="single" w:sz="8" w:space="0" w:color="7BA0CD" w:themeColor="accent1" w:themeTint="BF"/>
              <w:bottom w:val="nil"/>
              <w:right w:val="single" w:sz="8" w:space="0" w:color="7BA0CD" w:themeColor="accent1" w:themeTint="BF"/>
            </w:tcBorders>
            <w:shd w:val="clear" w:color="auto" w:fill="D3DFEE"/>
            <w:noWrap/>
            <w:hideMark/>
          </w:tcPr>
          <w:p w:rsidR="008D6371" w:rsidRPr="00292D96" w:rsidRDefault="008D6371"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92D96">
              <w:rPr>
                <w:rFonts w:cs="Arial"/>
                <w:color w:val="000000"/>
                <w:sz w:val="20"/>
                <w:szCs w:val="20"/>
                <w:lang w:eastAsia="en-GB"/>
              </w:rPr>
              <w:t>µg/day</w:t>
            </w:r>
          </w:p>
        </w:tc>
        <w:tc>
          <w:tcPr>
            <w:tcW w:w="992" w:type="dxa"/>
            <w:tcBorders>
              <w:left w:val="single" w:sz="8" w:space="0" w:color="7BA0CD" w:themeColor="accent1" w:themeTint="BF"/>
              <w:bottom w:val="nil"/>
              <w:right w:val="single" w:sz="8" w:space="0" w:color="7BA0CD" w:themeColor="accent1" w:themeTint="BF"/>
            </w:tcBorders>
            <w:shd w:val="clear" w:color="auto" w:fill="D3DFEE"/>
            <w:noWrap/>
            <w:hideMark/>
          </w:tcPr>
          <w:p w:rsidR="008D6371" w:rsidRPr="00292D96" w:rsidRDefault="008D6371"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D130D8">
              <w:t>48</w:t>
            </w:r>
          </w:p>
        </w:tc>
        <w:tc>
          <w:tcPr>
            <w:tcW w:w="1134" w:type="dxa"/>
            <w:tcBorders>
              <w:left w:val="single" w:sz="8" w:space="0" w:color="7BA0CD" w:themeColor="accent1" w:themeTint="BF"/>
              <w:bottom w:val="nil"/>
              <w:right w:val="single" w:sz="8" w:space="0" w:color="7BA0CD" w:themeColor="accent1" w:themeTint="BF"/>
            </w:tcBorders>
            <w:shd w:val="clear" w:color="auto" w:fill="D3DFEE"/>
            <w:noWrap/>
            <w:hideMark/>
          </w:tcPr>
          <w:p w:rsidR="008D6371" w:rsidRPr="00292D96" w:rsidRDefault="008D6371"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D130D8">
              <w:t>74</w:t>
            </w:r>
          </w:p>
        </w:tc>
        <w:tc>
          <w:tcPr>
            <w:tcW w:w="992" w:type="dxa"/>
            <w:tcBorders>
              <w:left w:val="single" w:sz="8" w:space="0" w:color="7BA0CD" w:themeColor="accent1" w:themeTint="BF"/>
              <w:bottom w:val="nil"/>
              <w:right w:val="single" w:sz="8" w:space="0" w:color="7BA0CD" w:themeColor="accent1" w:themeTint="BF"/>
            </w:tcBorders>
            <w:shd w:val="clear" w:color="auto" w:fill="D3DFEE"/>
            <w:noWrap/>
            <w:hideMark/>
          </w:tcPr>
          <w:p w:rsidR="008D6371" w:rsidRPr="00292D96" w:rsidRDefault="008D6371"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D130D8">
              <w:t>74</w:t>
            </w:r>
          </w:p>
        </w:tc>
        <w:tc>
          <w:tcPr>
            <w:tcW w:w="993" w:type="dxa"/>
            <w:tcBorders>
              <w:left w:val="single" w:sz="8" w:space="0" w:color="7BA0CD" w:themeColor="accent1" w:themeTint="BF"/>
              <w:bottom w:val="nil"/>
              <w:right w:val="single" w:sz="8" w:space="0" w:color="7BA0CD" w:themeColor="accent1" w:themeTint="BF"/>
            </w:tcBorders>
            <w:shd w:val="clear" w:color="auto" w:fill="D3DFEE"/>
            <w:noWrap/>
            <w:hideMark/>
          </w:tcPr>
          <w:p w:rsidR="008D6371" w:rsidRPr="00292D96" w:rsidRDefault="008D6371"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D130D8">
              <w:t>77</w:t>
            </w:r>
          </w:p>
        </w:tc>
        <w:tc>
          <w:tcPr>
            <w:tcW w:w="992" w:type="dxa"/>
            <w:tcBorders>
              <w:left w:val="single" w:sz="8" w:space="0" w:color="7BA0CD" w:themeColor="accent1" w:themeTint="BF"/>
              <w:bottom w:val="nil"/>
              <w:right w:val="single" w:sz="8" w:space="0" w:color="7BA0CD" w:themeColor="accent1" w:themeTint="BF"/>
            </w:tcBorders>
            <w:shd w:val="clear" w:color="auto" w:fill="D3DFEE"/>
            <w:noWrap/>
            <w:hideMark/>
          </w:tcPr>
          <w:p w:rsidR="008D6371" w:rsidRPr="00292D96" w:rsidRDefault="008D6371"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D130D8">
              <w:t>154</w:t>
            </w:r>
          </w:p>
        </w:tc>
        <w:tc>
          <w:tcPr>
            <w:tcW w:w="992" w:type="dxa"/>
            <w:tcBorders>
              <w:left w:val="single" w:sz="8" w:space="0" w:color="7BA0CD" w:themeColor="accent1" w:themeTint="BF"/>
              <w:bottom w:val="nil"/>
            </w:tcBorders>
            <w:shd w:val="clear" w:color="auto" w:fill="D3DFEE"/>
            <w:noWrap/>
            <w:hideMark/>
          </w:tcPr>
          <w:p w:rsidR="008D6371" w:rsidRPr="00292D96" w:rsidRDefault="008D6371"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D130D8">
              <w:t>166</w:t>
            </w:r>
          </w:p>
        </w:tc>
      </w:tr>
      <w:tr w:rsidR="006E40A8" w:rsidRPr="00292D96" w:rsidTr="00003C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09" w:type="dxa"/>
            <w:vMerge/>
            <w:tcBorders>
              <w:right w:val="single" w:sz="8" w:space="0" w:color="7BA0CD" w:themeColor="accent1" w:themeTint="BF"/>
            </w:tcBorders>
            <w:shd w:val="clear" w:color="auto" w:fill="D3DFEE"/>
            <w:hideMark/>
          </w:tcPr>
          <w:p w:rsidR="008D6371" w:rsidRPr="00292D96" w:rsidRDefault="008D6371" w:rsidP="00823493">
            <w:pPr>
              <w:rPr>
                <w:rFonts w:cs="Arial"/>
                <w:color w:val="000000"/>
                <w:sz w:val="20"/>
                <w:szCs w:val="20"/>
                <w:lang w:eastAsia="en-GB"/>
              </w:rPr>
            </w:pPr>
          </w:p>
        </w:tc>
        <w:tc>
          <w:tcPr>
            <w:tcW w:w="1417" w:type="dxa"/>
            <w:vMerge/>
            <w:tcBorders>
              <w:left w:val="single" w:sz="8" w:space="0" w:color="7BA0CD" w:themeColor="accent1" w:themeTint="BF"/>
              <w:right w:val="single" w:sz="8" w:space="0" w:color="7BA0CD" w:themeColor="accent1" w:themeTint="BF"/>
            </w:tcBorders>
            <w:shd w:val="clear" w:color="auto" w:fill="D3DFEE"/>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p>
        </w:tc>
        <w:tc>
          <w:tcPr>
            <w:tcW w:w="869" w:type="dxa"/>
            <w:tcBorders>
              <w:top w:val="nil"/>
              <w:left w:val="single" w:sz="8" w:space="0" w:color="7BA0CD" w:themeColor="accent1" w:themeTint="BF"/>
              <w:right w:val="single" w:sz="8" w:space="0" w:color="7BA0CD" w:themeColor="accent1" w:themeTint="BF"/>
            </w:tcBorders>
            <w:shd w:val="clear" w:color="auto" w:fill="D3DFEE"/>
            <w:noWrap/>
            <w:hideMark/>
          </w:tcPr>
          <w:p w:rsidR="008D6371" w:rsidRPr="00292D96" w:rsidRDefault="008D6371" w:rsidP="00A638EF">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92D96">
              <w:rPr>
                <w:rFonts w:cs="Arial"/>
                <w:color w:val="000000"/>
                <w:sz w:val="20"/>
                <w:szCs w:val="20"/>
                <w:lang w:eastAsia="en-GB"/>
              </w:rPr>
              <w:t>(</w:t>
            </w:r>
            <w:r w:rsidR="00A638EF">
              <w:rPr>
                <w:rFonts w:cs="Arial"/>
                <w:color w:val="000000"/>
                <w:sz w:val="20"/>
                <w:szCs w:val="20"/>
                <w:lang w:eastAsia="en-GB"/>
              </w:rPr>
              <w:t>64.3</w:t>
            </w:r>
            <w:r w:rsidRPr="00292D96">
              <w:rPr>
                <w:rFonts w:cs="Arial"/>
                <w:color w:val="000000"/>
                <w:sz w:val="20"/>
                <w:szCs w:val="20"/>
                <w:lang w:eastAsia="en-GB"/>
              </w:rPr>
              <w:t>)</w:t>
            </w:r>
          </w:p>
        </w:tc>
        <w:tc>
          <w:tcPr>
            <w:tcW w:w="1051" w:type="dxa"/>
            <w:tcBorders>
              <w:top w:val="nil"/>
              <w:left w:val="single" w:sz="8" w:space="0" w:color="7BA0CD" w:themeColor="accent1" w:themeTint="BF"/>
              <w:right w:val="single" w:sz="8" w:space="0" w:color="7BA0CD" w:themeColor="accent1" w:themeTint="BF"/>
            </w:tcBorders>
            <w:shd w:val="clear" w:color="auto" w:fill="D3DFEE"/>
            <w:noWrap/>
            <w:hideMark/>
          </w:tcPr>
          <w:p w:rsidR="008D6371" w:rsidRPr="00292D96" w:rsidRDefault="008D6371" w:rsidP="00A638EF">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92D96">
              <w:rPr>
                <w:rFonts w:cs="Arial"/>
                <w:color w:val="000000"/>
                <w:sz w:val="20"/>
                <w:szCs w:val="20"/>
                <w:lang w:eastAsia="en-GB"/>
              </w:rPr>
              <w:t>(</w:t>
            </w:r>
            <w:r w:rsidR="00A638EF" w:rsidRPr="00292D96">
              <w:rPr>
                <w:rFonts w:cs="Arial"/>
                <w:color w:val="000000"/>
                <w:sz w:val="20"/>
                <w:szCs w:val="20"/>
                <w:lang w:eastAsia="en-GB"/>
              </w:rPr>
              <w:t>9</w:t>
            </w:r>
            <w:r w:rsidR="00A638EF">
              <w:rPr>
                <w:rFonts w:cs="Arial"/>
                <w:color w:val="000000"/>
                <w:sz w:val="20"/>
                <w:szCs w:val="20"/>
                <w:lang w:eastAsia="en-GB"/>
              </w:rPr>
              <w:t>6</w:t>
            </w:r>
            <w:r w:rsidRPr="00292D96">
              <w:rPr>
                <w:rFonts w:cs="Arial"/>
                <w:color w:val="000000"/>
                <w:sz w:val="20"/>
                <w:szCs w:val="20"/>
                <w:lang w:eastAsia="en-GB"/>
              </w:rPr>
              <w:t>.</w:t>
            </w:r>
            <w:r w:rsidR="00A638EF">
              <w:rPr>
                <w:rFonts w:cs="Arial"/>
                <w:color w:val="000000"/>
                <w:sz w:val="20"/>
                <w:szCs w:val="20"/>
                <w:lang w:eastAsia="en-GB"/>
              </w:rPr>
              <w:t>1</w:t>
            </w:r>
            <w:r w:rsidRPr="00292D96">
              <w:rPr>
                <w:rFonts w:cs="Arial"/>
                <w:color w:val="000000"/>
                <w:sz w:val="20"/>
                <w:szCs w:val="20"/>
                <w:lang w:eastAsia="en-GB"/>
              </w:rPr>
              <w:t>)</w:t>
            </w:r>
          </w:p>
        </w:tc>
        <w:tc>
          <w:tcPr>
            <w:tcW w:w="1557" w:type="dxa"/>
            <w:tcBorders>
              <w:top w:val="nil"/>
              <w:left w:val="single" w:sz="8" w:space="0" w:color="7BA0CD" w:themeColor="accent1" w:themeTint="BF"/>
              <w:right w:val="single" w:sz="8" w:space="0" w:color="7BA0CD" w:themeColor="accent1" w:themeTint="BF"/>
            </w:tcBorders>
            <w:shd w:val="clear" w:color="auto" w:fill="D3DFEE"/>
            <w:noWrap/>
            <w:hideMark/>
          </w:tcPr>
          <w:p w:rsidR="008D6371" w:rsidRPr="00292D96" w:rsidRDefault="008D6371"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92D96">
              <w:rPr>
                <w:rFonts w:cs="Arial"/>
                <w:color w:val="000000"/>
                <w:sz w:val="20"/>
                <w:szCs w:val="20"/>
                <w:lang w:eastAsia="en-GB"/>
              </w:rPr>
              <w:t>µg/kg bw/day</w:t>
            </w:r>
          </w:p>
        </w:tc>
        <w:tc>
          <w:tcPr>
            <w:tcW w:w="992" w:type="dxa"/>
            <w:tcBorders>
              <w:top w:val="nil"/>
              <w:left w:val="single" w:sz="8" w:space="0" w:color="7BA0CD" w:themeColor="accent1" w:themeTint="BF"/>
              <w:right w:val="single" w:sz="8" w:space="0" w:color="7BA0CD" w:themeColor="accent1" w:themeTint="BF"/>
            </w:tcBorders>
            <w:shd w:val="clear" w:color="auto" w:fill="D3DFEE"/>
            <w:noWrap/>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D130D8">
              <w:t>1</w:t>
            </w:r>
          </w:p>
        </w:tc>
        <w:tc>
          <w:tcPr>
            <w:tcW w:w="1134" w:type="dxa"/>
            <w:tcBorders>
              <w:top w:val="nil"/>
              <w:left w:val="single" w:sz="8" w:space="0" w:color="7BA0CD" w:themeColor="accent1" w:themeTint="BF"/>
              <w:right w:val="single" w:sz="8" w:space="0" w:color="7BA0CD" w:themeColor="accent1" w:themeTint="BF"/>
            </w:tcBorders>
            <w:shd w:val="clear" w:color="auto" w:fill="D3DFEE"/>
            <w:noWrap/>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D130D8">
              <w:t>2</w:t>
            </w:r>
          </w:p>
        </w:tc>
        <w:tc>
          <w:tcPr>
            <w:tcW w:w="992" w:type="dxa"/>
            <w:tcBorders>
              <w:top w:val="nil"/>
              <w:left w:val="single" w:sz="8" w:space="0" w:color="7BA0CD" w:themeColor="accent1" w:themeTint="BF"/>
              <w:right w:val="single" w:sz="8" w:space="0" w:color="7BA0CD" w:themeColor="accent1" w:themeTint="BF"/>
            </w:tcBorders>
            <w:shd w:val="clear" w:color="auto" w:fill="D3DFEE"/>
            <w:noWrap/>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D130D8">
              <w:t>2</w:t>
            </w:r>
          </w:p>
        </w:tc>
        <w:tc>
          <w:tcPr>
            <w:tcW w:w="993" w:type="dxa"/>
            <w:tcBorders>
              <w:top w:val="nil"/>
              <w:left w:val="single" w:sz="8" w:space="0" w:color="7BA0CD" w:themeColor="accent1" w:themeTint="BF"/>
              <w:right w:val="single" w:sz="8" w:space="0" w:color="7BA0CD" w:themeColor="accent1" w:themeTint="BF"/>
            </w:tcBorders>
            <w:shd w:val="clear" w:color="auto" w:fill="D3DFEE"/>
            <w:noWrap/>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D130D8">
              <w:t>2</w:t>
            </w:r>
          </w:p>
        </w:tc>
        <w:tc>
          <w:tcPr>
            <w:tcW w:w="992" w:type="dxa"/>
            <w:tcBorders>
              <w:top w:val="nil"/>
              <w:left w:val="single" w:sz="8" w:space="0" w:color="7BA0CD" w:themeColor="accent1" w:themeTint="BF"/>
              <w:right w:val="single" w:sz="8" w:space="0" w:color="7BA0CD" w:themeColor="accent1" w:themeTint="BF"/>
            </w:tcBorders>
            <w:shd w:val="clear" w:color="auto" w:fill="D3DFEE"/>
            <w:noWrap/>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D130D8">
              <w:t>4</w:t>
            </w:r>
          </w:p>
        </w:tc>
        <w:tc>
          <w:tcPr>
            <w:tcW w:w="992" w:type="dxa"/>
            <w:tcBorders>
              <w:top w:val="nil"/>
              <w:left w:val="single" w:sz="8" w:space="0" w:color="7BA0CD" w:themeColor="accent1" w:themeTint="BF"/>
            </w:tcBorders>
            <w:shd w:val="clear" w:color="auto" w:fill="D3DFEE"/>
            <w:noWrap/>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D130D8">
              <w:t>5</w:t>
            </w:r>
          </w:p>
        </w:tc>
      </w:tr>
      <w:tr w:rsidR="008D6371" w:rsidRPr="00292D96" w:rsidTr="00003C1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09" w:type="dxa"/>
            <w:vMerge w:val="restart"/>
            <w:tcBorders>
              <w:right w:val="single" w:sz="8" w:space="0" w:color="7BA0CD" w:themeColor="accent1" w:themeTint="BF"/>
            </w:tcBorders>
            <w:shd w:val="clear" w:color="auto" w:fill="auto"/>
            <w:noWrap/>
            <w:hideMark/>
          </w:tcPr>
          <w:p w:rsidR="008D6371" w:rsidRPr="00292D96" w:rsidRDefault="008D6371" w:rsidP="00823493">
            <w:pPr>
              <w:rPr>
                <w:rFonts w:cs="Arial"/>
                <w:color w:val="000000"/>
                <w:sz w:val="20"/>
                <w:szCs w:val="20"/>
                <w:lang w:eastAsia="en-GB"/>
              </w:rPr>
            </w:pPr>
            <w:r w:rsidRPr="00292D96">
              <w:rPr>
                <w:rFonts w:cs="Arial"/>
                <w:color w:val="000000"/>
                <w:sz w:val="20"/>
                <w:szCs w:val="20"/>
                <w:lang w:eastAsia="en-GB"/>
              </w:rPr>
              <w:t xml:space="preserve">New Zealand </w:t>
            </w:r>
            <w:r w:rsidRPr="00292D96">
              <w:rPr>
                <w:rFonts w:cs="Arial"/>
                <w:color w:val="000000"/>
                <w:sz w:val="20"/>
                <w:szCs w:val="20"/>
                <w:lang w:eastAsia="en-GB"/>
              </w:rPr>
              <w:br/>
              <w:t>15 years and above</w:t>
            </w:r>
          </w:p>
        </w:tc>
        <w:tc>
          <w:tcPr>
            <w:tcW w:w="1417" w:type="dxa"/>
            <w:vMerge w:val="restart"/>
            <w:tcBorders>
              <w:left w:val="single" w:sz="8" w:space="0" w:color="7BA0CD" w:themeColor="accent1" w:themeTint="BF"/>
              <w:right w:val="single" w:sz="8" w:space="0" w:color="7BA0CD" w:themeColor="accent1" w:themeTint="BF"/>
            </w:tcBorders>
            <w:shd w:val="clear" w:color="auto" w:fill="auto"/>
            <w:noWrap/>
            <w:hideMark/>
          </w:tcPr>
          <w:p w:rsidR="008D6371" w:rsidRPr="00292D96" w:rsidRDefault="008D6371"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92D96">
              <w:rPr>
                <w:rFonts w:cs="Arial"/>
                <w:color w:val="000000"/>
                <w:sz w:val="20"/>
                <w:szCs w:val="20"/>
                <w:lang w:eastAsia="en-GB"/>
              </w:rPr>
              <w:t>4,636</w:t>
            </w:r>
          </w:p>
        </w:tc>
        <w:tc>
          <w:tcPr>
            <w:tcW w:w="869" w:type="dxa"/>
            <w:tcBorders>
              <w:left w:val="single" w:sz="8" w:space="0" w:color="7BA0CD" w:themeColor="accent1" w:themeTint="BF"/>
              <w:bottom w:val="nil"/>
              <w:right w:val="single" w:sz="8" w:space="0" w:color="7BA0CD" w:themeColor="accent1" w:themeTint="BF"/>
            </w:tcBorders>
            <w:shd w:val="clear" w:color="auto" w:fill="auto"/>
            <w:noWrap/>
            <w:hideMark/>
          </w:tcPr>
          <w:p w:rsidR="008D6371" w:rsidRPr="00292D96" w:rsidRDefault="008D6371"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92D96">
              <w:rPr>
                <w:rFonts w:cs="Arial"/>
                <w:color w:val="000000"/>
                <w:sz w:val="20"/>
                <w:szCs w:val="20"/>
                <w:lang w:eastAsia="en-GB"/>
              </w:rPr>
              <w:t>2,296</w:t>
            </w:r>
          </w:p>
        </w:tc>
        <w:tc>
          <w:tcPr>
            <w:tcW w:w="1051" w:type="dxa"/>
            <w:tcBorders>
              <w:left w:val="single" w:sz="8" w:space="0" w:color="7BA0CD" w:themeColor="accent1" w:themeTint="BF"/>
              <w:bottom w:val="nil"/>
              <w:right w:val="single" w:sz="8" w:space="0" w:color="7BA0CD" w:themeColor="accent1" w:themeTint="BF"/>
            </w:tcBorders>
            <w:shd w:val="clear" w:color="auto" w:fill="auto"/>
            <w:noWrap/>
            <w:hideMark/>
          </w:tcPr>
          <w:p w:rsidR="008D6371" w:rsidRPr="00292D96" w:rsidRDefault="008D6371"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92D96">
              <w:rPr>
                <w:rFonts w:cs="Arial"/>
                <w:color w:val="000000"/>
                <w:sz w:val="20"/>
                <w:szCs w:val="20"/>
                <w:lang w:eastAsia="en-GB"/>
              </w:rPr>
              <w:t>4,237</w:t>
            </w:r>
          </w:p>
        </w:tc>
        <w:tc>
          <w:tcPr>
            <w:tcW w:w="1557" w:type="dxa"/>
            <w:tcBorders>
              <w:left w:val="single" w:sz="8" w:space="0" w:color="7BA0CD" w:themeColor="accent1" w:themeTint="BF"/>
              <w:bottom w:val="nil"/>
              <w:right w:val="single" w:sz="8" w:space="0" w:color="7BA0CD" w:themeColor="accent1" w:themeTint="BF"/>
            </w:tcBorders>
            <w:shd w:val="clear" w:color="auto" w:fill="auto"/>
            <w:noWrap/>
            <w:hideMark/>
          </w:tcPr>
          <w:p w:rsidR="008D6371" w:rsidRPr="00292D96" w:rsidRDefault="008D6371"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92D96">
              <w:rPr>
                <w:rFonts w:cs="Arial"/>
                <w:color w:val="000000"/>
                <w:sz w:val="20"/>
                <w:szCs w:val="20"/>
                <w:lang w:eastAsia="en-GB"/>
              </w:rPr>
              <w:t>µg/day</w:t>
            </w:r>
          </w:p>
        </w:tc>
        <w:tc>
          <w:tcPr>
            <w:tcW w:w="992" w:type="dxa"/>
            <w:tcBorders>
              <w:left w:val="single" w:sz="8" w:space="0" w:color="7BA0CD" w:themeColor="accent1" w:themeTint="BF"/>
              <w:bottom w:val="nil"/>
              <w:right w:val="single" w:sz="8" w:space="0" w:color="7BA0CD" w:themeColor="accent1" w:themeTint="BF"/>
            </w:tcBorders>
            <w:shd w:val="clear" w:color="auto" w:fill="auto"/>
            <w:noWrap/>
            <w:hideMark/>
          </w:tcPr>
          <w:p w:rsidR="008D6371" w:rsidRPr="00292D96" w:rsidRDefault="008D6371"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D130D8">
              <w:t>58</w:t>
            </w:r>
          </w:p>
        </w:tc>
        <w:tc>
          <w:tcPr>
            <w:tcW w:w="1134" w:type="dxa"/>
            <w:tcBorders>
              <w:left w:val="single" w:sz="8" w:space="0" w:color="7BA0CD" w:themeColor="accent1" w:themeTint="BF"/>
              <w:bottom w:val="nil"/>
              <w:right w:val="single" w:sz="8" w:space="0" w:color="7BA0CD" w:themeColor="accent1" w:themeTint="BF"/>
            </w:tcBorders>
            <w:shd w:val="clear" w:color="auto" w:fill="auto"/>
            <w:noWrap/>
            <w:hideMark/>
          </w:tcPr>
          <w:p w:rsidR="008D6371" w:rsidRPr="00292D96" w:rsidRDefault="008D6371"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D130D8">
              <w:t>85</w:t>
            </w:r>
          </w:p>
        </w:tc>
        <w:tc>
          <w:tcPr>
            <w:tcW w:w="992" w:type="dxa"/>
            <w:tcBorders>
              <w:left w:val="single" w:sz="8" w:space="0" w:color="7BA0CD" w:themeColor="accent1" w:themeTint="BF"/>
              <w:bottom w:val="nil"/>
              <w:right w:val="single" w:sz="8" w:space="0" w:color="7BA0CD" w:themeColor="accent1" w:themeTint="BF"/>
            </w:tcBorders>
            <w:shd w:val="clear" w:color="auto" w:fill="auto"/>
            <w:noWrap/>
            <w:hideMark/>
          </w:tcPr>
          <w:p w:rsidR="008D6371" w:rsidRPr="00292D96" w:rsidRDefault="008D6371"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D130D8">
              <w:t>118</w:t>
            </w:r>
          </w:p>
        </w:tc>
        <w:tc>
          <w:tcPr>
            <w:tcW w:w="993" w:type="dxa"/>
            <w:tcBorders>
              <w:left w:val="single" w:sz="8" w:space="0" w:color="7BA0CD" w:themeColor="accent1" w:themeTint="BF"/>
              <w:bottom w:val="nil"/>
              <w:right w:val="single" w:sz="8" w:space="0" w:color="7BA0CD" w:themeColor="accent1" w:themeTint="BF"/>
            </w:tcBorders>
            <w:shd w:val="clear" w:color="auto" w:fill="auto"/>
            <w:noWrap/>
            <w:hideMark/>
          </w:tcPr>
          <w:p w:rsidR="008D6371" w:rsidRPr="00292D96" w:rsidRDefault="008D6371"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D130D8">
              <w:t>93</w:t>
            </w:r>
          </w:p>
        </w:tc>
        <w:tc>
          <w:tcPr>
            <w:tcW w:w="992" w:type="dxa"/>
            <w:tcBorders>
              <w:left w:val="single" w:sz="8" w:space="0" w:color="7BA0CD" w:themeColor="accent1" w:themeTint="BF"/>
              <w:bottom w:val="nil"/>
              <w:right w:val="single" w:sz="8" w:space="0" w:color="7BA0CD" w:themeColor="accent1" w:themeTint="BF"/>
            </w:tcBorders>
            <w:shd w:val="clear" w:color="auto" w:fill="auto"/>
            <w:noWrap/>
            <w:hideMark/>
          </w:tcPr>
          <w:p w:rsidR="008D6371" w:rsidRPr="00292D96" w:rsidRDefault="008D6371"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D130D8">
              <w:t>206</w:t>
            </w:r>
          </w:p>
        </w:tc>
        <w:tc>
          <w:tcPr>
            <w:tcW w:w="992" w:type="dxa"/>
            <w:tcBorders>
              <w:left w:val="single" w:sz="8" w:space="0" w:color="7BA0CD" w:themeColor="accent1" w:themeTint="BF"/>
              <w:bottom w:val="nil"/>
            </w:tcBorders>
            <w:shd w:val="clear" w:color="auto" w:fill="auto"/>
            <w:noWrap/>
            <w:hideMark/>
          </w:tcPr>
          <w:p w:rsidR="008D6371" w:rsidRPr="00292D96" w:rsidRDefault="008D6371" w:rsidP="00823493">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D130D8">
              <w:t>205</w:t>
            </w:r>
          </w:p>
        </w:tc>
      </w:tr>
      <w:tr w:rsidR="008D6371" w:rsidRPr="00292D96" w:rsidTr="00003C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09" w:type="dxa"/>
            <w:vMerge/>
            <w:tcBorders>
              <w:right w:val="single" w:sz="8" w:space="0" w:color="7BA0CD" w:themeColor="accent1" w:themeTint="BF"/>
            </w:tcBorders>
            <w:shd w:val="clear" w:color="auto" w:fill="auto"/>
            <w:hideMark/>
          </w:tcPr>
          <w:p w:rsidR="008D6371" w:rsidRPr="00292D96" w:rsidRDefault="008D6371" w:rsidP="00823493">
            <w:pPr>
              <w:rPr>
                <w:rFonts w:cs="Arial"/>
                <w:color w:val="000000"/>
                <w:sz w:val="20"/>
                <w:szCs w:val="20"/>
                <w:lang w:eastAsia="en-GB"/>
              </w:rPr>
            </w:pPr>
          </w:p>
        </w:tc>
        <w:tc>
          <w:tcPr>
            <w:tcW w:w="1417" w:type="dxa"/>
            <w:vMerge/>
            <w:tcBorders>
              <w:left w:val="single" w:sz="8" w:space="0" w:color="7BA0CD" w:themeColor="accent1" w:themeTint="BF"/>
              <w:right w:val="single" w:sz="8" w:space="0" w:color="7BA0CD" w:themeColor="accent1" w:themeTint="BF"/>
            </w:tcBorders>
            <w:shd w:val="clear" w:color="auto" w:fill="auto"/>
            <w:hideMark/>
          </w:tcPr>
          <w:p w:rsidR="008D6371" w:rsidRPr="00292D96" w:rsidRDefault="008D6371"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p>
        </w:tc>
        <w:tc>
          <w:tcPr>
            <w:tcW w:w="869" w:type="dxa"/>
            <w:tcBorders>
              <w:top w:val="nil"/>
              <w:left w:val="single" w:sz="8" w:space="0" w:color="7BA0CD" w:themeColor="accent1" w:themeTint="BF"/>
              <w:right w:val="single" w:sz="8" w:space="0" w:color="7BA0CD" w:themeColor="accent1" w:themeTint="BF"/>
            </w:tcBorders>
            <w:shd w:val="clear" w:color="auto" w:fill="auto"/>
            <w:noWrap/>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92D96">
              <w:rPr>
                <w:rFonts w:cs="Arial"/>
                <w:color w:val="000000"/>
                <w:sz w:val="20"/>
                <w:szCs w:val="20"/>
                <w:lang w:eastAsia="en-GB"/>
              </w:rPr>
              <w:t>(49.5)</w:t>
            </w:r>
          </w:p>
        </w:tc>
        <w:tc>
          <w:tcPr>
            <w:tcW w:w="1051" w:type="dxa"/>
            <w:tcBorders>
              <w:top w:val="nil"/>
              <w:left w:val="single" w:sz="8" w:space="0" w:color="7BA0CD" w:themeColor="accent1" w:themeTint="BF"/>
              <w:right w:val="single" w:sz="8" w:space="0" w:color="7BA0CD" w:themeColor="accent1" w:themeTint="BF"/>
            </w:tcBorders>
            <w:shd w:val="clear" w:color="auto" w:fill="auto"/>
            <w:noWrap/>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92D96">
              <w:rPr>
                <w:rFonts w:cs="Arial"/>
                <w:color w:val="000000"/>
                <w:sz w:val="20"/>
                <w:szCs w:val="20"/>
                <w:lang w:eastAsia="en-GB"/>
              </w:rPr>
              <w:t>(91.4)</w:t>
            </w:r>
          </w:p>
        </w:tc>
        <w:tc>
          <w:tcPr>
            <w:tcW w:w="1557" w:type="dxa"/>
            <w:tcBorders>
              <w:top w:val="nil"/>
              <w:left w:val="single" w:sz="8" w:space="0" w:color="7BA0CD" w:themeColor="accent1" w:themeTint="BF"/>
              <w:right w:val="single" w:sz="8" w:space="0" w:color="7BA0CD" w:themeColor="accent1" w:themeTint="BF"/>
            </w:tcBorders>
            <w:shd w:val="clear" w:color="auto" w:fill="auto"/>
            <w:noWrap/>
            <w:hideMark/>
          </w:tcPr>
          <w:p w:rsidR="008D6371" w:rsidRPr="00292D96" w:rsidRDefault="008D6371"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92D96">
              <w:rPr>
                <w:rFonts w:cs="Arial"/>
                <w:color w:val="000000"/>
                <w:sz w:val="20"/>
                <w:szCs w:val="20"/>
                <w:lang w:eastAsia="en-GB"/>
              </w:rPr>
              <w:t>µg/kg bw/day</w:t>
            </w:r>
          </w:p>
        </w:tc>
        <w:tc>
          <w:tcPr>
            <w:tcW w:w="992" w:type="dxa"/>
            <w:tcBorders>
              <w:top w:val="nil"/>
              <w:left w:val="single" w:sz="8" w:space="0" w:color="7BA0CD" w:themeColor="accent1" w:themeTint="BF"/>
              <w:right w:val="single" w:sz="8" w:space="0" w:color="7BA0CD" w:themeColor="accent1" w:themeTint="BF"/>
            </w:tcBorders>
            <w:shd w:val="clear" w:color="auto" w:fill="auto"/>
            <w:noWrap/>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D130D8">
              <w:t>1</w:t>
            </w:r>
          </w:p>
        </w:tc>
        <w:tc>
          <w:tcPr>
            <w:tcW w:w="1134" w:type="dxa"/>
            <w:tcBorders>
              <w:top w:val="nil"/>
              <w:left w:val="single" w:sz="8" w:space="0" w:color="7BA0CD" w:themeColor="accent1" w:themeTint="BF"/>
              <w:right w:val="single" w:sz="8" w:space="0" w:color="7BA0CD" w:themeColor="accent1" w:themeTint="BF"/>
            </w:tcBorders>
            <w:shd w:val="clear" w:color="auto" w:fill="auto"/>
            <w:noWrap/>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D130D8">
              <w:t>1</w:t>
            </w:r>
          </w:p>
        </w:tc>
        <w:tc>
          <w:tcPr>
            <w:tcW w:w="992" w:type="dxa"/>
            <w:tcBorders>
              <w:top w:val="nil"/>
              <w:left w:val="single" w:sz="8" w:space="0" w:color="7BA0CD" w:themeColor="accent1" w:themeTint="BF"/>
              <w:right w:val="single" w:sz="8" w:space="0" w:color="7BA0CD" w:themeColor="accent1" w:themeTint="BF"/>
            </w:tcBorders>
            <w:shd w:val="clear" w:color="auto" w:fill="auto"/>
            <w:noWrap/>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D130D8">
              <w:t>2</w:t>
            </w:r>
          </w:p>
        </w:tc>
        <w:tc>
          <w:tcPr>
            <w:tcW w:w="993" w:type="dxa"/>
            <w:tcBorders>
              <w:top w:val="nil"/>
              <w:left w:val="single" w:sz="8" w:space="0" w:color="7BA0CD" w:themeColor="accent1" w:themeTint="BF"/>
              <w:right w:val="single" w:sz="8" w:space="0" w:color="7BA0CD" w:themeColor="accent1" w:themeTint="BF"/>
            </w:tcBorders>
            <w:shd w:val="clear" w:color="auto" w:fill="auto"/>
            <w:noWrap/>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D130D8">
              <w:t>1</w:t>
            </w:r>
          </w:p>
        </w:tc>
        <w:tc>
          <w:tcPr>
            <w:tcW w:w="992" w:type="dxa"/>
            <w:tcBorders>
              <w:top w:val="nil"/>
              <w:left w:val="single" w:sz="8" w:space="0" w:color="7BA0CD" w:themeColor="accent1" w:themeTint="BF"/>
              <w:right w:val="single" w:sz="8" w:space="0" w:color="7BA0CD" w:themeColor="accent1" w:themeTint="BF"/>
            </w:tcBorders>
            <w:shd w:val="clear" w:color="auto" w:fill="auto"/>
            <w:noWrap/>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D130D8">
              <w:t>3</w:t>
            </w:r>
          </w:p>
        </w:tc>
        <w:tc>
          <w:tcPr>
            <w:tcW w:w="992" w:type="dxa"/>
            <w:tcBorders>
              <w:top w:val="nil"/>
              <w:left w:val="single" w:sz="8" w:space="0" w:color="7BA0CD" w:themeColor="accent1" w:themeTint="BF"/>
            </w:tcBorders>
            <w:shd w:val="clear" w:color="auto" w:fill="auto"/>
            <w:noWrap/>
            <w:hideMark/>
          </w:tcPr>
          <w:p w:rsidR="008D6371" w:rsidRPr="00292D96" w:rsidRDefault="008D6371" w:rsidP="00823493">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D130D8">
              <w:t>3</w:t>
            </w:r>
          </w:p>
        </w:tc>
      </w:tr>
    </w:tbl>
    <w:p w:rsidR="00D33562" w:rsidRPr="00292D96" w:rsidRDefault="00D33562" w:rsidP="00D33562">
      <w:pPr>
        <w:rPr>
          <w:rFonts w:cs="Arial"/>
          <w:sz w:val="18"/>
        </w:rPr>
      </w:pPr>
      <w:r w:rsidRPr="00292D96">
        <w:rPr>
          <w:rFonts w:cs="Arial"/>
          <w:sz w:val="18"/>
        </w:rPr>
        <w:t xml:space="preserve">Note: Lower bound (LB) results are </w:t>
      </w:r>
      <w:r w:rsidR="006F4F65">
        <w:rPr>
          <w:rFonts w:cs="Arial"/>
          <w:sz w:val="18"/>
        </w:rPr>
        <w:t xml:space="preserve">calculated by assigning </w:t>
      </w:r>
      <w:r w:rsidRPr="00292D96">
        <w:rPr>
          <w:rFonts w:cs="Arial"/>
          <w:sz w:val="18"/>
        </w:rPr>
        <w:t>concentrations below the L</w:t>
      </w:r>
      <w:r w:rsidR="00292D96">
        <w:rPr>
          <w:rFonts w:cs="Arial"/>
          <w:sz w:val="18"/>
        </w:rPr>
        <w:t>o</w:t>
      </w:r>
      <w:r w:rsidR="002D2572">
        <w:rPr>
          <w:rFonts w:cs="Arial"/>
          <w:sz w:val="18"/>
        </w:rPr>
        <w:t>D</w:t>
      </w:r>
      <w:r w:rsidRPr="00292D96">
        <w:rPr>
          <w:rFonts w:cs="Arial"/>
          <w:sz w:val="18"/>
        </w:rPr>
        <w:t xml:space="preserve"> </w:t>
      </w:r>
      <w:r w:rsidR="006F4F65">
        <w:rPr>
          <w:rFonts w:cs="Arial"/>
          <w:sz w:val="18"/>
        </w:rPr>
        <w:t>as</w:t>
      </w:r>
      <w:r w:rsidRPr="00292D96">
        <w:rPr>
          <w:rFonts w:cs="Arial"/>
          <w:sz w:val="18"/>
        </w:rPr>
        <w:t xml:space="preserve"> zero; upper bound (UB) results are </w:t>
      </w:r>
      <w:r w:rsidR="006F4F65">
        <w:rPr>
          <w:rFonts w:cs="Arial"/>
          <w:sz w:val="18"/>
        </w:rPr>
        <w:t xml:space="preserve">are calculated by </w:t>
      </w:r>
      <w:r w:rsidR="00240CCC">
        <w:rPr>
          <w:rFonts w:cs="Arial"/>
          <w:sz w:val="18"/>
        </w:rPr>
        <w:t xml:space="preserve">assigning </w:t>
      </w:r>
      <w:r w:rsidR="00240CCC" w:rsidRPr="00292D96">
        <w:rPr>
          <w:rFonts w:cs="Arial"/>
          <w:sz w:val="18"/>
        </w:rPr>
        <w:t>concentrations</w:t>
      </w:r>
      <w:r w:rsidRPr="00292D96">
        <w:rPr>
          <w:rFonts w:cs="Arial"/>
          <w:sz w:val="18"/>
        </w:rPr>
        <w:t xml:space="preserve"> below the L</w:t>
      </w:r>
      <w:r w:rsidR="00292D96">
        <w:rPr>
          <w:rFonts w:cs="Arial"/>
          <w:sz w:val="18"/>
        </w:rPr>
        <w:t>o</w:t>
      </w:r>
      <w:r w:rsidRPr="00292D96">
        <w:rPr>
          <w:rFonts w:cs="Arial"/>
          <w:sz w:val="18"/>
        </w:rPr>
        <w:t xml:space="preserve">D </w:t>
      </w:r>
      <w:r w:rsidR="006F4F65">
        <w:rPr>
          <w:rFonts w:cs="Arial"/>
          <w:sz w:val="18"/>
        </w:rPr>
        <w:t>as</w:t>
      </w:r>
      <w:r w:rsidRPr="00292D96">
        <w:rPr>
          <w:rFonts w:cs="Arial"/>
          <w:sz w:val="18"/>
        </w:rPr>
        <w:t xml:space="preserve"> a concentration equal to the L</w:t>
      </w:r>
      <w:r w:rsidR="00292D96">
        <w:rPr>
          <w:rFonts w:cs="Arial"/>
          <w:sz w:val="18"/>
        </w:rPr>
        <w:t>o</w:t>
      </w:r>
      <w:r w:rsidRPr="00292D96">
        <w:rPr>
          <w:rFonts w:cs="Arial"/>
          <w:sz w:val="18"/>
        </w:rPr>
        <w:t>D.</w:t>
      </w:r>
    </w:p>
    <w:p w:rsidR="00D33562" w:rsidRDefault="00D33562" w:rsidP="00D33562">
      <w:pPr>
        <w:rPr>
          <w:sz w:val="18"/>
        </w:rPr>
      </w:pPr>
    </w:p>
    <w:p w:rsidR="00D33562" w:rsidRPr="00D87635" w:rsidRDefault="00D33562" w:rsidP="00D33562">
      <w:pPr>
        <w:rPr>
          <w:sz w:val="18"/>
        </w:rPr>
      </w:pPr>
    </w:p>
    <w:p w:rsidR="00D33562" w:rsidRDefault="00D33562" w:rsidP="00D33562"/>
    <w:p w:rsidR="00D33562" w:rsidRDefault="00D33562" w:rsidP="00D33562">
      <w:pPr>
        <w:sectPr w:rsidR="00D33562" w:rsidSect="007677B7">
          <w:pgSz w:w="16838" w:h="11906" w:orient="landscape"/>
          <w:pgMar w:top="1440" w:right="1440" w:bottom="1440" w:left="1440" w:header="709" w:footer="709" w:gutter="0"/>
          <w:cols w:space="708"/>
          <w:docGrid w:linePitch="360"/>
        </w:sectPr>
      </w:pPr>
    </w:p>
    <w:p w:rsidR="00D33562" w:rsidRPr="002D2572" w:rsidRDefault="00D33562" w:rsidP="00391DE3">
      <w:pPr>
        <w:pStyle w:val="Heading3LT"/>
      </w:pPr>
      <w:bookmarkStart w:id="146" w:name="_Ref338051547"/>
      <w:bookmarkStart w:id="147" w:name="_Toc384293557"/>
      <w:bookmarkStart w:id="148" w:name="Table13"/>
      <w:r w:rsidRPr="002D2572">
        <w:lastRenderedPageBreak/>
        <w:t xml:space="preserve">Table </w:t>
      </w:r>
      <w:bookmarkEnd w:id="146"/>
      <w:r w:rsidR="00425868">
        <w:t>11</w:t>
      </w:r>
      <w:r w:rsidR="002D2572">
        <w:t>:</w:t>
      </w:r>
      <w:r w:rsidRPr="002D2572">
        <w:t xml:space="preserve"> Major contributors (≥5%) to chronic dietary exposure to total </w:t>
      </w:r>
      <w:r w:rsidR="002D2572">
        <w:t>HCN</w:t>
      </w:r>
      <w:r w:rsidRPr="002D2572">
        <w:t xml:space="preserve"> for the population groups assessed</w:t>
      </w:r>
      <w:bookmarkEnd w:id="147"/>
    </w:p>
    <w:tbl>
      <w:tblPr>
        <w:tblStyle w:val="MediumShading1-Accent1"/>
        <w:tblW w:w="9747" w:type="dxa"/>
        <w:tblBorders>
          <w:insideV w:val="single" w:sz="8" w:space="0" w:color="7BA0CD" w:themeColor="accent1" w:themeTint="BF"/>
        </w:tblBorders>
        <w:tblLook w:val="04A0" w:firstRow="1" w:lastRow="0" w:firstColumn="1" w:lastColumn="0" w:noHBand="0" w:noVBand="1"/>
      </w:tblPr>
      <w:tblGrid>
        <w:gridCol w:w="2660"/>
        <w:gridCol w:w="1843"/>
        <w:gridCol w:w="1701"/>
        <w:gridCol w:w="1701"/>
        <w:gridCol w:w="1842"/>
      </w:tblGrid>
      <w:tr w:rsidR="002D2572" w:rsidRPr="002D2572" w:rsidTr="00003C1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60" w:type="dxa"/>
            <w:vMerge w:val="restart"/>
            <w:tcBorders>
              <w:top w:val="none" w:sz="0" w:space="0" w:color="auto"/>
              <w:left w:val="none" w:sz="0" w:space="0" w:color="auto"/>
              <w:bottom w:val="none" w:sz="0" w:space="0" w:color="auto"/>
              <w:right w:val="none" w:sz="0" w:space="0" w:color="auto"/>
            </w:tcBorders>
            <w:noWrap/>
          </w:tcPr>
          <w:bookmarkEnd w:id="148"/>
          <w:p w:rsidR="00D33562" w:rsidRPr="002D2572" w:rsidRDefault="00D33562" w:rsidP="00CB5160">
            <w:pPr>
              <w:keepNext/>
              <w:rPr>
                <w:rFonts w:cs="Arial"/>
                <w:sz w:val="20"/>
                <w:szCs w:val="20"/>
                <w:lang w:eastAsia="en-GB"/>
              </w:rPr>
            </w:pPr>
            <w:r w:rsidRPr="002D2572">
              <w:rPr>
                <w:rFonts w:cs="Arial"/>
                <w:sz w:val="20"/>
                <w:szCs w:val="20"/>
                <w:lang w:eastAsia="en-GB"/>
              </w:rPr>
              <w:t xml:space="preserve">Food </w:t>
            </w:r>
          </w:p>
        </w:tc>
        <w:tc>
          <w:tcPr>
            <w:tcW w:w="7087" w:type="dxa"/>
            <w:gridSpan w:val="4"/>
            <w:tcBorders>
              <w:top w:val="none" w:sz="0" w:space="0" w:color="auto"/>
              <w:left w:val="none" w:sz="0" w:space="0" w:color="auto"/>
              <w:bottom w:val="none" w:sz="0" w:space="0" w:color="auto"/>
              <w:right w:val="none" w:sz="0" w:space="0" w:color="auto"/>
            </w:tcBorders>
            <w:noWrap/>
          </w:tcPr>
          <w:p w:rsidR="00D33562" w:rsidRPr="002D2572" w:rsidRDefault="00D33562" w:rsidP="008A6317">
            <w:pPr>
              <w:keepNext/>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GB"/>
              </w:rPr>
            </w:pPr>
            <w:r w:rsidRPr="002D2572">
              <w:rPr>
                <w:rFonts w:cs="Arial"/>
                <w:sz w:val="20"/>
                <w:szCs w:val="20"/>
              </w:rPr>
              <w:t>Contribution* (%)</w:t>
            </w:r>
          </w:p>
        </w:tc>
      </w:tr>
      <w:tr w:rsidR="002D2572" w:rsidRPr="002D2572" w:rsidTr="00003C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60" w:type="dxa"/>
            <w:vMerge/>
            <w:tcBorders>
              <w:right w:val="none" w:sz="0" w:space="0" w:color="auto"/>
            </w:tcBorders>
            <w:shd w:val="clear" w:color="auto" w:fill="4F81BD" w:themeFill="accent1"/>
            <w:noWrap/>
          </w:tcPr>
          <w:p w:rsidR="00D33562" w:rsidRPr="002D2572" w:rsidRDefault="00D33562" w:rsidP="008A6317">
            <w:pPr>
              <w:keepNext/>
              <w:jc w:val="center"/>
              <w:rPr>
                <w:rFonts w:cs="Arial"/>
                <w:color w:val="FFFFFF" w:themeColor="background1"/>
                <w:sz w:val="20"/>
                <w:szCs w:val="20"/>
                <w:lang w:eastAsia="en-GB"/>
              </w:rPr>
            </w:pPr>
          </w:p>
        </w:tc>
        <w:tc>
          <w:tcPr>
            <w:tcW w:w="3544" w:type="dxa"/>
            <w:gridSpan w:val="2"/>
            <w:tcBorders>
              <w:left w:val="none" w:sz="0" w:space="0" w:color="auto"/>
              <w:right w:val="none" w:sz="0" w:space="0" w:color="auto"/>
            </w:tcBorders>
            <w:shd w:val="clear" w:color="auto" w:fill="4F81BD" w:themeFill="accent1"/>
            <w:noWrap/>
          </w:tcPr>
          <w:p w:rsidR="00D33562" w:rsidRPr="002D2572" w:rsidRDefault="00D33562" w:rsidP="008A6317">
            <w:pPr>
              <w:keepNext/>
              <w:jc w:val="center"/>
              <w:cnfStyle w:val="000000100000" w:firstRow="0" w:lastRow="0" w:firstColumn="0" w:lastColumn="0" w:oddVBand="0" w:evenVBand="0" w:oddHBand="1" w:evenHBand="0" w:firstRowFirstColumn="0" w:firstRowLastColumn="0" w:lastRowFirstColumn="0" w:lastRowLastColumn="0"/>
              <w:rPr>
                <w:rFonts w:cs="Arial"/>
                <w:b/>
                <w:color w:val="FFFFFF" w:themeColor="background1"/>
                <w:sz w:val="20"/>
                <w:szCs w:val="20"/>
              </w:rPr>
            </w:pPr>
            <w:r w:rsidRPr="002D2572">
              <w:rPr>
                <w:rFonts w:cs="Arial"/>
                <w:b/>
                <w:color w:val="FFFFFF" w:themeColor="background1"/>
                <w:sz w:val="20"/>
                <w:szCs w:val="20"/>
              </w:rPr>
              <w:t>Australia</w:t>
            </w:r>
          </w:p>
        </w:tc>
        <w:tc>
          <w:tcPr>
            <w:tcW w:w="3543" w:type="dxa"/>
            <w:gridSpan w:val="2"/>
            <w:tcBorders>
              <w:left w:val="none" w:sz="0" w:space="0" w:color="auto"/>
            </w:tcBorders>
            <w:shd w:val="clear" w:color="auto" w:fill="4F81BD" w:themeFill="accent1"/>
            <w:noWrap/>
          </w:tcPr>
          <w:p w:rsidR="00D33562" w:rsidRPr="002D2572" w:rsidRDefault="00D33562" w:rsidP="008A6317">
            <w:pPr>
              <w:keepNext/>
              <w:jc w:val="center"/>
              <w:cnfStyle w:val="000000100000" w:firstRow="0" w:lastRow="0" w:firstColumn="0" w:lastColumn="0" w:oddVBand="0" w:evenVBand="0" w:oddHBand="1" w:evenHBand="0" w:firstRowFirstColumn="0" w:firstRowLastColumn="0" w:lastRowFirstColumn="0" w:lastRowLastColumn="0"/>
              <w:rPr>
                <w:rFonts w:cs="Arial"/>
                <w:b/>
                <w:color w:val="FFFFFF" w:themeColor="background1"/>
                <w:sz w:val="20"/>
                <w:szCs w:val="20"/>
              </w:rPr>
            </w:pPr>
            <w:r w:rsidRPr="002D2572">
              <w:rPr>
                <w:rFonts w:cs="Arial"/>
                <w:b/>
                <w:color w:val="FFFFFF" w:themeColor="background1"/>
                <w:sz w:val="20"/>
                <w:szCs w:val="20"/>
              </w:rPr>
              <w:t>New Zealand</w:t>
            </w:r>
          </w:p>
        </w:tc>
      </w:tr>
      <w:tr w:rsidR="002D2572" w:rsidRPr="002D2572" w:rsidTr="00003C1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60" w:type="dxa"/>
            <w:vMerge/>
            <w:tcBorders>
              <w:right w:val="none" w:sz="0" w:space="0" w:color="auto"/>
            </w:tcBorders>
            <w:shd w:val="clear" w:color="auto" w:fill="4F81BD" w:themeFill="accent1"/>
            <w:noWrap/>
            <w:hideMark/>
          </w:tcPr>
          <w:p w:rsidR="00D33562" w:rsidRPr="002D2572" w:rsidRDefault="00D33562" w:rsidP="008A6317">
            <w:pPr>
              <w:keepNext/>
              <w:jc w:val="center"/>
              <w:rPr>
                <w:rFonts w:cs="Arial"/>
                <w:color w:val="FFFFFF" w:themeColor="background1"/>
                <w:sz w:val="20"/>
                <w:szCs w:val="20"/>
                <w:lang w:eastAsia="en-GB"/>
              </w:rPr>
            </w:pPr>
          </w:p>
        </w:tc>
        <w:tc>
          <w:tcPr>
            <w:tcW w:w="1843" w:type="dxa"/>
            <w:tcBorders>
              <w:left w:val="none" w:sz="0" w:space="0" w:color="auto"/>
              <w:right w:val="none" w:sz="0" w:space="0" w:color="auto"/>
            </w:tcBorders>
            <w:shd w:val="clear" w:color="auto" w:fill="4F81BD" w:themeFill="accent1"/>
            <w:noWrap/>
            <w:hideMark/>
          </w:tcPr>
          <w:p w:rsidR="00D33562" w:rsidRPr="002D2572" w:rsidRDefault="00D33562" w:rsidP="000644A3">
            <w:pPr>
              <w:keepNext/>
              <w:jc w:val="center"/>
              <w:cnfStyle w:val="000000010000" w:firstRow="0" w:lastRow="0" w:firstColumn="0" w:lastColumn="0" w:oddVBand="0" w:evenVBand="0" w:oddHBand="0" w:evenHBand="1" w:firstRowFirstColumn="0" w:firstRowLastColumn="0" w:lastRowFirstColumn="0" w:lastRowLastColumn="0"/>
              <w:rPr>
                <w:rFonts w:cs="Arial"/>
                <w:color w:val="FFFFFF" w:themeColor="background1"/>
                <w:sz w:val="20"/>
                <w:szCs w:val="20"/>
              </w:rPr>
            </w:pPr>
            <w:r w:rsidRPr="002D2572">
              <w:rPr>
                <w:rFonts w:cs="Arial"/>
                <w:b/>
                <w:color w:val="FFFFFF" w:themeColor="background1"/>
                <w:sz w:val="20"/>
                <w:szCs w:val="20"/>
              </w:rPr>
              <w:t>2-16 years</w:t>
            </w:r>
          </w:p>
        </w:tc>
        <w:tc>
          <w:tcPr>
            <w:tcW w:w="1701" w:type="dxa"/>
            <w:tcBorders>
              <w:left w:val="none" w:sz="0" w:space="0" w:color="auto"/>
              <w:right w:val="none" w:sz="0" w:space="0" w:color="auto"/>
            </w:tcBorders>
            <w:shd w:val="clear" w:color="auto" w:fill="4F81BD" w:themeFill="accent1"/>
            <w:noWrap/>
            <w:hideMark/>
          </w:tcPr>
          <w:p w:rsidR="00D33562" w:rsidRPr="002D2572" w:rsidRDefault="00D33562" w:rsidP="000644A3">
            <w:pPr>
              <w:keepNext/>
              <w:jc w:val="center"/>
              <w:cnfStyle w:val="000000010000" w:firstRow="0" w:lastRow="0" w:firstColumn="0" w:lastColumn="0" w:oddVBand="0" w:evenVBand="0" w:oddHBand="0" w:evenHBand="1" w:firstRowFirstColumn="0" w:firstRowLastColumn="0" w:lastRowFirstColumn="0" w:lastRowLastColumn="0"/>
              <w:rPr>
                <w:rFonts w:cs="Arial"/>
                <w:color w:val="FFFFFF" w:themeColor="background1"/>
                <w:sz w:val="20"/>
                <w:szCs w:val="20"/>
              </w:rPr>
            </w:pPr>
            <w:r w:rsidRPr="002D2572">
              <w:rPr>
                <w:rFonts w:cs="Arial"/>
                <w:b/>
                <w:color w:val="FFFFFF" w:themeColor="background1"/>
                <w:sz w:val="20"/>
                <w:szCs w:val="20"/>
              </w:rPr>
              <w:t>17 years and above</w:t>
            </w:r>
          </w:p>
        </w:tc>
        <w:tc>
          <w:tcPr>
            <w:tcW w:w="1701" w:type="dxa"/>
            <w:tcBorders>
              <w:left w:val="none" w:sz="0" w:space="0" w:color="auto"/>
              <w:right w:val="none" w:sz="0" w:space="0" w:color="auto"/>
            </w:tcBorders>
            <w:shd w:val="clear" w:color="auto" w:fill="4F81BD" w:themeFill="accent1"/>
            <w:noWrap/>
            <w:hideMark/>
          </w:tcPr>
          <w:p w:rsidR="00D33562" w:rsidRPr="002D2572" w:rsidRDefault="00D33562" w:rsidP="000644A3">
            <w:pPr>
              <w:keepNext/>
              <w:jc w:val="center"/>
              <w:cnfStyle w:val="000000010000" w:firstRow="0" w:lastRow="0" w:firstColumn="0" w:lastColumn="0" w:oddVBand="0" w:evenVBand="0" w:oddHBand="0" w:evenHBand="1" w:firstRowFirstColumn="0" w:firstRowLastColumn="0" w:lastRowFirstColumn="0" w:lastRowLastColumn="0"/>
              <w:rPr>
                <w:rFonts w:cs="Arial"/>
                <w:color w:val="FFFFFF" w:themeColor="background1"/>
                <w:sz w:val="20"/>
                <w:szCs w:val="20"/>
              </w:rPr>
            </w:pPr>
            <w:r w:rsidRPr="002D2572">
              <w:rPr>
                <w:rFonts w:cs="Arial"/>
                <w:b/>
                <w:color w:val="FFFFFF" w:themeColor="background1"/>
                <w:sz w:val="20"/>
                <w:szCs w:val="20"/>
              </w:rPr>
              <w:t>5-14 years</w:t>
            </w:r>
          </w:p>
        </w:tc>
        <w:tc>
          <w:tcPr>
            <w:tcW w:w="1842" w:type="dxa"/>
            <w:tcBorders>
              <w:left w:val="none" w:sz="0" w:space="0" w:color="auto"/>
            </w:tcBorders>
            <w:shd w:val="clear" w:color="auto" w:fill="4F81BD" w:themeFill="accent1"/>
            <w:noWrap/>
            <w:hideMark/>
          </w:tcPr>
          <w:p w:rsidR="00D33562" w:rsidRPr="002D2572" w:rsidRDefault="00D33562" w:rsidP="000644A3">
            <w:pPr>
              <w:keepNext/>
              <w:jc w:val="center"/>
              <w:cnfStyle w:val="000000010000" w:firstRow="0" w:lastRow="0" w:firstColumn="0" w:lastColumn="0" w:oddVBand="0" w:evenVBand="0" w:oddHBand="0" w:evenHBand="1" w:firstRowFirstColumn="0" w:firstRowLastColumn="0" w:lastRowFirstColumn="0" w:lastRowLastColumn="0"/>
              <w:rPr>
                <w:rFonts w:cs="Arial"/>
                <w:color w:val="FFFFFF" w:themeColor="background1"/>
                <w:sz w:val="20"/>
                <w:szCs w:val="20"/>
              </w:rPr>
            </w:pPr>
            <w:r w:rsidRPr="002D2572">
              <w:rPr>
                <w:rFonts w:cs="Arial"/>
                <w:b/>
                <w:color w:val="FFFFFF" w:themeColor="background1"/>
                <w:sz w:val="20"/>
                <w:szCs w:val="20"/>
              </w:rPr>
              <w:t>15 years and above</w:t>
            </w:r>
          </w:p>
        </w:tc>
      </w:tr>
      <w:tr w:rsidR="008A6317" w:rsidRPr="002D2572" w:rsidTr="00B348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shd w:val="clear" w:color="auto" w:fill="auto"/>
            <w:noWrap/>
            <w:hideMark/>
          </w:tcPr>
          <w:p w:rsidR="00D33562" w:rsidRPr="002D2572" w:rsidRDefault="00D33562" w:rsidP="00823493">
            <w:pPr>
              <w:keepNext/>
              <w:rPr>
                <w:rFonts w:cs="Arial"/>
                <w:color w:val="000000"/>
                <w:sz w:val="20"/>
                <w:szCs w:val="20"/>
                <w:lang w:eastAsia="en-GB"/>
              </w:rPr>
            </w:pPr>
            <w:r w:rsidRPr="002D2572">
              <w:rPr>
                <w:rFonts w:cs="Arial"/>
                <w:color w:val="000000"/>
                <w:sz w:val="20"/>
                <w:szCs w:val="20"/>
                <w:lang w:eastAsia="en-GB"/>
              </w:rPr>
              <w:t>Almonds</w:t>
            </w:r>
          </w:p>
        </w:tc>
        <w:tc>
          <w:tcPr>
            <w:tcW w:w="1843" w:type="dxa"/>
            <w:tcBorders>
              <w:left w:val="none" w:sz="0" w:space="0" w:color="auto"/>
              <w:right w:val="none" w:sz="0" w:space="0" w:color="auto"/>
            </w:tcBorders>
            <w:shd w:val="clear" w:color="auto" w:fill="auto"/>
            <w:noWrap/>
            <w:hideMark/>
          </w:tcPr>
          <w:p w:rsidR="00D33562" w:rsidRPr="002D2572" w:rsidRDefault="00D33562" w:rsidP="000644A3">
            <w:pPr>
              <w:keepNex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D2572">
              <w:rPr>
                <w:rFonts w:cs="Arial"/>
                <w:color w:val="000000"/>
                <w:sz w:val="20"/>
                <w:szCs w:val="20"/>
                <w:lang w:eastAsia="en-GB"/>
              </w:rPr>
              <w:t>&lt;5</w:t>
            </w:r>
          </w:p>
        </w:tc>
        <w:tc>
          <w:tcPr>
            <w:tcW w:w="1701" w:type="dxa"/>
            <w:tcBorders>
              <w:left w:val="none" w:sz="0" w:space="0" w:color="auto"/>
              <w:right w:val="none" w:sz="0" w:space="0" w:color="auto"/>
            </w:tcBorders>
            <w:shd w:val="clear" w:color="auto" w:fill="D9D9D9" w:themeFill="background1" w:themeFillShade="D9"/>
            <w:noWrap/>
            <w:hideMark/>
          </w:tcPr>
          <w:p w:rsidR="00D33562" w:rsidRPr="002D2572" w:rsidRDefault="00D33562" w:rsidP="000644A3">
            <w:pPr>
              <w:keepNex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D2572">
              <w:rPr>
                <w:rFonts w:cs="Arial"/>
                <w:color w:val="000000"/>
                <w:sz w:val="20"/>
                <w:szCs w:val="20"/>
                <w:lang w:eastAsia="en-GB"/>
              </w:rPr>
              <w:t>8</w:t>
            </w:r>
          </w:p>
        </w:tc>
        <w:tc>
          <w:tcPr>
            <w:tcW w:w="1701" w:type="dxa"/>
            <w:tcBorders>
              <w:left w:val="none" w:sz="0" w:space="0" w:color="auto"/>
              <w:right w:val="none" w:sz="0" w:space="0" w:color="auto"/>
            </w:tcBorders>
            <w:shd w:val="clear" w:color="auto" w:fill="auto"/>
            <w:noWrap/>
            <w:hideMark/>
          </w:tcPr>
          <w:p w:rsidR="00D33562" w:rsidRPr="002D2572" w:rsidRDefault="00D33562" w:rsidP="000644A3">
            <w:pPr>
              <w:keepNex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D2572">
              <w:rPr>
                <w:rFonts w:cs="Arial"/>
                <w:color w:val="000000"/>
                <w:sz w:val="20"/>
                <w:szCs w:val="20"/>
                <w:lang w:eastAsia="en-GB"/>
              </w:rPr>
              <w:t>&lt;5</w:t>
            </w:r>
          </w:p>
        </w:tc>
        <w:tc>
          <w:tcPr>
            <w:tcW w:w="1842" w:type="dxa"/>
            <w:tcBorders>
              <w:left w:val="none" w:sz="0" w:space="0" w:color="auto"/>
            </w:tcBorders>
            <w:shd w:val="clear" w:color="auto" w:fill="auto"/>
            <w:noWrap/>
            <w:hideMark/>
          </w:tcPr>
          <w:p w:rsidR="00D33562" w:rsidRPr="002D2572" w:rsidRDefault="00D33562" w:rsidP="000644A3">
            <w:pPr>
              <w:keepNex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D2572">
              <w:rPr>
                <w:rFonts w:cs="Arial"/>
                <w:color w:val="000000"/>
                <w:sz w:val="20"/>
                <w:szCs w:val="20"/>
                <w:lang w:eastAsia="en-GB"/>
              </w:rPr>
              <w:t>&lt;5</w:t>
            </w:r>
          </w:p>
        </w:tc>
      </w:tr>
      <w:tr w:rsidR="008A6317" w:rsidRPr="002D2572" w:rsidTr="00B3483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shd w:val="clear" w:color="auto" w:fill="auto"/>
            <w:noWrap/>
            <w:hideMark/>
          </w:tcPr>
          <w:p w:rsidR="009365B1" w:rsidRPr="002D2572" w:rsidRDefault="00D33562" w:rsidP="00823493">
            <w:pPr>
              <w:keepNext/>
              <w:rPr>
                <w:rFonts w:cs="Arial"/>
                <w:color w:val="000000"/>
                <w:sz w:val="20"/>
                <w:szCs w:val="20"/>
                <w:lang w:eastAsia="en-GB"/>
              </w:rPr>
            </w:pPr>
            <w:r w:rsidRPr="002D2572">
              <w:rPr>
                <w:rFonts w:cs="Arial"/>
                <w:color w:val="000000"/>
                <w:sz w:val="20"/>
                <w:szCs w:val="20"/>
                <w:lang w:eastAsia="en-GB"/>
              </w:rPr>
              <w:t>Apple juice</w:t>
            </w:r>
            <w:r w:rsidR="00C62236" w:rsidRPr="00C62236">
              <w:rPr>
                <w:rFonts w:cs="Arial"/>
                <w:color w:val="000000"/>
                <w:sz w:val="20"/>
                <w:szCs w:val="20"/>
                <w:vertAlign w:val="superscript"/>
                <w:lang w:eastAsia="en-GB"/>
              </w:rPr>
              <w:t>a</w:t>
            </w:r>
          </w:p>
        </w:tc>
        <w:tc>
          <w:tcPr>
            <w:tcW w:w="1843" w:type="dxa"/>
            <w:tcBorders>
              <w:left w:val="none" w:sz="0" w:space="0" w:color="auto"/>
              <w:right w:val="none" w:sz="0" w:space="0" w:color="auto"/>
            </w:tcBorders>
            <w:shd w:val="clear" w:color="auto" w:fill="D9D9D9" w:themeFill="background1" w:themeFillShade="D9"/>
            <w:noWrap/>
            <w:hideMark/>
          </w:tcPr>
          <w:p w:rsidR="00D33562" w:rsidRPr="002D2572" w:rsidRDefault="00FD1076" w:rsidP="000644A3">
            <w:pPr>
              <w:keepNex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Pr>
                <w:rFonts w:cs="Arial"/>
                <w:color w:val="000000"/>
                <w:sz w:val="20"/>
                <w:szCs w:val="20"/>
                <w:lang w:eastAsia="en-GB"/>
              </w:rPr>
              <w:t>6</w:t>
            </w:r>
          </w:p>
        </w:tc>
        <w:tc>
          <w:tcPr>
            <w:tcW w:w="1701" w:type="dxa"/>
            <w:tcBorders>
              <w:left w:val="none" w:sz="0" w:space="0" w:color="auto"/>
              <w:right w:val="none" w:sz="0" w:space="0" w:color="auto"/>
            </w:tcBorders>
            <w:shd w:val="clear" w:color="auto" w:fill="auto"/>
            <w:noWrap/>
            <w:hideMark/>
          </w:tcPr>
          <w:p w:rsidR="00D33562" w:rsidRPr="002D2572" w:rsidRDefault="00D33562" w:rsidP="000644A3">
            <w:pPr>
              <w:keepNex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D2572">
              <w:rPr>
                <w:rFonts w:cs="Arial"/>
                <w:color w:val="000000"/>
                <w:sz w:val="20"/>
                <w:szCs w:val="20"/>
                <w:lang w:eastAsia="en-GB"/>
              </w:rPr>
              <w:t>&lt;5</w:t>
            </w:r>
          </w:p>
        </w:tc>
        <w:tc>
          <w:tcPr>
            <w:tcW w:w="1701" w:type="dxa"/>
            <w:tcBorders>
              <w:left w:val="none" w:sz="0" w:space="0" w:color="auto"/>
              <w:right w:val="none" w:sz="0" w:space="0" w:color="auto"/>
            </w:tcBorders>
            <w:shd w:val="clear" w:color="auto" w:fill="auto"/>
            <w:noWrap/>
            <w:hideMark/>
          </w:tcPr>
          <w:p w:rsidR="00D33562" w:rsidRPr="002D2572" w:rsidRDefault="00FD1076" w:rsidP="000644A3">
            <w:pPr>
              <w:keepNex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Pr>
                <w:rFonts w:cs="Arial"/>
                <w:color w:val="000000"/>
                <w:sz w:val="20"/>
                <w:szCs w:val="20"/>
                <w:lang w:eastAsia="en-GB"/>
              </w:rPr>
              <w:t>&lt;</w:t>
            </w:r>
            <w:r w:rsidR="00D33562" w:rsidRPr="002D2572">
              <w:rPr>
                <w:rFonts w:cs="Arial"/>
                <w:color w:val="000000"/>
                <w:sz w:val="20"/>
                <w:szCs w:val="20"/>
                <w:lang w:eastAsia="en-GB"/>
              </w:rPr>
              <w:t>5</w:t>
            </w:r>
          </w:p>
        </w:tc>
        <w:tc>
          <w:tcPr>
            <w:tcW w:w="1842" w:type="dxa"/>
            <w:tcBorders>
              <w:left w:val="none" w:sz="0" w:space="0" w:color="auto"/>
            </w:tcBorders>
            <w:shd w:val="clear" w:color="auto" w:fill="auto"/>
            <w:noWrap/>
            <w:hideMark/>
          </w:tcPr>
          <w:p w:rsidR="00D33562" w:rsidRPr="002D2572" w:rsidRDefault="00D33562" w:rsidP="000644A3">
            <w:pPr>
              <w:keepNex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D2572">
              <w:rPr>
                <w:rFonts w:cs="Arial"/>
                <w:color w:val="000000"/>
                <w:sz w:val="20"/>
                <w:szCs w:val="20"/>
                <w:lang w:eastAsia="en-GB"/>
              </w:rPr>
              <w:t>&lt;5</w:t>
            </w:r>
          </w:p>
        </w:tc>
      </w:tr>
      <w:tr w:rsidR="008A6317" w:rsidRPr="002D2572" w:rsidTr="00B348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shd w:val="clear" w:color="auto" w:fill="auto"/>
            <w:noWrap/>
            <w:hideMark/>
          </w:tcPr>
          <w:p w:rsidR="00D33562" w:rsidRPr="002D2572" w:rsidRDefault="00D33562" w:rsidP="00823493">
            <w:pPr>
              <w:keepNext/>
              <w:rPr>
                <w:rFonts w:cs="Arial"/>
                <w:color w:val="000000"/>
                <w:sz w:val="20"/>
                <w:szCs w:val="20"/>
                <w:lang w:eastAsia="en-GB"/>
              </w:rPr>
            </w:pPr>
            <w:r w:rsidRPr="002D2572">
              <w:rPr>
                <w:rFonts w:cs="Arial"/>
                <w:color w:val="000000"/>
                <w:sz w:val="20"/>
                <w:szCs w:val="20"/>
                <w:lang w:eastAsia="en-GB"/>
              </w:rPr>
              <w:t>Bamboo shoots</w:t>
            </w:r>
            <w:r w:rsidR="00C62236" w:rsidRPr="00C62236">
              <w:rPr>
                <w:rFonts w:cs="Arial"/>
                <w:color w:val="000000"/>
                <w:sz w:val="20"/>
                <w:szCs w:val="20"/>
                <w:vertAlign w:val="superscript"/>
                <w:lang w:eastAsia="en-GB"/>
              </w:rPr>
              <w:t>b</w:t>
            </w:r>
          </w:p>
        </w:tc>
        <w:tc>
          <w:tcPr>
            <w:tcW w:w="1843" w:type="dxa"/>
            <w:tcBorders>
              <w:left w:val="none" w:sz="0" w:space="0" w:color="auto"/>
              <w:right w:val="none" w:sz="0" w:space="0" w:color="auto"/>
            </w:tcBorders>
            <w:shd w:val="clear" w:color="auto" w:fill="auto"/>
            <w:noWrap/>
            <w:hideMark/>
          </w:tcPr>
          <w:p w:rsidR="00D33562" w:rsidRPr="002D2572" w:rsidRDefault="00FD1076" w:rsidP="000644A3">
            <w:pPr>
              <w:keepNex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Pr>
                <w:rFonts w:cs="Arial"/>
                <w:color w:val="000000"/>
                <w:sz w:val="20"/>
                <w:szCs w:val="20"/>
                <w:lang w:eastAsia="en-GB"/>
              </w:rPr>
              <w:t>&lt;5</w:t>
            </w:r>
          </w:p>
        </w:tc>
        <w:tc>
          <w:tcPr>
            <w:tcW w:w="1701" w:type="dxa"/>
            <w:tcBorders>
              <w:left w:val="none" w:sz="0" w:space="0" w:color="auto"/>
              <w:right w:val="none" w:sz="0" w:space="0" w:color="auto"/>
            </w:tcBorders>
            <w:shd w:val="clear" w:color="auto" w:fill="auto"/>
            <w:noWrap/>
            <w:hideMark/>
          </w:tcPr>
          <w:p w:rsidR="00D33562" w:rsidRPr="002D2572" w:rsidRDefault="007A6415" w:rsidP="000644A3">
            <w:pPr>
              <w:keepNex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Pr>
                <w:rFonts w:cs="Arial"/>
                <w:color w:val="000000"/>
                <w:sz w:val="20"/>
                <w:szCs w:val="20"/>
                <w:lang w:eastAsia="en-GB"/>
              </w:rPr>
              <w:t>&lt;</w:t>
            </w:r>
            <w:r w:rsidR="00D33562" w:rsidRPr="002D2572">
              <w:rPr>
                <w:rFonts w:cs="Arial"/>
                <w:color w:val="000000"/>
                <w:sz w:val="20"/>
                <w:szCs w:val="20"/>
                <w:lang w:eastAsia="en-GB"/>
              </w:rPr>
              <w:t>5</w:t>
            </w:r>
          </w:p>
        </w:tc>
        <w:tc>
          <w:tcPr>
            <w:tcW w:w="1701" w:type="dxa"/>
            <w:tcBorders>
              <w:left w:val="none" w:sz="0" w:space="0" w:color="auto"/>
              <w:right w:val="none" w:sz="0" w:space="0" w:color="auto"/>
            </w:tcBorders>
            <w:shd w:val="clear" w:color="auto" w:fill="D9D9D9" w:themeFill="background1" w:themeFillShade="D9"/>
            <w:noWrap/>
            <w:hideMark/>
          </w:tcPr>
          <w:p w:rsidR="00D33562" w:rsidRPr="002D2572" w:rsidRDefault="007A6415" w:rsidP="000644A3">
            <w:pPr>
              <w:keepNex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Pr>
                <w:rFonts w:cs="Arial"/>
                <w:color w:val="000000"/>
                <w:sz w:val="20"/>
                <w:szCs w:val="20"/>
                <w:lang w:eastAsia="en-GB"/>
              </w:rPr>
              <w:t>5</w:t>
            </w:r>
          </w:p>
        </w:tc>
        <w:tc>
          <w:tcPr>
            <w:tcW w:w="1842" w:type="dxa"/>
            <w:tcBorders>
              <w:left w:val="none" w:sz="0" w:space="0" w:color="auto"/>
            </w:tcBorders>
            <w:shd w:val="clear" w:color="auto" w:fill="auto"/>
            <w:noWrap/>
            <w:hideMark/>
          </w:tcPr>
          <w:p w:rsidR="00D33562" w:rsidRPr="002D2572" w:rsidRDefault="00D33562" w:rsidP="000644A3">
            <w:pPr>
              <w:keepNex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D2572">
              <w:rPr>
                <w:rFonts w:cs="Arial"/>
                <w:color w:val="000000"/>
                <w:sz w:val="20"/>
                <w:szCs w:val="20"/>
                <w:lang w:eastAsia="en-GB"/>
              </w:rPr>
              <w:t>&lt;5</w:t>
            </w:r>
          </w:p>
        </w:tc>
      </w:tr>
      <w:tr w:rsidR="008A6317" w:rsidRPr="002D2572" w:rsidTr="00B3483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shd w:val="clear" w:color="auto" w:fill="auto"/>
            <w:noWrap/>
            <w:hideMark/>
          </w:tcPr>
          <w:p w:rsidR="00D33562" w:rsidRPr="002D2572" w:rsidRDefault="00D33562" w:rsidP="00823493">
            <w:pPr>
              <w:keepNext/>
              <w:rPr>
                <w:rFonts w:cs="Arial"/>
                <w:color w:val="000000"/>
                <w:sz w:val="20"/>
                <w:szCs w:val="20"/>
                <w:lang w:eastAsia="en-GB"/>
              </w:rPr>
            </w:pPr>
            <w:r w:rsidRPr="002D2572">
              <w:rPr>
                <w:rFonts w:cs="Arial"/>
                <w:color w:val="000000"/>
                <w:sz w:val="20"/>
                <w:szCs w:val="20"/>
                <w:lang w:eastAsia="en-GB"/>
              </w:rPr>
              <w:t>Bread containing linseed</w:t>
            </w:r>
          </w:p>
        </w:tc>
        <w:tc>
          <w:tcPr>
            <w:tcW w:w="1843" w:type="dxa"/>
            <w:tcBorders>
              <w:left w:val="none" w:sz="0" w:space="0" w:color="auto"/>
              <w:right w:val="none" w:sz="0" w:space="0" w:color="auto"/>
            </w:tcBorders>
            <w:shd w:val="clear" w:color="auto" w:fill="D9D9D9" w:themeFill="background1" w:themeFillShade="D9"/>
            <w:noWrap/>
            <w:hideMark/>
          </w:tcPr>
          <w:p w:rsidR="00D33562" w:rsidRPr="002D2572" w:rsidRDefault="007A6415" w:rsidP="007A6415">
            <w:pPr>
              <w:keepNex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D2572">
              <w:rPr>
                <w:rFonts w:cs="Arial"/>
                <w:color w:val="000000"/>
                <w:sz w:val="20"/>
                <w:szCs w:val="20"/>
                <w:lang w:eastAsia="en-GB"/>
              </w:rPr>
              <w:t>3</w:t>
            </w:r>
            <w:r>
              <w:rPr>
                <w:rFonts w:cs="Arial"/>
                <w:color w:val="000000"/>
                <w:sz w:val="20"/>
                <w:szCs w:val="20"/>
                <w:lang w:eastAsia="en-GB"/>
              </w:rPr>
              <w:t>7</w:t>
            </w:r>
          </w:p>
        </w:tc>
        <w:tc>
          <w:tcPr>
            <w:tcW w:w="1701" w:type="dxa"/>
            <w:tcBorders>
              <w:left w:val="none" w:sz="0" w:space="0" w:color="auto"/>
              <w:right w:val="none" w:sz="0" w:space="0" w:color="auto"/>
            </w:tcBorders>
            <w:shd w:val="clear" w:color="auto" w:fill="D9D9D9" w:themeFill="background1" w:themeFillShade="D9"/>
            <w:noWrap/>
            <w:hideMark/>
          </w:tcPr>
          <w:p w:rsidR="00D33562" w:rsidRPr="002D2572" w:rsidRDefault="007A6415" w:rsidP="007A6415">
            <w:pPr>
              <w:keepNex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D2572">
              <w:rPr>
                <w:rFonts w:cs="Arial"/>
                <w:color w:val="000000"/>
                <w:sz w:val="20"/>
                <w:szCs w:val="20"/>
                <w:lang w:eastAsia="en-GB"/>
              </w:rPr>
              <w:t>7</w:t>
            </w:r>
            <w:r>
              <w:rPr>
                <w:rFonts w:cs="Arial"/>
                <w:color w:val="000000"/>
                <w:sz w:val="20"/>
                <w:szCs w:val="20"/>
                <w:lang w:eastAsia="en-GB"/>
              </w:rPr>
              <w:t>5</w:t>
            </w:r>
          </w:p>
        </w:tc>
        <w:tc>
          <w:tcPr>
            <w:tcW w:w="1701" w:type="dxa"/>
            <w:tcBorders>
              <w:left w:val="none" w:sz="0" w:space="0" w:color="auto"/>
              <w:right w:val="none" w:sz="0" w:space="0" w:color="auto"/>
            </w:tcBorders>
            <w:shd w:val="clear" w:color="auto" w:fill="D9D9D9" w:themeFill="background1" w:themeFillShade="D9"/>
            <w:noWrap/>
            <w:hideMark/>
          </w:tcPr>
          <w:p w:rsidR="00D33562" w:rsidRPr="002D2572" w:rsidRDefault="007A6415" w:rsidP="007A6415">
            <w:pPr>
              <w:keepNex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D2572">
              <w:rPr>
                <w:rFonts w:cs="Arial"/>
                <w:color w:val="000000"/>
                <w:sz w:val="20"/>
                <w:szCs w:val="20"/>
                <w:lang w:eastAsia="en-GB"/>
              </w:rPr>
              <w:t>2</w:t>
            </w:r>
            <w:r>
              <w:rPr>
                <w:rFonts w:cs="Arial"/>
                <w:color w:val="000000"/>
                <w:sz w:val="20"/>
                <w:szCs w:val="20"/>
                <w:lang w:eastAsia="en-GB"/>
              </w:rPr>
              <w:t>4</w:t>
            </w:r>
          </w:p>
        </w:tc>
        <w:tc>
          <w:tcPr>
            <w:tcW w:w="1842" w:type="dxa"/>
            <w:tcBorders>
              <w:left w:val="none" w:sz="0" w:space="0" w:color="auto"/>
            </w:tcBorders>
            <w:shd w:val="clear" w:color="auto" w:fill="D9D9D9" w:themeFill="background1" w:themeFillShade="D9"/>
            <w:noWrap/>
            <w:hideMark/>
          </w:tcPr>
          <w:p w:rsidR="00D33562" w:rsidRPr="002D2572" w:rsidRDefault="007A6415" w:rsidP="007A6415">
            <w:pPr>
              <w:keepNex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D2572">
              <w:rPr>
                <w:rFonts w:cs="Arial"/>
                <w:color w:val="000000"/>
                <w:sz w:val="20"/>
                <w:szCs w:val="20"/>
                <w:lang w:eastAsia="en-GB"/>
              </w:rPr>
              <w:t>7</w:t>
            </w:r>
            <w:r>
              <w:rPr>
                <w:rFonts w:cs="Arial"/>
                <w:color w:val="000000"/>
                <w:sz w:val="20"/>
                <w:szCs w:val="20"/>
                <w:lang w:eastAsia="en-GB"/>
              </w:rPr>
              <w:t>5</w:t>
            </w:r>
          </w:p>
        </w:tc>
      </w:tr>
      <w:tr w:rsidR="008A6317" w:rsidRPr="002D2572" w:rsidTr="00B348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shd w:val="clear" w:color="auto" w:fill="auto"/>
            <w:noWrap/>
            <w:hideMark/>
          </w:tcPr>
          <w:p w:rsidR="009365B1" w:rsidRPr="00966234" w:rsidRDefault="00D33562" w:rsidP="00823493">
            <w:pPr>
              <w:keepNext/>
              <w:rPr>
                <w:rFonts w:cs="Arial"/>
                <w:color w:val="000000"/>
                <w:sz w:val="20"/>
                <w:szCs w:val="20"/>
                <w:vertAlign w:val="superscript"/>
                <w:lang w:eastAsia="en-GB"/>
              </w:rPr>
            </w:pPr>
            <w:r w:rsidRPr="002D2572">
              <w:rPr>
                <w:rFonts w:cs="Arial"/>
                <w:color w:val="000000"/>
                <w:sz w:val="20"/>
                <w:szCs w:val="20"/>
                <w:lang w:eastAsia="en-GB"/>
              </w:rPr>
              <w:t>Cassava, roots</w:t>
            </w:r>
            <w:r w:rsidR="00DC4047">
              <w:rPr>
                <w:rFonts w:cs="Arial"/>
                <w:color w:val="000000"/>
                <w:sz w:val="20"/>
                <w:szCs w:val="20"/>
                <w:lang w:eastAsia="en-GB"/>
              </w:rPr>
              <w:t>, cooked</w:t>
            </w:r>
            <w:r w:rsidR="00C62236" w:rsidRPr="00C62236">
              <w:rPr>
                <w:rFonts w:cs="Arial"/>
                <w:color w:val="000000"/>
                <w:sz w:val="20"/>
                <w:szCs w:val="20"/>
                <w:vertAlign w:val="superscript"/>
                <w:lang w:eastAsia="en-GB"/>
              </w:rPr>
              <w:t>c</w:t>
            </w:r>
          </w:p>
        </w:tc>
        <w:tc>
          <w:tcPr>
            <w:tcW w:w="1843" w:type="dxa"/>
            <w:tcBorders>
              <w:left w:val="none" w:sz="0" w:space="0" w:color="auto"/>
              <w:right w:val="none" w:sz="0" w:space="0" w:color="auto"/>
            </w:tcBorders>
            <w:shd w:val="clear" w:color="auto" w:fill="auto"/>
            <w:noWrap/>
            <w:hideMark/>
          </w:tcPr>
          <w:p w:rsidR="00D33562" w:rsidRPr="002D2572" w:rsidRDefault="00D33562" w:rsidP="000644A3">
            <w:pPr>
              <w:keepNex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D2572">
              <w:rPr>
                <w:rFonts w:cs="Arial"/>
                <w:color w:val="000000"/>
                <w:sz w:val="20"/>
                <w:szCs w:val="20"/>
                <w:lang w:eastAsia="en-GB"/>
              </w:rPr>
              <w:t>&lt;5</w:t>
            </w:r>
          </w:p>
        </w:tc>
        <w:tc>
          <w:tcPr>
            <w:tcW w:w="1701" w:type="dxa"/>
            <w:tcBorders>
              <w:left w:val="none" w:sz="0" w:space="0" w:color="auto"/>
              <w:right w:val="none" w:sz="0" w:space="0" w:color="auto"/>
            </w:tcBorders>
            <w:shd w:val="clear" w:color="auto" w:fill="auto"/>
            <w:noWrap/>
            <w:hideMark/>
          </w:tcPr>
          <w:p w:rsidR="00D33562" w:rsidRPr="002D2572" w:rsidRDefault="00D33562" w:rsidP="000644A3">
            <w:pPr>
              <w:keepNex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D2572">
              <w:rPr>
                <w:rFonts w:cs="Arial"/>
                <w:color w:val="000000"/>
                <w:sz w:val="20"/>
                <w:szCs w:val="20"/>
                <w:lang w:eastAsia="en-GB"/>
              </w:rPr>
              <w:t>&lt;5</w:t>
            </w:r>
          </w:p>
        </w:tc>
        <w:tc>
          <w:tcPr>
            <w:tcW w:w="1701" w:type="dxa"/>
            <w:tcBorders>
              <w:left w:val="none" w:sz="0" w:space="0" w:color="auto"/>
              <w:right w:val="none" w:sz="0" w:space="0" w:color="auto"/>
            </w:tcBorders>
            <w:shd w:val="clear" w:color="auto" w:fill="D9D9D9" w:themeFill="background1" w:themeFillShade="D9"/>
            <w:noWrap/>
            <w:hideMark/>
          </w:tcPr>
          <w:p w:rsidR="00D33562" w:rsidRPr="002D2572" w:rsidRDefault="007A6415" w:rsidP="000644A3">
            <w:pPr>
              <w:keepNex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Pr>
                <w:rFonts w:cs="Arial"/>
                <w:color w:val="000000"/>
                <w:sz w:val="20"/>
                <w:szCs w:val="20"/>
                <w:lang w:eastAsia="en-GB"/>
              </w:rPr>
              <w:t>7</w:t>
            </w:r>
          </w:p>
        </w:tc>
        <w:tc>
          <w:tcPr>
            <w:tcW w:w="1842" w:type="dxa"/>
            <w:tcBorders>
              <w:left w:val="none" w:sz="0" w:space="0" w:color="auto"/>
            </w:tcBorders>
            <w:shd w:val="clear" w:color="auto" w:fill="D9D9D9" w:themeFill="background1" w:themeFillShade="D9"/>
            <w:noWrap/>
            <w:hideMark/>
          </w:tcPr>
          <w:p w:rsidR="00D33562" w:rsidRPr="002D2572" w:rsidRDefault="007A6415" w:rsidP="007A6415">
            <w:pPr>
              <w:keepNex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D2572">
              <w:rPr>
                <w:rFonts w:cs="Arial"/>
                <w:color w:val="000000"/>
                <w:sz w:val="20"/>
                <w:szCs w:val="20"/>
                <w:lang w:eastAsia="en-GB"/>
              </w:rPr>
              <w:t>1</w:t>
            </w:r>
            <w:r>
              <w:rPr>
                <w:rFonts w:cs="Arial"/>
                <w:color w:val="000000"/>
                <w:sz w:val="20"/>
                <w:szCs w:val="20"/>
                <w:lang w:eastAsia="en-GB"/>
              </w:rPr>
              <w:t>3</w:t>
            </w:r>
          </w:p>
        </w:tc>
      </w:tr>
      <w:tr w:rsidR="008A6317" w:rsidRPr="002D2572" w:rsidTr="00B3483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shd w:val="clear" w:color="auto" w:fill="auto"/>
            <w:noWrap/>
            <w:hideMark/>
          </w:tcPr>
          <w:p w:rsidR="00D33562" w:rsidRPr="002D2572" w:rsidRDefault="00D33562" w:rsidP="00F937ED">
            <w:pPr>
              <w:keepNext/>
              <w:rPr>
                <w:rFonts w:cs="Arial"/>
                <w:color w:val="000000"/>
                <w:sz w:val="20"/>
                <w:szCs w:val="20"/>
                <w:lang w:eastAsia="en-GB"/>
              </w:rPr>
            </w:pPr>
            <w:r w:rsidRPr="002D2572">
              <w:rPr>
                <w:rFonts w:cs="Arial"/>
                <w:color w:val="000000"/>
                <w:sz w:val="20"/>
                <w:szCs w:val="20"/>
                <w:lang w:eastAsia="en-GB"/>
              </w:rPr>
              <w:t>Cassava chips, ready</w:t>
            </w:r>
            <w:r w:rsidR="00F937ED">
              <w:rPr>
                <w:rFonts w:cs="Arial"/>
                <w:color w:val="000000"/>
                <w:sz w:val="20"/>
                <w:szCs w:val="20"/>
                <w:lang w:eastAsia="en-GB"/>
              </w:rPr>
              <w:t>-</w:t>
            </w:r>
            <w:r w:rsidRPr="002D2572">
              <w:rPr>
                <w:rFonts w:cs="Arial"/>
                <w:color w:val="000000"/>
                <w:sz w:val="20"/>
                <w:szCs w:val="20"/>
                <w:lang w:eastAsia="en-GB"/>
              </w:rPr>
              <w:t>to</w:t>
            </w:r>
            <w:r w:rsidR="00F937ED">
              <w:rPr>
                <w:rFonts w:cs="Arial"/>
                <w:color w:val="000000"/>
                <w:sz w:val="20"/>
                <w:szCs w:val="20"/>
                <w:lang w:eastAsia="en-GB"/>
              </w:rPr>
              <w:t>-</w:t>
            </w:r>
            <w:r w:rsidRPr="002D2572">
              <w:rPr>
                <w:rFonts w:cs="Arial"/>
                <w:color w:val="000000"/>
                <w:sz w:val="20"/>
                <w:szCs w:val="20"/>
                <w:lang w:eastAsia="en-GB"/>
              </w:rPr>
              <w:t>eat</w:t>
            </w:r>
          </w:p>
        </w:tc>
        <w:tc>
          <w:tcPr>
            <w:tcW w:w="1843" w:type="dxa"/>
            <w:tcBorders>
              <w:left w:val="none" w:sz="0" w:space="0" w:color="auto"/>
              <w:right w:val="none" w:sz="0" w:space="0" w:color="auto"/>
            </w:tcBorders>
            <w:shd w:val="clear" w:color="auto" w:fill="D9D9D9" w:themeFill="background1" w:themeFillShade="D9"/>
            <w:noWrap/>
            <w:hideMark/>
          </w:tcPr>
          <w:p w:rsidR="00D33562" w:rsidRPr="002D2572" w:rsidRDefault="007A6415" w:rsidP="000644A3">
            <w:pPr>
              <w:keepNex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Pr>
                <w:rFonts w:cs="Arial"/>
                <w:color w:val="000000"/>
                <w:sz w:val="20"/>
                <w:szCs w:val="20"/>
                <w:lang w:eastAsia="en-GB"/>
              </w:rPr>
              <w:t>15</w:t>
            </w:r>
          </w:p>
        </w:tc>
        <w:tc>
          <w:tcPr>
            <w:tcW w:w="1701" w:type="dxa"/>
            <w:tcBorders>
              <w:left w:val="none" w:sz="0" w:space="0" w:color="auto"/>
              <w:right w:val="none" w:sz="0" w:space="0" w:color="auto"/>
            </w:tcBorders>
            <w:shd w:val="clear" w:color="auto" w:fill="D9D9D9" w:themeFill="background1" w:themeFillShade="D9"/>
            <w:noWrap/>
            <w:hideMark/>
          </w:tcPr>
          <w:p w:rsidR="00D33562" w:rsidRPr="002D2572" w:rsidRDefault="00D33562" w:rsidP="000644A3">
            <w:pPr>
              <w:keepNex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D2572">
              <w:rPr>
                <w:rFonts w:cs="Arial"/>
                <w:color w:val="000000"/>
                <w:sz w:val="20"/>
                <w:szCs w:val="20"/>
                <w:lang w:eastAsia="en-GB"/>
              </w:rPr>
              <w:t>5</w:t>
            </w:r>
          </w:p>
        </w:tc>
        <w:tc>
          <w:tcPr>
            <w:tcW w:w="1701" w:type="dxa"/>
            <w:tcBorders>
              <w:left w:val="none" w:sz="0" w:space="0" w:color="auto"/>
              <w:right w:val="none" w:sz="0" w:space="0" w:color="auto"/>
            </w:tcBorders>
            <w:shd w:val="clear" w:color="auto" w:fill="D9D9D9" w:themeFill="background1" w:themeFillShade="D9"/>
            <w:noWrap/>
            <w:hideMark/>
          </w:tcPr>
          <w:p w:rsidR="00D33562" w:rsidRPr="002D2572" w:rsidRDefault="007A6415" w:rsidP="007A6415">
            <w:pPr>
              <w:keepNex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D2572">
              <w:rPr>
                <w:rFonts w:cs="Arial"/>
                <w:color w:val="000000"/>
                <w:sz w:val="20"/>
                <w:szCs w:val="20"/>
                <w:lang w:eastAsia="en-GB"/>
              </w:rPr>
              <w:t>2</w:t>
            </w:r>
            <w:r>
              <w:rPr>
                <w:rFonts w:cs="Arial"/>
                <w:color w:val="000000"/>
                <w:sz w:val="20"/>
                <w:szCs w:val="20"/>
                <w:lang w:eastAsia="en-GB"/>
              </w:rPr>
              <w:t>2</w:t>
            </w:r>
          </w:p>
        </w:tc>
        <w:tc>
          <w:tcPr>
            <w:tcW w:w="1842" w:type="dxa"/>
            <w:tcBorders>
              <w:left w:val="none" w:sz="0" w:space="0" w:color="auto"/>
            </w:tcBorders>
            <w:shd w:val="clear" w:color="auto" w:fill="D9D9D9" w:themeFill="background1" w:themeFillShade="D9"/>
            <w:noWrap/>
            <w:hideMark/>
          </w:tcPr>
          <w:p w:rsidR="00D33562" w:rsidRPr="002D2572" w:rsidRDefault="00D33562" w:rsidP="000644A3">
            <w:pPr>
              <w:keepNex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D2572">
              <w:rPr>
                <w:rFonts w:cs="Arial"/>
                <w:color w:val="000000"/>
                <w:sz w:val="20"/>
                <w:szCs w:val="20"/>
                <w:lang w:eastAsia="en-GB"/>
              </w:rPr>
              <w:t>5</w:t>
            </w:r>
          </w:p>
        </w:tc>
      </w:tr>
      <w:tr w:rsidR="008A6317" w:rsidRPr="002D2572" w:rsidTr="00B348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shd w:val="clear" w:color="auto" w:fill="auto"/>
            <w:noWrap/>
            <w:hideMark/>
          </w:tcPr>
          <w:p w:rsidR="00D33562" w:rsidRPr="002D2572" w:rsidRDefault="00D33562" w:rsidP="00823493">
            <w:pPr>
              <w:keepNext/>
              <w:rPr>
                <w:rFonts w:cs="Arial"/>
                <w:color w:val="000000"/>
                <w:sz w:val="20"/>
                <w:szCs w:val="20"/>
                <w:lang w:eastAsia="en-GB"/>
              </w:rPr>
            </w:pPr>
            <w:r w:rsidRPr="002D2572">
              <w:rPr>
                <w:rFonts w:cs="Arial"/>
                <w:color w:val="000000"/>
                <w:sz w:val="20"/>
                <w:szCs w:val="20"/>
                <w:lang w:eastAsia="en-GB"/>
              </w:rPr>
              <w:t>Linseed</w:t>
            </w:r>
            <w:r w:rsidR="009365B1">
              <w:rPr>
                <w:rFonts w:cs="Arial"/>
                <w:color w:val="000000"/>
                <w:sz w:val="20"/>
                <w:szCs w:val="20"/>
                <w:lang w:eastAsia="en-GB"/>
              </w:rPr>
              <w:t>s</w:t>
            </w:r>
          </w:p>
        </w:tc>
        <w:tc>
          <w:tcPr>
            <w:tcW w:w="1843" w:type="dxa"/>
            <w:tcBorders>
              <w:left w:val="none" w:sz="0" w:space="0" w:color="auto"/>
              <w:right w:val="none" w:sz="0" w:space="0" w:color="auto"/>
            </w:tcBorders>
            <w:shd w:val="clear" w:color="auto" w:fill="D9D9D9" w:themeFill="background1" w:themeFillShade="D9"/>
            <w:noWrap/>
            <w:hideMark/>
          </w:tcPr>
          <w:p w:rsidR="00D33562" w:rsidRPr="002D2572" w:rsidRDefault="007A6415" w:rsidP="007A6415">
            <w:pPr>
              <w:keepNex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D2572">
              <w:rPr>
                <w:rFonts w:cs="Arial"/>
                <w:color w:val="000000"/>
                <w:sz w:val="20"/>
                <w:szCs w:val="20"/>
                <w:lang w:eastAsia="en-GB"/>
              </w:rPr>
              <w:t>2</w:t>
            </w:r>
            <w:r>
              <w:rPr>
                <w:rFonts w:cs="Arial"/>
                <w:color w:val="000000"/>
                <w:sz w:val="20"/>
                <w:szCs w:val="20"/>
                <w:lang w:eastAsia="en-GB"/>
              </w:rPr>
              <w:t>6</w:t>
            </w:r>
          </w:p>
        </w:tc>
        <w:tc>
          <w:tcPr>
            <w:tcW w:w="1701" w:type="dxa"/>
            <w:tcBorders>
              <w:left w:val="none" w:sz="0" w:space="0" w:color="auto"/>
              <w:right w:val="none" w:sz="0" w:space="0" w:color="auto"/>
            </w:tcBorders>
            <w:shd w:val="clear" w:color="auto" w:fill="auto"/>
            <w:noWrap/>
            <w:hideMark/>
          </w:tcPr>
          <w:p w:rsidR="00D33562" w:rsidRPr="002D2572" w:rsidRDefault="00D33562" w:rsidP="000644A3">
            <w:pPr>
              <w:keepNex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D2572">
              <w:rPr>
                <w:rFonts w:cs="Arial"/>
                <w:color w:val="000000"/>
                <w:sz w:val="20"/>
                <w:szCs w:val="20"/>
                <w:lang w:eastAsia="en-GB"/>
              </w:rPr>
              <w:t>NC</w:t>
            </w:r>
          </w:p>
        </w:tc>
        <w:tc>
          <w:tcPr>
            <w:tcW w:w="1701" w:type="dxa"/>
            <w:tcBorders>
              <w:left w:val="none" w:sz="0" w:space="0" w:color="auto"/>
              <w:right w:val="none" w:sz="0" w:space="0" w:color="auto"/>
            </w:tcBorders>
            <w:shd w:val="clear" w:color="auto" w:fill="D9D9D9" w:themeFill="background1" w:themeFillShade="D9"/>
            <w:noWrap/>
            <w:hideMark/>
          </w:tcPr>
          <w:p w:rsidR="00D33562" w:rsidRPr="002D2572" w:rsidRDefault="007A6415" w:rsidP="007A6415">
            <w:pPr>
              <w:keepNex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D2572">
              <w:rPr>
                <w:rFonts w:cs="Arial"/>
                <w:color w:val="000000"/>
                <w:sz w:val="20"/>
                <w:szCs w:val="20"/>
                <w:lang w:eastAsia="en-GB"/>
              </w:rPr>
              <w:t>3</w:t>
            </w:r>
            <w:r>
              <w:rPr>
                <w:rFonts w:cs="Arial"/>
                <w:color w:val="000000"/>
                <w:sz w:val="20"/>
                <w:szCs w:val="20"/>
                <w:lang w:eastAsia="en-GB"/>
              </w:rPr>
              <w:t>2</w:t>
            </w:r>
          </w:p>
        </w:tc>
        <w:tc>
          <w:tcPr>
            <w:tcW w:w="1842" w:type="dxa"/>
            <w:tcBorders>
              <w:left w:val="none" w:sz="0" w:space="0" w:color="auto"/>
            </w:tcBorders>
            <w:shd w:val="clear" w:color="auto" w:fill="auto"/>
            <w:noWrap/>
            <w:hideMark/>
          </w:tcPr>
          <w:p w:rsidR="00D33562" w:rsidRPr="002D2572" w:rsidRDefault="00D33562" w:rsidP="000644A3">
            <w:pPr>
              <w:keepNex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D2572">
              <w:rPr>
                <w:rFonts w:cs="Arial"/>
                <w:color w:val="000000"/>
                <w:sz w:val="20"/>
                <w:szCs w:val="20"/>
                <w:lang w:eastAsia="en-GB"/>
              </w:rPr>
              <w:t>NC</w:t>
            </w:r>
          </w:p>
        </w:tc>
      </w:tr>
      <w:tr w:rsidR="008A6317" w:rsidRPr="002D2572" w:rsidTr="00B3483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shd w:val="clear" w:color="auto" w:fill="auto"/>
            <w:noWrap/>
            <w:hideMark/>
          </w:tcPr>
          <w:p w:rsidR="00D33562" w:rsidRPr="002D2572" w:rsidRDefault="00D33562" w:rsidP="00823493">
            <w:pPr>
              <w:keepNext/>
              <w:rPr>
                <w:rFonts w:cs="Arial"/>
                <w:color w:val="000000"/>
                <w:sz w:val="20"/>
                <w:szCs w:val="20"/>
                <w:lang w:eastAsia="en-GB"/>
              </w:rPr>
            </w:pPr>
            <w:r w:rsidRPr="002D2572">
              <w:rPr>
                <w:rFonts w:cs="Arial"/>
                <w:color w:val="000000"/>
                <w:sz w:val="20"/>
                <w:szCs w:val="20"/>
                <w:lang w:eastAsia="en-GB"/>
              </w:rPr>
              <w:t>Passionfruit</w:t>
            </w:r>
          </w:p>
        </w:tc>
        <w:tc>
          <w:tcPr>
            <w:tcW w:w="1843" w:type="dxa"/>
            <w:tcBorders>
              <w:left w:val="none" w:sz="0" w:space="0" w:color="auto"/>
              <w:right w:val="none" w:sz="0" w:space="0" w:color="auto"/>
            </w:tcBorders>
            <w:shd w:val="clear" w:color="auto" w:fill="D9D9D9" w:themeFill="background1" w:themeFillShade="D9"/>
            <w:noWrap/>
            <w:hideMark/>
          </w:tcPr>
          <w:p w:rsidR="00D33562" w:rsidRPr="002D2572" w:rsidRDefault="00D33562" w:rsidP="000644A3">
            <w:pPr>
              <w:keepNex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D2572">
              <w:rPr>
                <w:rFonts w:cs="Arial"/>
                <w:color w:val="000000"/>
                <w:sz w:val="20"/>
                <w:szCs w:val="20"/>
                <w:lang w:eastAsia="en-GB"/>
              </w:rPr>
              <w:t>6</w:t>
            </w:r>
          </w:p>
        </w:tc>
        <w:tc>
          <w:tcPr>
            <w:tcW w:w="1701" w:type="dxa"/>
            <w:tcBorders>
              <w:left w:val="none" w:sz="0" w:space="0" w:color="auto"/>
              <w:right w:val="none" w:sz="0" w:space="0" w:color="auto"/>
            </w:tcBorders>
            <w:shd w:val="clear" w:color="auto" w:fill="auto"/>
            <w:noWrap/>
            <w:hideMark/>
          </w:tcPr>
          <w:p w:rsidR="00D33562" w:rsidRPr="002D2572" w:rsidRDefault="00D33562" w:rsidP="000644A3">
            <w:pPr>
              <w:keepNex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D2572">
              <w:rPr>
                <w:rFonts w:cs="Arial"/>
                <w:color w:val="000000"/>
                <w:sz w:val="20"/>
                <w:szCs w:val="20"/>
                <w:lang w:eastAsia="en-GB"/>
              </w:rPr>
              <w:t>&lt;5</w:t>
            </w:r>
          </w:p>
        </w:tc>
        <w:tc>
          <w:tcPr>
            <w:tcW w:w="1701" w:type="dxa"/>
            <w:tcBorders>
              <w:left w:val="none" w:sz="0" w:space="0" w:color="auto"/>
              <w:right w:val="none" w:sz="0" w:space="0" w:color="auto"/>
            </w:tcBorders>
            <w:shd w:val="clear" w:color="auto" w:fill="auto"/>
            <w:noWrap/>
            <w:hideMark/>
          </w:tcPr>
          <w:p w:rsidR="00D33562" w:rsidRPr="002D2572" w:rsidRDefault="00D33562" w:rsidP="000644A3">
            <w:pPr>
              <w:keepNex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D2572">
              <w:rPr>
                <w:rFonts w:cs="Arial"/>
                <w:color w:val="000000"/>
                <w:sz w:val="20"/>
                <w:szCs w:val="20"/>
                <w:lang w:eastAsia="en-GB"/>
              </w:rPr>
              <w:t>&lt;5</w:t>
            </w:r>
          </w:p>
        </w:tc>
        <w:tc>
          <w:tcPr>
            <w:tcW w:w="1842" w:type="dxa"/>
            <w:tcBorders>
              <w:left w:val="none" w:sz="0" w:space="0" w:color="auto"/>
            </w:tcBorders>
            <w:shd w:val="clear" w:color="auto" w:fill="auto"/>
            <w:noWrap/>
            <w:hideMark/>
          </w:tcPr>
          <w:p w:rsidR="00D33562" w:rsidRPr="002D2572" w:rsidRDefault="00D33562" w:rsidP="000644A3">
            <w:pPr>
              <w:keepNex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D2572">
              <w:rPr>
                <w:rFonts w:cs="Arial"/>
                <w:color w:val="000000"/>
                <w:sz w:val="20"/>
                <w:szCs w:val="20"/>
                <w:lang w:eastAsia="en-GB"/>
              </w:rPr>
              <w:t>&lt;5</w:t>
            </w:r>
          </w:p>
        </w:tc>
      </w:tr>
    </w:tbl>
    <w:p w:rsidR="00D33562" w:rsidRPr="009B67DE" w:rsidRDefault="00D33562" w:rsidP="00D33562">
      <w:pPr>
        <w:keepNext/>
        <w:rPr>
          <w:rFonts w:cs="Arial"/>
          <w:sz w:val="18"/>
          <w:szCs w:val="18"/>
        </w:rPr>
      </w:pPr>
      <w:r w:rsidRPr="009B67DE">
        <w:rPr>
          <w:rFonts w:cs="Arial"/>
          <w:sz w:val="18"/>
          <w:szCs w:val="18"/>
        </w:rPr>
        <w:t>Shaded cells are where contribution is ≥5%.</w:t>
      </w:r>
    </w:p>
    <w:p w:rsidR="00D33562" w:rsidRPr="009B67DE" w:rsidRDefault="00D33562" w:rsidP="00D33562">
      <w:pPr>
        <w:keepNext/>
        <w:rPr>
          <w:rFonts w:cs="Arial"/>
          <w:sz w:val="18"/>
          <w:szCs w:val="18"/>
        </w:rPr>
      </w:pPr>
      <w:r w:rsidRPr="009B67DE">
        <w:rPr>
          <w:rFonts w:cs="Arial"/>
          <w:sz w:val="18"/>
          <w:szCs w:val="18"/>
        </w:rPr>
        <w:t>* Based on lower bound (LB) scenario where not detected results were assigned a zero concentration of HCN.</w:t>
      </w:r>
    </w:p>
    <w:p w:rsidR="00D33562" w:rsidRPr="009B67DE" w:rsidRDefault="00D33562" w:rsidP="00D33562">
      <w:pPr>
        <w:keepNext/>
        <w:rPr>
          <w:rFonts w:cs="Arial"/>
          <w:sz w:val="18"/>
          <w:szCs w:val="18"/>
        </w:rPr>
      </w:pPr>
      <w:r w:rsidRPr="009B67DE">
        <w:rPr>
          <w:rFonts w:cs="Arial"/>
          <w:sz w:val="18"/>
          <w:szCs w:val="18"/>
        </w:rPr>
        <w:t>NC = not consumed</w:t>
      </w:r>
      <w:r w:rsidR="0036079D">
        <w:rPr>
          <w:rFonts w:cs="Arial"/>
          <w:sz w:val="18"/>
          <w:szCs w:val="18"/>
        </w:rPr>
        <w:t xml:space="preserve"> (i.e. not recorded as being consumed in the NNS)</w:t>
      </w:r>
      <w:r w:rsidR="002D2572" w:rsidRPr="009B67DE">
        <w:rPr>
          <w:rFonts w:cs="Arial"/>
          <w:sz w:val="18"/>
          <w:szCs w:val="18"/>
        </w:rPr>
        <w:t>.</w:t>
      </w:r>
    </w:p>
    <w:p w:rsidR="00C62236" w:rsidRPr="009B67DE" w:rsidRDefault="00C62236" w:rsidP="00D33562">
      <w:pPr>
        <w:keepNext/>
        <w:rPr>
          <w:rFonts w:cs="Arial"/>
          <w:sz w:val="18"/>
          <w:szCs w:val="18"/>
        </w:rPr>
      </w:pPr>
      <w:r w:rsidRPr="009B67DE">
        <w:rPr>
          <w:rFonts w:cs="Arial"/>
          <w:sz w:val="18"/>
          <w:szCs w:val="18"/>
          <w:vertAlign w:val="superscript"/>
        </w:rPr>
        <w:t xml:space="preserve">a </w:t>
      </w:r>
      <w:r w:rsidRPr="009B67DE">
        <w:rPr>
          <w:rFonts w:cs="Arial"/>
          <w:color w:val="000000"/>
          <w:sz w:val="18"/>
          <w:szCs w:val="18"/>
          <w:lang w:eastAsia="en-GB"/>
        </w:rPr>
        <w:t>Survey 2, EU method</w:t>
      </w:r>
      <w:r w:rsidR="0036079D">
        <w:rPr>
          <w:rFonts w:cs="Arial"/>
          <w:color w:val="000000"/>
          <w:sz w:val="18"/>
          <w:szCs w:val="18"/>
          <w:lang w:eastAsia="en-GB"/>
        </w:rPr>
        <w:t>.</w:t>
      </w:r>
    </w:p>
    <w:p w:rsidR="00C62236" w:rsidRPr="009B67DE" w:rsidRDefault="00C62236" w:rsidP="00D33562">
      <w:pPr>
        <w:keepNext/>
        <w:rPr>
          <w:rFonts w:cs="Arial"/>
          <w:sz w:val="18"/>
          <w:szCs w:val="18"/>
        </w:rPr>
      </w:pPr>
      <w:r w:rsidRPr="009B67DE">
        <w:rPr>
          <w:rFonts w:cs="Arial"/>
          <w:sz w:val="18"/>
          <w:szCs w:val="18"/>
          <w:vertAlign w:val="superscript"/>
        </w:rPr>
        <w:t xml:space="preserve">b </w:t>
      </w:r>
      <w:r w:rsidR="00966234" w:rsidRPr="009B67DE">
        <w:rPr>
          <w:rFonts w:cs="Arial"/>
          <w:sz w:val="18"/>
          <w:szCs w:val="18"/>
        </w:rPr>
        <w:t>Survey 1 only</w:t>
      </w:r>
      <w:r w:rsidR="0036079D">
        <w:rPr>
          <w:rFonts w:cs="Arial"/>
          <w:sz w:val="18"/>
          <w:szCs w:val="18"/>
        </w:rPr>
        <w:t>.</w:t>
      </w:r>
    </w:p>
    <w:p w:rsidR="00C62236" w:rsidRPr="009B67DE" w:rsidRDefault="00C62236" w:rsidP="00D33562">
      <w:pPr>
        <w:keepNext/>
        <w:rPr>
          <w:rFonts w:cs="Arial"/>
          <w:sz w:val="18"/>
          <w:szCs w:val="18"/>
        </w:rPr>
      </w:pPr>
      <w:r w:rsidRPr="009B67DE">
        <w:rPr>
          <w:rFonts w:cs="Arial"/>
          <w:sz w:val="18"/>
          <w:szCs w:val="18"/>
          <w:vertAlign w:val="superscript"/>
        </w:rPr>
        <w:t>c</w:t>
      </w:r>
      <w:r w:rsidRPr="009B67DE">
        <w:rPr>
          <w:rFonts w:cs="Arial"/>
          <w:sz w:val="18"/>
          <w:szCs w:val="18"/>
        </w:rPr>
        <w:t xml:space="preserve"> Survey 3, sweet </w:t>
      </w:r>
      <w:r w:rsidR="003F1E1D">
        <w:rPr>
          <w:rFonts w:cs="Arial"/>
          <w:sz w:val="18"/>
          <w:szCs w:val="18"/>
        </w:rPr>
        <w:t xml:space="preserve">cassava </w:t>
      </w:r>
      <w:r w:rsidRPr="009B67DE">
        <w:rPr>
          <w:rFonts w:cs="Arial"/>
          <w:sz w:val="18"/>
          <w:szCs w:val="18"/>
        </w:rPr>
        <w:t>only</w:t>
      </w:r>
      <w:r w:rsidR="0036079D">
        <w:rPr>
          <w:rFonts w:cs="Arial"/>
          <w:sz w:val="18"/>
          <w:szCs w:val="18"/>
        </w:rPr>
        <w:t>.</w:t>
      </w:r>
    </w:p>
    <w:p w:rsidR="008A68B3" w:rsidRPr="002D2572" w:rsidRDefault="008A68B3" w:rsidP="00D33562">
      <w:pPr>
        <w:keepNext/>
        <w:rPr>
          <w:rFonts w:cs="Arial"/>
          <w:sz w:val="18"/>
        </w:rPr>
      </w:pPr>
    </w:p>
    <w:p w:rsidR="00617C03" w:rsidRDefault="00617C03" w:rsidP="008A68B3">
      <w:pPr>
        <w:pStyle w:val="Heading3"/>
      </w:pPr>
      <w:bookmarkStart w:id="149" w:name="_Toc384293527"/>
      <w:bookmarkStart w:id="150" w:name="_Toc367957754"/>
      <w:bookmarkStart w:id="151" w:name="_Toc360111842"/>
      <w:r w:rsidRPr="00473EBF">
        <w:t>5.3.7</w:t>
      </w:r>
      <w:r w:rsidR="00842210">
        <w:tab/>
      </w:r>
      <w:r w:rsidRPr="00473EBF">
        <w:t>Acute dietary exposure assessment</w:t>
      </w:r>
      <w:bookmarkEnd w:id="149"/>
      <w:r w:rsidRPr="00473EBF">
        <w:t xml:space="preserve"> </w:t>
      </w:r>
      <w:bookmarkEnd w:id="150"/>
    </w:p>
    <w:p w:rsidR="00B3483B" w:rsidRPr="00B3483B" w:rsidRDefault="00B3483B" w:rsidP="00B3483B"/>
    <w:bookmarkEnd w:id="151"/>
    <w:p w:rsidR="00D33562" w:rsidRPr="008A6317" w:rsidRDefault="00D33562"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8A6317">
        <w:rPr>
          <w:rFonts w:cs="Arial"/>
          <w:szCs w:val="22"/>
        </w:rPr>
        <w:t xml:space="preserve">Estimated acute dietary exposures to HCN </w:t>
      </w:r>
      <w:r w:rsidR="004E40B4">
        <w:rPr>
          <w:rFonts w:cs="Arial"/>
          <w:szCs w:val="22"/>
        </w:rPr>
        <w:t>from individual food</w:t>
      </w:r>
      <w:r w:rsidR="009F4662">
        <w:rPr>
          <w:rFonts w:cs="Arial"/>
          <w:szCs w:val="22"/>
        </w:rPr>
        <w:t>s</w:t>
      </w:r>
      <w:r w:rsidR="004E40B4">
        <w:rPr>
          <w:rFonts w:cs="Arial"/>
          <w:szCs w:val="22"/>
        </w:rPr>
        <w:t xml:space="preserve"> </w:t>
      </w:r>
      <w:r w:rsidRPr="008A6317">
        <w:rPr>
          <w:rFonts w:cs="Arial"/>
          <w:szCs w:val="22"/>
        </w:rPr>
        <w:t xml:space="preserve">for different age groups of Australian and New Zealand consumers are presented in </w:t>
      </w:r>
      <w:r w:rsidR="00391A6C">
        <w:rPr>
          <w:rFonts w:cs="Arial"/>
          <w:szCs w:val="22"/>
        </w:rPr>
        <w:t>Appendix 10</w:t>
      </w:r>
      <w:r w:rsidR="001A34CB">
        <w:rPr>
          <w:rFonts w:cs="Arial"/>
          <w:szCs w:val="22"/>
        </w:rPr>
        <w:t>.</w:t>
      </w:r>
    </w:p>
    <w:p w:rsidR="00D33562" w:rsidRPr="008A6317" w:rsidRDefault="00D33562"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rsidR="00D33562" w:rsidRPr="008A6317" w:rsidRDefault="00D33562"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8A6317">
        <w:rPr>
          <w:rFonts w:cs="Arial"/>
          <w:szCs w:val="22"/>
        </w:rPr>
        <w:t xml:space="preserve">There was a broad range of estimates of acute dietary exposure given the different foods with very different concentrations of HCN, the consumption level used, the consumption amount and the numerous population groups assessed. Exposures ranged from </w:t>
      </w:r>
      <w:r w:rsidRPr="001A34CB">
        <w:rPr>
          <w:rFonts w:cs="Arial"/>
          <w:szCs w:val="22"/>
        </w:rPr>
        <w:t>&lt;1 to 755 µg/kg bw/day</w:t>
      </w:r>
      <w:r w:rsidRPr="008A6317">
        <w:rPr>
          <w:rFonts w:cs="Arial"/>
          <w:szCs w:val="22"/>
        </w:rPr>
        <w:t xml:space="preserve"> across all of the foods and population groups assessed.</w:t>
      </w:r>
    </w:p>
    <w:p w:rsidR="00D33562" w:rsidRDefault="00D33562"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961444" w:rsidRDefault="00961444"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 xml:space="preserve">For Australian and New Zealand adults, the highest </w:t>
      </w:r>
      <w:r w:rsidR="009F4662">
        <w:rPr>
          <w:rFonts w:cs="Arial"/>
        </w:rPr>
        <w:t xml:space="preserve">estimated </w:t>
      </w:r>
      <w:r w:rsidR="00E05374">
        <w:rPr>
          <w:rFonts w:cs="Arial"/>
        </w:rPr>
        <w:t xml:space="preserve">acute </w:t>
      </w:r>
      <w:r>
        <w:rPr>
          <w:rFonts w:cs="Arial"/>
        </w:rPr>
        <w:t>exposures to HCN were associated with the consumption of raw apricot kernels with skin</w:t>
      </w:r>
      <w:r w:rsidR="00E05374">
        <w:rPr>
          <w:rFonts w:cs="Arial"/>
        </w:rPr>
        <w:t>. Ba</w:t>
      </w:r>
      <w:r>
        <w:rPr>
          <w:rFonts w:cs="Arial"/>
        </w:rPr>
        <w:t>sed on a consumption level of 32 kernels/day</w:t>
      </w:r>
      <w:r w:rsidR="00E05374">
        <w:rPr>
          <w:rFonts w:cs="Arial"/>
        </w:rPr>
        <w:t xml:space="preserve">, </w:t>
      </w:r>
      <w:r w:rsidR="009F4662">
        <w:rPr>
          <w:rFonts w:cs="Arial"/>
        </w:rPr>
        <w:t xml:space="preserve">estimated </w:t>
      </w:r>
      <w:r w:rsidR="00E05374">
        <w:rPr>
          <w:rFonts w:cs="Arial"/>
        </w:rPr>
        <w:t>acute exposures</w:t>
      </w:r>
      <w:r>
        <w:rPr>
          <w:rFonts w:cs="Arial"/>
        </w:rPr>
        <w:t xml:space="preserve"> </w:t>
      </w:r>
      <w:r w:rsidR="00E05374">
        <w:rPr>
          <w:rFonts w:cs="Arial"/>
        </w:rPr>
        <w:t xml:space="preserve">ranged from </w:t>
      </w:r>
      <w:r>
        <w:rPr>
          <w:rFonts w:cs="Arial"/>
        </w:rPr>
        <w:t xml:space="preserve">724-755 </w:t>
      </w:r>
      <w:r w:rsidRPr="001A34CB">
        <w:rPr>
          <w:rFonts w:cs="Arial"/>
          <w:szCs w:val="22"/>
        </w:rPr>
        <w:t>µg/kg bw/day</w:t>
      </w:r>
      <w:r>
        <w:rPr>
          <w:rFonts w:cs="Arial"/>
          <w:szCs w:val="22"/>
        </w:rPr>
        <w:t xml:space="preserve">. </w:t>
      </w:r>
      <w:r w:rsidR="00E05374">
        <w:rPr>
          <w:rFonts w:cs="Arial"/>
          <w:szCs w:val="22"/>
        </w:rPr>
        <w:t xml:space="preserve">For raw apricot kernels without skin, acute dietary exposures at consumption levels of 32 kernels/day were lower, ranging from 113-118 </w:t>
      </w:r>
      <w:r w:rsidR="00E05374" w:rsidRPr="001A34CB">
        <w:rPr>
          <w:rFonts w:cs="Arial"/>
          <w:szCs w:val="22"/>
        </w:rPr>
        <w:t>µg/kg bw/day</w:t>
      </w:r>
      <w:r w:rsidR="00E05374">
        <w:rPr>
          <w:rFonts w:cs="Arial"/>
          <w:szCs w:val="22"/>
        </w:rPr>
        <w:t xml:space="preserve">. </w:t>
      </w:r>
      <w:r w:rsidR="00FB1F93">
        <w:rPr>
          <w:rFonts w:cs="Arial"/>
          <w:szCs w:val="22"/>
        </w:rPr>
        <w:t xml:space="preserve">For all </w:t>
      </w:r>
      <w:r w:rsidR="006E3F68">
        <w:rPr>
          <w:rFonts w:cs="Arial"/>
          <w:szCs w:val="22"/>
        </w:rPr>
        <w:t xml:space="preserve">or most </w:t>
      </w:r>
      <w:r w:rsidR="00FB1F93">
        <w:rPr>
          <w:rFonts w:cs="Arial"/>
          <w:szCs w:val="22"/>
        </w:rPr>
        <w:t xml:space="preserve">population groups, </w:t>
      </w:r>
      <w:r w:rsidR="006E3F68">
        <w:rPr>
          <w:rFonts w:cs="Arial"/>
          <w:szCs w:val="22"/>
        </w:rPr>
        <w:t xml:space="preserve">there were high </w:t>
      </w:r>
      <w:r w:rsidR="009F4662">
        <w:rPr>
          <w:rFonts w:cs="Arial"/>
          <w:szCs w:val="22"/>
        </w:rPr>
        <w:t xml:space="preserve">estimated </w:t>
      </w:r>
      <w:r w:rsidR="006E3F68">
        <w:rPr>
          <w:rFonts w:cs="Arial"/>
          <w:szCs w:val="22"/>
        </w:rPr>
        <w:t xml:space="preserve">acute exposures for </w:t>
      </w:r>
      <w:r w:rsidR="00FB1F93">
        <w:rPr>
          <w:rFonts w:cs="Arial"/>
          <w:szCs w:val="22"/>
        </w:rPr>
        <w:t>bread containing linseed (163-511</w:t>
      </w:r>
      <w:r w:rsidR="00E05374">
        <w:rPr>
          <w:rFonts w:cs="Arial"/>
          <w:szCs w:val="22"/>
        </w:rPr>
        <w:t> </w:t>
      </w:r>
      <w:r w:rsidR="00FB1F93" w:rsidRPr="001A34CB">
        <w:rPr>
          <w:rFonts w:cs="Arial"/>
          <w:szCs w:val="22"/>
        </w:rPr>
        <w:t>µg/kg bw/day</w:t>
      </w:r>
      <w:r w:rsidR="00FB1F93">
        <w:rPr>
          <w:rFonts w:cs="Arial"/>
          <w:szCs w:val="22"/>
        </w:rPr>
        <w:t>)</w:t>
      </w:r>
      <w:r w:rsidR="006E3F68">
        <w:rPr>
          <w:rFonts w:cs="Arial"/>
          <w:szCs w:val="22"/>
        </w:rPr>
        <w:t xml:space="preserve"> and </w:t>
      </w:r>
      <w:r w:rsidR="00FB1F93">
        <w:rPr>
          <w:rFonts w:cs="Arial"/>
          <w:szCs w:val="22"/>
        </w:rPr>
        <w:t>cassava roots</w:t>
      </w:r>
      <w:r w:rsidR="006E3F68">
        <w:rPr>
          <w:rFonts w:cs="Arial"/>
          <w:szCs w:val="22"/>
        </w:rPr>
        <w:t xml:space="preserve"> (up to 80 </w:t>
      </w:r>
      <w:r w:rsidR="006E3F68" w:rsidRPr="001A34CB">
        <w:rPr>
          <w:rFonts w:cs="Arial"/>
          <w:szCs w:val="22"/>
        </w:rPr>
        <w:t>µg/kg bw/day</w:t>
      </w:r>
      <w:r w:rsidR="006E3F68">
        <w:rPr>
          <w:rFonts w:cs="Arial"/>
          <w:szCs w:val="22"/>
        </w:rPr>
        <w:t xml:space="preserve">). </w:t>
      </w:r>
    </w:p>
    <w:p w:rsidR="00D33562" w:rsidRDefault="004A6D6B" w:rsidP="00647C27">
      <w:pPr>
        <w:pStyle w:val="Heading2"/>
      </w:pPr>
      <w:bookmarkStart w:id="152" w:name="_Toc360111844"/>
      <w:bookmarkStart w:id="153" w:name="_Toc367957652"/>
      <w:bookmarkStart w:id="154" w:name="_Toc384293528"/>
      <w:r>
        <w:t>5.4</w:t>
      </w:r>
      <w:r>
        <w:tab/>
      </w:r>
      <w:r w:rsidR="00D33562">
        <w:t xml:space="preserve">Risk </w:t>
      </w:r>
      <w:r>
        <w:t>c</w:t>
      </w:r>
      <w:r w:rsidR="00D33562">
        <w:t>haracterisation</w:t>
      </w:r>
      <w:bookmarkEnd w:id="152"/>
      <w:bookmarkEnd w:id="153"/>
      <w:bookmarkEnd w:id="154"/>
    </w:p>
    <w:p w:rsidR="00996BAB" w:rsidRDefault="00996BAB" w:rsidP="00647C27">
      <w:pPr>
        <w:pStyle w:val="Heading3"/>
      </w:pPr>
      <w:bookmarkStart w:id="155" w:name="_Toc384293529"/>
      <w:r w:rsidRPr="00996BAB">
        <w:t>5.</w:t>
      </w:r>
      <w:r>
        <w:t>4.1</w:t>
      </w:r>
      <w:r w:rsidRPr="00996BAB">
        <w:tab/>
        <w:t xml:space="preserve">Characterisation of chronic </w:t>
      </w:r>
      <w:r w:rsidR="0030702F">
        <w:t>risk</w:t>
      </w:r>
      <w:bookmarkEnd w:id="155"/>
    </w:p>
    <w:p w:rsidR="0030702F" w:rsidRPr="0030702F" w:rsidRDefault="0030702F" w:rsidP="0030702F"/>
    <w:p w:rsidR="00D33562" w:rsidRPr="000D2A74" w:rsidRDefault="00C058FF" w:rsidP="00D33562">
      <w:pPr>
        <w:rPr>
          <w:rFonts w:cs="Arial"/>
          <w:szCs w:val="22"/>
        </w:rPr>
      </w:pPr>
      <w:r>
        <w:rPr>
          <w:rFonts w:cs="Arial"/>
          <w:szCs w:val="22"/>
        </w:rPr>
        <w:t>To characterise the chronic exposure risk</w:t>
      </w:r>
      <w:r w:rsidR="00996BAB">
        <w:rPr>
          <w:rFonts w:cs="Arial"/>
          <w:szCs w:val="22"/>
        </w:rPr>
        <w:t xml:space="preserve">, </w:t>
      </w:r>
      <w:r>
        <w:rPr>
          <w:rFonts w:cs="Arial"/>
          <w:szCs w:val="22"/>
        </w:rPr>
        <w:t xml:space="preserve">the </w:t>
      </w:r>
      <w:r w:rsidR="00996BAB">
        <w:rPr>
          <w:rFonts w:cs="Arial"/>
          <w:szCs w:val="22"/>
        </w:rPr>
        <w:t>e</w:t>
      </w:r>
      <w:r w:rsidR="00D33562" w:rsidRPr="000D2A74">
        <w:rPr>
          <w:rFonts w:cs="Arial"/>
          <w:szCs w:val="22"/>
        </w:rPr>
        <w:t xml:space="preserve">stimated chronic dietary exposures to HCN </w:t>
      </w:r>
      <w:r w:rsidR="007C26C2">
        <w:rPr>
          <w:rFonts w:cs="Arial"/>
          <w:szCs w:val="22"/>
        </w:rPr>
        <w:t xml:space="preserve">in cyanogenic glycoside containing foods </w:t>
      </w:r>
      <w:r w:rsidR="00D33562" w:rsidRPr="000D2A74">
        <w:rPr>
          <w:rFonts w:cs="Arial"/>
          <w:szCs w:val="22"/>
        </w:rPr>
        <w:t xml:space="preserve">were converted to </w:t>
      </w:r>
      <w:r w:rsidR="0007766B">
        <w:rPr>
          <w:rFonts w:cs="Arial"/>
          <w:szCs w:val="22"/>
        </w:rPr>
        <w:t xml:space="preserve">a </w:t>
      </w:r>
      <w:r w:rsidR="00D33562" w:rsidRPr="000D2A74">
        <w:rPr>
          <w:rFonts w:cs="Arial"/>
          <w:szCs w:val="22"/>
        </w:rPr>
        <w:t xml:space="preserve">cyanide </w:t>
      </w:r>
      <w:r w:rsidR="0007766B">
        <w:rPr>
          <w:rFonts w:cs="Arial"/>
          <w:szCs w:val="22"/>
        </w:rPr>
        <w:t xml:space="preserve">ion concentration for each age group </w:t>
      </w:r>
      <w:r w:rsidR="00D33562" w:rsidRPr="000D2A74">
        <w:rPr>
          <w:rFonts w:cs="Arial"/>
          <w:szCs w:val="22"/>
        </w:rPr>
        <w:t xml:space="preserve">and compared </w:t>
      </w:r>
      <w:r w:rsidR="0007766B">
        <w:rPr>
          <w:rFonts w:cs="Arial"/>
          <w:szCs w:val="22"/>
        </w:rPr>
        <w:t>with</w:t>
      </w:r>
      <w:r w:rsidR="00D33562" w:rsidRPr="000D2A74">
        <w:rPr>
          <w:rFonts w:cs="Arial"/>
          <w:szCs w:val="22"/>
        </w:rPr>
        <w:t xml:space="preserve"> the PMTDI</w:t>
      </w:r>
      <w:r w:rsidR="0030702F">
        <w:rPr>
          <w:rFonts w:cs="Arial"/>
          <w:szCs w:val="22"/>
        </w:rPr>
        <w:t xml:space="preserve"> of </w:t>
      </w:r>
      <w:r w:rsidR="0030702F" w:rsidRPr="00674B95">
        <w:rPr>
          <w:rFonts w:cs="Arial"/>
          <w:szCs w:val="22"/>
        </w:rPr>
        <w:t>20 µg CN</w:t>
      </w:r>
      <w:r w:rsidR="0030702F" w:rsidRPr="00BF154C">
        <w:rPr>
          <w:rFonts w:cs="Arial"/>
          <w:szCs w:val="22"/>
          <w:vertAlign w:val="superscript"/>
        </w:rPr>
        <w:t>-</w:t>
      </w:r>
      <w:r w:rsidR="0030702F" w:rsidRPr="00674B95">
        <w:rPr>
          <w:rFonts w:cs="Arial"/>
          <w:szCs w:val="22"/>
        </w:rPr>
        <w:t>/kg bw</w:t>
      </w:r>
      <w:r w:rsidR="00D33562" w:rsidRPr="000D2A74">
        <w:rPr>
          <w:rFonts w:cs="Arial"/>
          <w:szCs w:val="22"/>
        </w:rPr>
        <w:t>.</w:t>
      </w:r>
    </w:p>
    <w:p w:rsidR="00D33562" w:rsidRDefault="00D33562" w:rsidP="00D33562"/>
    <w:p w:rsidR="00D33562" w:rsidRPr="00996BAB" w:rsidRDefault="00D33562" w:rsidP="00D33562">
      <w:pPr>
        <w:rPr>
          <w:rFonts w:cs="Arial"/>
          <w:szCs w:val="22"/>
        </w:rPr>
      </w:pPr>
      <w:r w:rsidRPr="00996BAB">
        <w:rPr>
          <w:rFonts w:cs="Arial"/>
          <w:szCs w:val="22"/>
        </w:rPr>
        <w:t xml:space="preserve">The chronic dietary exposures </w:t>
      </w:r>
      <w:r w:rsidR="007C26C2">
        <w:rPr>
          <w:rFonts w:cs="Arial"/>
          <w:szCs w:val="22"/>
        </w:rPr>
        <w:t>of cyanogen</w:t>
      </w:r>
      <w:r w:rsidR="0030702F">
        <w:rPr>
          <w:rFonts w:cs="Arial"/>
          <w:szCs w:val="22"/>
        </w:rPr>
        <w:t>ic</w:t>
      </w:r>
      <w:r w:rsidR="007C26C2">
        <w:rPr>
          <w:rFonts w:cs="Arial"/>
          <w:szCs w:val="22"/>
        </w:rPr>
        <w:t xml:space="preserve"> glycoside containing food </w:t>
      </w:r>
      <w:r w:rsidR="0007766B">
        <w:rPr>
          <w:rFonts w:cs="Arial"/>
          <w:szCs w:val="22"/>
        </w:rPr>
        <w:t xml:space="preserve">expressed </w:t>
      </w:r>
      <w:r w:rsidRPr="00996BAB">
        <w:rPr>
          <w:rFonts w:cs="Arial"/>
          <w:szCs w:val="22"/>
        </w:rPr>
        <w:t xml:space="preserve">as a per cent of the PMTDI are shown in </w:t>
      </w:r>
      <w:r w:rsidRPr="00996BAB">
        <w:rPr>
          <w:rFonts w:cs="Arial"/>
          <w:szCs w:val="22"/>
        </w:rPr>
        <w:fldChar w:fldCharType="begin"/>
      </w:r>
      <w:r w:rsidRPr="00996BAB">
        <w:rPr>
          <w:rFonts w:cs="Arial"/>
          <w:szCs w:val="22"/>
        </w:rPr>
        <w:instrText xml:space="preserve"> REF _Ref338055621 \h </w:instrText>
      </w:r>
      <w:r w:rsidR="00996BAB" w:rsidRPr="00996BAB">
        <w:rPr>
          <w:rFonts w:cs="Arial"/>
          <w:szCs w:val="22"/>
        </w:rPr>
        <w:instrText xml:space="preserve"> \* MERGEFORMAT </w:instrText>
      </w:r>
      <w:r w:rsidRPr="00996BAB">
        <w:rPr>
          <w:rFonts w:cs="Arial"/>
          <w:szCs w:val="22"/>
        </w:rPr>
      </w:r>
      <w:r w:rsidRPr="00996BAB">
        <w:rPr>
          <w:rFonts w:cs="Arial"/>
          <w:szCs w:val="22"/>
        </w:rPr>
        <w:fldChar w:fldCharType="separate"/>
      </w:r>
      <w:r w:rsidR="00794D8F" w:rsidRPr="00794D8F">
        <w:rPr>
          <w:rFonts w:cs="Arial"/>
          <w:szCs w:val="22"/>
        </w:rPr>
        <w:t xml:space="preserve">Table </w:t>
      </w:r>
      <w:r w:rsidRPr="00996BAB">
        <w:rPr>
          <w:rFonts w:cs="Arial"/>
          <w:szCs w:val="22"/>
        </w:rPr>
        <w:fldChar w:fldCharType="end"/>
      </w:r>
      <w:r w:rsidR="00F57293">
        <w:rPr>
          <w:rFonts w:cs="Arial"/>
          <w:szCs w:val="22"/>
        </w:rPr>
        <w:t>12</w:t>
      </w:r>
      <w:r w:rsidRPr="00996BAB">
        <w:rPr>
          <w:rFonts w:cs="Arial"/>
          <w:szCs w:val="22"/>
        </w:rPr>
        <w:t xml:space="preserve">. There were no exceedances of the PMTDI for any population group assessed, even based on the upper bound concentrations and </w:t>
      </w:r>
      <w:r w:rsidR="008970F1">
        <w:rPr>
          <w:rFonts w:cs="Arial"/>
          <w:szCs w:val="22"/>
        </w:rPr>
        <w:t xml:space="preserve">estimated </w:t>
      </w:r>
      <w:r w:rsidRPr="00996BAB">
        <w:rPr>
          <w:rFonts w:cs="Arial"/>
          <w:szCs w:val="22"/>
        </w:rPr>
        <w:t>90</w:t>
      </w:r>
      <w:r w:rsidRPr="00996BAB">
        <w:rPr>
          <w:rFonts w:cs="Arial"/>
          <w:szCs w:val="22"/>
          <w:vertAlign w:val="superscript"/>
        </w:rPr>
        <w:t>th</w:t>
      </w:r>
      <w:r w:rsidRPr="00996BAB">
        <w:rPr>
          <w:rFonts w:cs="Arial"/>
          <w:szCs w:val="22"/>
        </w:rPr>
        <w:t xml:space="preserve"> percentile dietary exposures</w:t>
      </w:r>
      <w:r w:rsidR="00E372B6">
        <w:rPr>
          <w:rFonts w:cs="Arial"/>
          <w:szCs w:val="22"/>
        </w:rPr>
        <w:t xml:space="preserve"> for consumers of foods containing HCN</w:t>
      </w:r>
      <w:r w:rsidR="00996BAB">
        <w:rPr>
          <w:rFonts w:cs="Arial"/>
          <w:szCs w:val="22"/>
        </w:rPr>
        <w:t xml:space="preserve">. The highest level of </w:t>
      </w:r>
      <w:r w:rsidR="008970F1">
        <w:rPr>
          <w:rFonts w:cs="Arial"/>
          <w:szCs w:val="22"/>
        </w:rPr>
        <w:t xml:space="preserve">estimated </w:t>
      </w:r>
      <w:r w:rsidR="00996BAB">
        <w:rPr>
          <w:rFonts w:cs="Arial"/>
          <w:szCs w:val="22"/>
        </w:rPr>
        <w:t xml:space="preserve">chronic </w:t>
      </w:r>
      <w:r w:rsidR="00996BAB">
        <w:rPr>
          <w:rFonts w:cs="Arial"/>
          <w:szCs w:val="22"/>
        </w:rPr>
        <w:lastRenderedPageBreak/>
        <w:t xml:space="preserve">dietary exposure as a per cent of the PMTDI was </w:t>
      </w:r>
      <w:r w:rsidR="0048573A">
        <w:rPr>
          <w:rFonts w:cs="Arial"/>
          <w:szCs w:val="22"/>
        </w:rPr>
        <w:t>2</w:t>
      </w:r>
      <w:r w:rsidR="0048573A" w:rsidRPr="00996BAB">
        <w:rPr>
          <w:rFonts w:cs="Arial"/>
          <w:szCs w:val="22"/>
        </w:rPr>
        <w:t>5</w:t>
      </w:r>
      <w:r w:rsidRPr="00996BAB">
        <w:rPr>
          <w:rFonts w:cs="Arial"/>
          <w:szCs w:val="22"/>
        </w:rPr>
        <w:t>% PMTDI</w:t>
      </w:r>
      <w:r w:rsidR="00996BAB">
        <w:rPr>
          <w:rFonts w:cs="Arial"/>
          <w:szCs w:val="22"/>
        </w:rPr>
        <w:t xml:space="preserve"> for Australians aged 2-16 years</w:t>
      </w:r>
      <w:r w:rsidR="00E927A4">
        <w:rPr>
          <w:rFonts w:cs="Arial"/>
          <w:szCs w:val="22"/>
        </w:rPr>
        <w:t>, based on the upper bound concentrations and 90</w:t>
      </w:r>
      <w:r w:rsidR="00E927A4" w:rsidRPr="00E927A4">
        <w:rPr>
          <w:rFonts w:cs="Arial"/>
          <w:szCs w:val="22"/>
          <w:vertAlign w:val="superscript"/>
        </w:rPr>
        <w:t>th</w:t>
      </w:r>
      <w:r w:rsidR="00E927A4">
        <w:rPr>
          <w:rFonts w:cs="Arial"/>
          <w:szCs w:val="22"/>
        </w:rPr>
        <w:t xml:space="preserve"> percentile dietary exposures</w:t>
      </w:r>
      <w:r w:rsidRPr="00996BAB">
        <w:rPr>
          <w:rFonts w:cs="Arial"/>
          <w:szCs w:val="22"/>
        </w:rPr>
        <w:t xml:space="preserve">. On this basis, </w:t>
      </w:r>
      <w:r w:rsidR="007C26C2">
        <w:rPr>
          <w:rFonts w:cs="Arial"/>
          <w:szCs w:val="22"/>
        </w:rPr>
        <w:t xml:space="preserve">it is unlikely that </w:t>
      </w:r>
      <w:r w:rsidRPr="00996BAB">
        <w:rPr>
          <w:rFonts w:cs="Arial"/>
          <w:szCs w:val="22"/>
        </w:rPr>
        <w:t xml:space="preserve">there </w:t>
      </w:r>
      <w:r w:rsidR="007C26C2">
        <w:rPr>
          <w:rFonts w:cs="Arial"/>
          <w:szCs w:val="22"/>
        </w:rPr>
        <w:t xml:space="preserve">will be any </w:t>
      </w:r>
      <w:r w:rsidRPr="00996BAB">
        <w:rPr>
          <w:rFonts w:cs="Arial"/>
          <w:szCs w:val="22"/>
        </w:rPr>
        <w:t>public health and safety issues in relation to chronic dietary exposure to HCN for the Australian and New Zealand populations.</w:t>
      </w:r>
    </w:p>
    <w:p w:rsidR="00D33562" w:rsidRDefault="00D33562" w:rsidP="00D33562"/>
    <w:p w:rsidR="00D33562" w:rsidRPr="005A4C1A" w:rsidRDefault="00D33562" w:rsidP="00391DE3">
      <w:pPr>
        <w:pStyle w:val="Heading3LT"/>
      </w:pPr>
      <w:bookmarkStart w:id="156" w:name="_Ref338055621"/>
      <w:bookmarkStart w:id="157" w:name="_Toc384293558"/>
      <w:r w:rsidRPr="005A4C1A">
        <w:t xml:space="preserve">Table </w:t>
      </w:r>
      <w:bookmarkEnd w:id="156"/>
      <w:r w:rsidR="00F57293">
        <w:t>12</w:t>
      </w:r>
      <w:r w:rsidR="00996BAB" w:rsidRPr="005A4C1A">
        <w:t xml:space="preserve">: </w:t>
      </w:r>
      <w:r w:rsidRPr="005A4C1A">
        <w:t xml:space="preserve">Estimated chronic dietary exposures to </w:t>
      </w:r>
      <w:r w:rsidR="005A4C1A">
        <w:t xml:space="preserve">HCN </w:t>
      </w:r>
      <w:r w:rsidRPr="005A4C1A">
        <w:t>for Australia</w:t>
      </w:r>
      <w:r w:rsidR="005A4C1A">
        <w:t>n</w:t>
      </w:r>
      <w:r w:rsidRPr="005A4C1A">
        <w:t xml:space="preserve"> and New Zealand population groups as a per cent of the provisional maximum </w:t>
      </w:r>
      <w:r w:rsidR="00936E18" w:rsidRPr="005A4C1A">
        <w:t xml:space="preserve">tolerable </w:t>
      </w:r>
      <w:r w:rsidRPr="005A4C1A">
        <w:t>daily intake (PMTDI) (%)</w:t>
      </w:r>
      <w:bookmarkEnd w:id="157"/>
    </w:p>
    <w:tbl>
      <w:tblPr>
        <w:tblStyle w:val="MediumShading1-Accent1"/>
        <w:tblW w:w="9513" w:type="dxa"/>
        <w:tblBorders>
          <w:insideV w:val="single" w:sz="8" w:space="0" w:color="7BA0CD" w:themeColor="accent1" w:themeTint="BF"/>
        </w:tblBorders>
        <w:tblLook w:val="04A0" w:firstRow="1" w:lastRow="0" w:firstColumn="1" w:lastColumn="0" w:noHBand="0" w:noVBand="1"/>
      </w:tblPr>
      <w:tblGrid>
        <w:gridCol w:w="3510"/>
        <w:gridCol w:w="993"/>
        <w:gridCol w:w="992"/>
        <w:gridCol w:w="992"/>
        <w:gridCol w:w="992"/>
        <w:gridCol w:w="993"/>
        <w:gridCol w:w="1041"/>
      </w:tblGrid>
      <w:tr w:rsidR="005A4C1A" w:rsidRPr="00B577A0" w:rsidTr="00003C1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10" w:type="dxa"/>
            <w:vMerge w:val="restart"/>
            <w:tcBorders>
              <w:top w:val="none" w:sz="0" w:space="0" w:color="auto"/>
              <w:left w:val="none" w:sz="0" w:space="0" w:color="auto"/>
              <w:bottom w:val="none" w:sz="0" w:space="0" w:color="auto"/>
              <w:right w:val="none" w:sz="0" w:space="0" w:color="auto"/>
            </w:tcBorders>
            <w:noWrap/>
          </w:tcPr>
          <w:p w:rsidR="00D33562" w:rsidRPr="00B577A0" w:rsidRDefault="00D33562" w:rsidP="00823493">
            <w:pPr>
              <w:keepNext/>
              <w:rPr>
                <w:rFonts w:cs="Arial"/>
                <w:bCs w:val="0"/>
                <w:sz w:val="20"/>
                <w:szCs w:val="20"/>
                <w:lang w:eastAsia="en-GB"/>
              </w:rPr>
            </w:pPr>
            <w:r w:rsidRPr="00B577A0">
              <w:rPr>
                <w:rFonts w:cs="Arial"/>
                <w:bCs w:val="0"/>
                <w:sz w:val="20"/>
                <w:szCs w:val="20"/>
                <w:lang w:eastAsia="en-GB"/>
              </w:rPr>
              <w:t>Population group</w:t>
            </w:r>
          </w:p>
        </w:tc>
        <w:tc>
          <w:tcPr>
            <w:tcW w:w="6003" w:type="dxa"/>
            <w:gridSpan w:val="6"/>
            <w:tcBorders>
              <w:top w:val="none" w:sz="0" w:space="0" w:color="auto"/>
              <w:left w:val="none" w:sz="0" w:space="0" w:color="auto"/>
              <w:bottom w:val="none" w:sz="0" w:space="0" w:color="auto"/>
              <w:right w:val="none" w:sz="0" w:space="0" w:color="auto"/>
            </w:tcBorders>
            <w:noWrap/>
          </w:tcPr>
          <w:p w:rsidR="00D33562" w:rsidRPr="00B577A0" w:rsidRDefault="00D33562" w:rsidP="00B577A0">
            <w:pPr>
              <w:keepNext/>
              <w:jc w:val="center"/>
              <w:cnfStyle w:val="100000000000" w:firstRow="1" w:lastRow="0" w:firstColumn="0" w:lastColumn="0" w:oddVBand="0" w:evenVBand="0" w:oddHBand="0" w:evenHBand="0" w:firstRowFirstColumn="0" w:firstRowLastColumn="0" w:lastRowFirstColumn="0" w:lastRowLastColumn="0"/>
              <w:rPr>
                <w:rFonts w:cs="Arial"/>
                <w:bCs w:val="0"/>
                <w:sz w:val="20"/>
                <w:szCs w:val="20"/>
                <w:lang w:eastAsia="en-GB"/>
              </w:rPr>
            </w:pPr>
            <w:r w:rsidRPr="00B577A0">
              <w:rPr>
                <w:rFonts w:cs="Arial"/>
                <w:bCs w:val="0"/>
                <w:sz w:val="20"/>
                <w:szCs w:val="20"/>
                <w:lang w:eastAsia="en-GB"/>
              </w:rPr>
              <w:t>% PMTDI*</w:t>
            </w:r>
          </w:p>
        </w:tc>
      </w:tr>
      <w:tr w:rsidR="005A4C1A" w:rsidRPr="00B577A0" w:rsidTr="00003C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10" w:type="dxa"/>
            <w:vMerge/>
            <w:tcBorders>
              <w:right w:val="none" w:sz="0" w:space="0" w:color="auto"/>
            </w:tcBorders>
            <w:noWrap/>
            <w:hideMark/>
          </w:tcPr>
          <w:p w:rsidR="00D33562" w:rsidRPr="00B577A0" w:rsidRDefault="00D33562" w:rsidP="00823493">
            <w:pPr>
              <w:keepNext/>
              <w:rPr>
                <w:rFonts w:cs="Arial"/>
                <w:bCs w:val="0"/>
                <w:color w:val="FFFFFF" w:themeColor="background1"/>
                <w:sz w:val="20"/>
                <w:szCs w:val="20"/>
                <w:lang w:eastAsia="en-GB"/>
              </w:rPr>
            </w:pPr>
          </w:p>
        </w:tc>
        <w:tc>
          <w:tcPr>
            <w:tcW w:w="1985" w:type="dxa"/>
            <w:gridSpan w:val="2"/>
            <w:tcBorders>
              <w:left w:val="none" w:sz="0" w:space="0" w:color="auto"/>
              <w:right w:val="none" w:sz="0" w:space="0" w:color="auto"/>
            </w:tcBorders>
            <w:shd w:val="clear" w:color="auto" w:fill="4F81BD" w:themeFill="accent1"/>
            <w:noWrap/>
            <w:hideMark/>
          </w:tcPr>
          <w:p w:rsidR="00D33562" w:rsidRPr="00B577A0" w:rsidRDefault="00D33562" w:rsidP="00B577A0">
            <w:pPr>
              <w:keepNext/>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r w:rsidRPr="00B577A0">
              <w:rPr>
                <w:rFonts w:cs="Arial"/>
                <w:b/>
                <w:bCs/>
                <w:color w:val="FFFFFF" w:themeColor="background1"/>
                <w:sz w:val="20"/>
                <w:szCs w:val="20"/>
                <w:lang w:eastAsia="en-GB"/>
              </w:rPr>
              <w:t>All respondents</w:t>
            </w:r>
          </w:p>
        </w:tc>
        <w:tc>
          <w:tcPr>
            <w:tcW w:w="4018" w:type="dxa"/>
            <w:gridSpan w:val="4"/>
            <w:tcBorders>
              <w:left w:val="none" w:sz="0" w:space="0" w:color="auto"/>
            </w:tcBorders>
            <w:shd w:val="clear" w:color="auto" w:fill="4F81BD" w:themeFill="accent1"/>
            <w:noWrap/>
            <w:hideMark/>
          </w:tcPr>
          <w:p w:rsidR="00D33562" w:rsidRPr="00B577A0" w:rsidRDefault="00D33562" w:rsidP="00B577A0">
            <w:pPr>
              <w:keepNext/>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r w:rsidRPr="00B577A0">
              <w:rPr>
                <w:rFonts w:cs="Arial"/>
                <w:b/>
                <w:bCs/>
                <w:color w:val="FFFFFF" w:themeColor="background1"/>
                <w:sz w:val="20"/>
                <w:szCs w:val="20"/>
                <w:lang w:eastAsia="en-GB"/>
              </w:rPr>
              <w:t>Consumers only</w:t>
            </w:r>
          </w:p>
        </w:tc>
      </w:tr>
      <w:tr w:rsidR="005A4C1A" w:rsidRPr="00B577A0" w:rsidTr="00003C1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10" w:type="dxa"/>
            <w:vMerge/>
            <w:tcBorders>
              <w:right w:val="none" w:sz="0" w:space="0" w:color="auto"/>
            </w:tcBorders>
            <w:hideMark/>
          </w:tcPr>
          <w:p w:rsidR="00D33562" w:rsidRPr="00B577A0" w:rsidRDefault="00D33562" w:rsidP="00823493">
            <w:pPr>
              <w:keepNext/>
              <w:rPr>
                <w:rFonts w:cs="Arial"/>
                <w:bCs w:val="0"/>
                <w:color w:val="FFFFFF" w:themeColor="background1"/>
                <w:sz w:val="20"/>
                <w:szCs w:val="20"/>
                <w:lang w:eastAsia="en-GB"/>
              </w:rPr>
            </w:pPr>
          </w:p>
        </w:tc>
        <w:tc>
          <w:tcPr>
            <w:tcW w:w="1985" w:type="dxa"/>
            <w:gridSpan w:val="2"/>
            <w:tcBorders>
              <w:left w:val="none" w:sz="0" w:space="0" w:color="auto"/>
              <w:right w:val="none" w:sz="0" w:space="0" w:color="auto"/>
            </w:tcBorders>
            <w:shd w:val="clear" w:color="auto" w:fill="4F81BD" w:themeFill="accent1"/>
            <w:noWrap/>
            <w:hideMark/>
          </w:tcPr>
          <w:p w:rsidR="00D33562" w:rsidRPr="00B577A0" w:rsidRDefault="00D33562" w:rsidP="00B577A0">
            <w:pPr>
              <w:keepNext/>
              <w:jc w:val="center"/>
              <w:cnfStyle w:val="000000010000" w:firstRow="0" w:lastRow="0" w:firstColumn="0" w:lastColumn="0" w:oddVBand="0" w:evenVBand="0" w:oddHBand="0" w:evenHBand="1" w:firstRowFirstColumn="0" w:firstRowLastColumn="0" w:lastRowFirstColumn="0" w:lastRowLastColumn="0"/>
              <w:rPr>
                <w:rFonts w:cs="Arial"/>
                <w:b/>
                <w:bCs/>
                <w:color w:val="FFFFFF" w:themeColor="background1"/>
                <w:sz w:val="20"/>
                <w:szCs w:val="20"/>
                <w:lang w:eastAsia="en-GB"/>
              </w:rPr>
            </w:pPr>
            <w:r w:rsidRPr="00B577A0">
              <w:rPr>
                <w:rFonts w:cs="Arial"/>
                <w:b/>
                <w:bCs/>
                <w:color w:val="FFFFFF" w:themeColor="background1"/>
                <w:sz w:val="20"/>
                <w:szCs w:val="20"/>
                <w:lang w:eastAsia="en-GB"/>
              </w:rPr>
              <w:t>Mean</w:t>
            </w:r>
          </w:p>
        </w:tc>
        <w:tc>
          <w:tcPr>
            <w:tcW w:w="1984" w:type="dxa"/>
            <w:gridSpan w:val="2"/>
            <w:tcBorders>
              <w:left w:val="none" w:sz="0" w:space="0" w:color="auto"/>
              <w:right w:val="none" w:sz="0" w:space="0" w:color="auto"/>
            </w:tcBorders>
            <w:shd w:val="clear" w:color="auto" w:fill="4F81BD" w:themeFill="accent1"/>
            <w:noWrap/>
            <w:hideMark/>
          </w:tcPr>
          <w:p w:rsidR="00D33562" w:rsidRPr="00B577A0" w:rsidRDefault="00D33562" w:rsidP="00B577A0">
            <w:pPr>
              <w:keepNext/>
              <w:jc w:val="center"/>
              <w:cnfStyle w:val="000000010000" w:firstRow="0" w:lastRow="0" w:firstColumn="0" w:lastColumn="0" w:oddVBand="0" w:evenVBand="0" w:oddHBand="0" w:evenHBand="1" w:firstRowFirstColumn="0" w:firstRowLastColumn="0" w:lastRowFirstColumn="0" w:lastRowLastColumn="0"/>
              <w:rPr>
                <w:rFonts w:cs="Arial"/>
                <w:b/>
                <w:bCs/>
                <w:color w:val="FFFFFF" w:themeColor="background1"/>
                <w:sz w:val="20"/>
                <w:szCs w:val="20"/>
                <w:lang w:eastAsia="en-GB"/>
              </w:rPr>
            </w:pPr>
            <w:r w:rsidRPr="00B577A0">
              <w:rPr>
                <w:rFonts w:cs="Arial"/>
                <w:b/>
                <w:bCs/>
                <w:color w:val="FFFFFF" w:themeColor="background1"/>
                <w:sz w:val="20"/>
                <w:szCs w:val="20"/>
                <w:lang w:eastAsia="en-GB"/>
              </w:rPr>
              <w:t>Mean</w:t>
            </w:r>
          </w:p>
        </w:tc>
        <w:tc>
          <w:tcPr>
            <w:tcW w:w="2034" w:type="dxa"/>
            <w:gridSpan w:val="2"/>
            <w:tcBorders>
              <w:left w:val="none" w:sz="0" w:space="0" w:color="auto"/>
            </w:tcBorders>
            <w:shd w:val="clear" w:color="auto" w:fill="4F81BD" w:themeFill="accent1"/>
            <w:noWrap/>
            <w:hideMark/>
          </w:tcPr>
          <w:p w:rsidR="00D33562" w:rsidRPr="00B577A0" w:rsidRDefault="00D33562" w:rsidP="00B577A0">
            <w:pPr>
              <w:keepNext/>
              <w:jc w:val="center"/>
              <w:cnfStyle w:val="000000010000" w:firstRow="0" w:lastRow="0" w:firstColumn="0" w:lastColumn="0" w:oddVBand="0" w:evenVBand="0" w:oddHBand="0" w:evenHBand="1" w:firstRowFirstColumn="0" w:firstRowLastColumn="0" w:lastRowFirstColumn="0" w:lastRowLastColumn="0"/>
              <w:rPr>
                <w:rFonts w:cs="Arial"/>
                <w:b/>
                <w:bCs/>
                <w:color w:val="FFFFFF" w:themeColor="background1"/>
                <w:sz w:val="20"/>
                <w:szCs w:val="20"/>
                <w:lang w:eastAsia="en-GB"/>
              </w:rPr>
            </w:pPr>
            <w:r w:rsidRPr="00B577A0">
              <w:rPr>
                <w:rFonts w:cs="Arial"/>
                <w:b/>
                <w:bCs/>
                <w:color w:val="FFFFFF" w:themeColor="background1"/>
                <w:sz w:val="20"/>
                <w:szCs w:val="20"/>
                <w:lang w:eastAsia="en-GB"/>
              </w:rPr>
              <w:t>90th percentile</w:t>
            </w:r>
          </w:p>
        </w:tc>
      </w:tr>
      <w:tr w:rsidR="00B577A0" w:rsidRPr="00B577A0" w:rsidTr="00003C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10" w:type="dxa"/>
            <w:vMerge/>
            <w:tcBorders>
              <w:right w:val="none" w:sz="0" w:space="0" w:color="auto"/>
            </w:tcBorders>
            <w:hideMark/>
          </w:tcPr>
          <w:p w:rsidR="00D33562" w:rsidRPr="00B577A0" w:rsidRDefault="00D33562" w:rsidP="00823493">
            <w:pPr>
              <w:keepNext/>
              <w:rPr>
                <w:rFonts w:cs="Arial"/>
                <w:bCs w:val="0"/>
                <w:color w:val="FFFFFF" w:themeColor="background1"/>
                <w:sz w:val="20"/>
                <w:szCs w:val="20"/>
                <w:lang w:eastAsia="en-GB"/>
              </w:rPr>
            </w:pPr>
          </w:p>
        </w:tc>
        <w:tc>
          <w:tcPr>
            <w:tcW w:w="993" w:type="dxa"/>
            <w:tcBorders>
              <w:left w:val="none" w:sz="0" w:space="0" w:color="auto"/>
              <w:right w:val="none" w:sz="0" w:space="0" w:color="auto"/>
            </w:tcBorders>
            <w:shd w:val="clear" w:color="auto" w:fill="4F81BD" w:themeFill="accent1"/>
            <w:noWrap/>
            <w:hideMark/>
          </w:tcPr>
          <w:p w:rsidR="00D33562" w:rsidRPr="00B577A0" w:rsidRDefault="00D33562" w:rsidP="00B577A0">
            <w:pPr>
              <w:keepNext/>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r w:rsidRPr="00B577A0">
              <w:rPr>
                <w:rFonts w:cs="Arial"/>
                <w:b/>
                <w:bCs/>
                <w:color w:val="FFFFFF" w:themeColor="background1"/>
                <w:sz w:val="20"/>
                <w:szCs w:val="20"/>
                <w:lang w:eastAsia="en-GB"/>
              </w:rPr>
              <w:t>LB</w:t>
            </w:r>
          </w:p>
        </w:tc>
        <w:tc>
          <w:tcPr>
            <w:tcW w:w="992" w:type="dxa"/>
            <w:tcBorders>
              <w:left w:val="none" w:sz="0" w:space="0" w:color="auto"/>
              <w:right w:val="none" w:sz="0" w:space="0" w:color="auto"/>
            </w:tcBorders>
            <w:shd w:val="clear" w:color="auto" w:fill="4F81BD" w:themeFill="accent1"/>
            <w:noWrap/>
            <w:hideMark/>
          </w:tcPr>
          <w:p w:rsidR="00D33562" w:rsidRPr="00B577A0" w:rsidRDefault="00D33562" w:rsidP="00B577A0">
            <w:pPr>
              <w:keepNext/>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r w:rsidRPr="00B577A0">
              <w:rPr>
                <w:rFonts w:cs="Arial"/>
                <w:b/>
                <w:bCs/>
                <w:color w:val="FFFFFF" w:themeColor="background1"/>
                <w:sz w:val="20"/>
                <w:szCs w:val="20"/>
                <w:lang w:eastAsia="en-GB"/>
              </w:rPr>
              <w:t>UB</w:t>
            </w:r>
          </w:p>
        </w:tc>
        <w:tc>
          <w:tcPr>
            <w:tcW w:w="992" w:type="dxa"/>
            <w:tcBorders>
              <w:left w:val="none" w:sz="0" w:space="0" w:color="auto"/>
              <w:right w:val="none" w:sz="0" w:space="0" w:color="auto"/>
            </w:tcBorders>
            <w:shd w:val="clear" w:color="auto" w:fill="4F81BD" w:themeFill="accent1"/>
            <w:noWrap/>
            <w:hideMark/>
          </w:tcPr>
          <w:p w:rsidR="00D33562" w:rsidRPr="00B577A0" w:rsidRDefault="00D33562" w:rsidP="00B577A0">
            <w:pPr>
              <w:keepNext/>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r w:rsidRPr="00B577A0">
              <w:rPr>
                <w:rFonts w:cs="Arial"/>
                <w:b/>
                <w:bCs/>
                <w:color w:val="FFFFFF" w:themeColor="background1"/>
                <w:sz w:val="20"/>
                <w:szCs w:val="20"/>
                <w:lang w:eastAsia="en-GB"/>
              </w:rPr>
              <w:t>LB</w:t>
            </w:r>
          </w:p>
        </w:tc>
        <w:tc>
          <w:tcPr>
            <w:tcW w:w="992" w:type="dxa"/>
            <w:tcBorders>
              <w:left w:val="none" w:sz="0" w:space="0" w:color="auto"/>
              <w:right w:val="none" w:sz="0" w:space="0" w:color="auto"/>
            </w:tcBorders>
            <w:shd w:val="clear" w:color="auto" w:fill="4F81BD" w:themeFill="accent1"/>
            <w:noWrap/>
            <w:hideMark/>
          </w:tcPr>
          <w:p w:rsidR="00D33562" w:rsidRPr="00B577A0" w:rsidRDefault="00D33562" w:rsidP="00B577A0">
            <w:pPr>
              <w:keepNext/>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r w:rsidRPr="00B577A0">
              <w:rPr>
                <w:rFonts w:cs="Arial"/>
                <w:b/>
                <w:bCs/>
                <w:color w:val="FFFFFF" w:themeColor="background1"/>
                <w:sz w:val="20"/>
                <w:szCs w:val="20"/>
                <w:lang w:eastAsia="en-GB"/>
              </w:rPr>
              <w:t>UB</w:t>
            </w:r>
          </w:p>
        </w:tc>
        <w:tc>
          <w:tcPr>
            <w:tcW w:w="993" w:type="dxa"/>
            <w:tcBorders>
              <w:left w:val="none" w:sz="0" w:space="0" w:color="auto"/>
              <w:right w:val="none" w:sz="0" w:space="0" w:color="auto"/>
            </w:tcBorders>
            <w:shd w:val="clear" w:color="auto" w:fill="4F81BD" w:themeFill="accent1"/>
            <w:noWrap/>
            <w:hideMark/>
          </w:tcPr>
          <w:p w:rsidR="00D33562" w:rsidRPr="00B577A0" w:rsidRDefault="00D33562" w:rsidP="00B577A0">
            <w:pPr>
              <w:keepNext/>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r w:rsidRPr="00B577A0">
              <w:rPr>
                <w:rFonts w:cs="Arial"/>
                <w:b/>
                <w:bCs/>
                <w:color w:val="FFFFFF" w:themeColor="background1"/>
                <w:sz w:val="20"/>
                <w:szCs w:val="20"/>
                <w:lang w:eastAsia="en-GB"/>
              </w:rPr>
              <w:t>LB</w:t>
            </w:r>
          </w:p>
        </w:tc>
        <w:tc>
          <w:tcPr>
            <w:tcW w:w="1041" w:type="dxa"/>
            <w:tcBorders>
              <w:left w:val="none" w:sz="0" w:space="0" w:color="auto"/>
            </w:tcBorders>
            <w:shd w:val="clear" w:color="auto" w:fill="4F81BD" w:themeFill="accent1"/>
            <w:noWrap/>
            <w:hideMark/>
          </w:tcPr>
          <w:p w:rsidR="00D33562" w:rsidRPr="00B577A0" w:rsidRDefault="00D33562" w:rsidP="00B577A0">
            <w:pPr>
              <w:keepNext/>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r w:rsidRPr="00B577A0">
              <w:rPr>
                <w:rFonts w:cs="Arial"/>
                <w:b/>
                <w:bCs/>
                <w:color w:val="FFFFFF" w:themeColor="background1"/>
                <w:sz w:val="20"/>
                <w:szCs w:val="20"/>
                <w:lang w:eastAsia="en-GB"/>
              </w:rPr>
              <w:t>UB</w:t>
            </w:r>
          </w:p>
        </w:tc>
      </w:tr>
      <w:tr w:rsidR="0048573A" w:rsidRPr="00B577A0" w:rsidTr="0048573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10" w:type="dxa"/>
            <w:tcBorders>
              <w:right w:val="none" w:sz="0" w:space="0" w:color="auto"/>
            </w:tcBorders>
            <w:noWrap/>
            <w:hideMark/>
          </w:tcPr>
          <w:p w:rsidR="0048573A" w:rsidRPr="00B577A0" w:rsidRDefault="0048573A" w:rsidP="00823493">
            <w:pPr>
              <w:keepNext/>
              <w:rPr>
                <w:rFonts w:cs="Arial"/>
                <w:color w:val="000000"/>
                <w:sz w:val="20"/>
                <w:szCs w:val="20"/>
                <w:lang w:eastAsia="en-GB"/>
              </w:rPr>
            </w:pPr>
            <w:r w:rsidRPr="00B577A0">
              <w:rPr>
                <w:rFonts w:cs="Arial"/>
                <w:color w:val="000000"/>
                <w:sz w:val="20"/>
                <w:szCs w:val="20"/>
                <w:lang w:eastAsia="en-GB"/>
              </w:rPr>
              <w:t>Australia 2-16 years</w:t>
            </w:r>
          </w:p>
        </w:tc>
        <w:tc>
          <w:tcPr>
            <w:tcW w:w="993" w:type="dxa"/>
            <w:tcBorders>
              <w:left w:val="none" w:sz="0" w:space="0" w:color="auto"/>
              <w:right w:val="none" w:sz="0" w:space="0" w:color="auto"/>
            </w:tcBorders>
            <w:noWrap/>
          </w:tcPr>
          <w:p w:rsidR="0048573A" w:rsidRPr="00B577A0" w:rsidRDefault="0048573A" w:rsidP="00B577A0">
            <w:pPr>
              <w:keepNex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E216C">
              <w:t>8</w:t>
            </w:r>
          </w:p>
        </w:tc>
        <w:tc>
          <w:tcPr>
            <w:tcW w:w="992" w:type="dxa"/>
            <w:tcBorders>
              <w:left w:val="none" w:sz="0" w:space="0" w:color="auto"/>
              <w:right w:val="none" w:sz="0" w:space="0" w:color="auto"/>
            </w:tcBorders>
            <w:noWrap/>
          </w:tcPr>
          <w:p w:rsidR="0048573A" w:rsidRPr="00B577A0" w:rsidRDefault="0048573A" w:rsidP="00B577A0">
            <w:pPr>
              <w:keepNex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E216C">
              <w:t>15</w:t>
            </w:r>
          </w:p>
        </w:tc>
        <w:tc>
          <w:tcPr>
            <w:tcW w:w="992" w:type="dxa"/>
            <w:tcBorders>
              <w:left w:val="none" w:sz="0" w:space="0" w:color="auto"/>
              <w:right w:val="none" w:sz="0" w:space="0" w:color="auto"/>
            </w:tcBorders>
            <w:noWrap/>
          </w:tcPr>
          <w:p w:rsidR="0048573A" w:rsidRPr="00B577A0" w:rsidRDefault="0048573A" w:rsidP="00B577A0">
            <w:pPr>
              <w:keepNex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E216C">
              <w:t>9</w:t>
            </w:r>
          </w:p>
        </w:tc>
        <w:tc>
          <w:tcPr>
            <w:tcW w:w="992" w:type="dxa"/>
            <w:tcBorders>
              <w:left w:val="none" w:sz="0" w:space="0" w:color="auto"/>
              <w:right w:val="none" w:sz="0" w:space="0" w:color="auto"/>
            </w:tcBorders>
            <w:noWrap/>
          </w:tcPr>
          <w:p w:rsidR="0048573A" w:rsidRPr="00B577A0" w:rsidRDefault="0048573A" w:rsidP="00B577A0">
            <w:pPr>
              <w:keepNex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E216C">
              <w:t>15</w:t>
            </w:r>
          </w:p>
        </w:tc>
        <w:tc>
          <w:tcPr>
            <w:tcW w:w="993" w:type="dxa"/>
            <w:tcBorders>
              <w:left w:val="none" w:sz="0" w:space="0" w:color="auto"/>
              <w:right w:val="none" w:sz="0" w:space="0" w:color="auto"/>
            </w:tcBorders>
            <w:noWrap/>
          </w:tcPr>
          <w:p w:rsidR="0048573A" w:rsidRPr="00B577A0" w:rsidRDefault="0048573A" w:rsidP="00B577A0">
            <w:pPr>
              <w:keepNex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E216C">
              <w:t>15</w:t>
            </w:r>
          </w:p>
        </w:tc>
        <w:tc>
          <w:tcPr>
            <w:tcW w:w="1041" w:type="dxa"/>
            <w:tcBorders>
              <w:left w:val="none" w:sz="0" w:space="0" w:color="auto"/>
            </w:tcBorders>
            <w:noWrap/>
          </w:tcPr>
          <w:p w:rsidR="0048573A" w:rsidRPr="00B577A0" w:rsidRDefault="0048573A" w:rsidP="00B577A0">
            <w:pPr>
              <w:keepNex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E216C">
              <w:t>25</w:t>
            </w:r>
          </w:p>
        </w:tc>
      </w:tr>
      <w:tr w:rsidR="0048573A" w:rsidRPr="00B577A0" w:rsidTr="0048573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10" w:type="dxa"/>
            <w:tcBorders>
              <w:right w:val="none" w:sz="0" w:space="0" w:color="auto"/>
            </w:tcBorders>
            <w:noWrap/>
            <w:hideMark/>
          </w:tcPr>
          <w:p w:rsidR="0048573A" w:rsidRPr="00B577A0" w:rsidRDefault="0048573A" w:rsidP="00823493">
            <w:pPr>
              <w:keepNext/>
              <w:rPr>
                <w:rFonts w:cs="Arial"/>
                <w:color w:val="000000"/>
                <w:sz w:val="20"/>
                <w:szCs w:val="20"/>
                <w:lang w:eastAsia="en-GB"/>
              </w:rPr>
            </w:pPr>
            <w:r w:rsidRPr="00B577A0">
              <w:rPr>
                <w:rFonts w:cs="Arial"/>
                <w:color w:val="000000"/>
                <w:sz w:val="20"/>
                <w:szCs w:val="20"/>
                <w:lang w:eastAsia="en-GB"/>
              </w:rPr>
              <w:t>Australia 17 years and above</w:t>
            </w:r>
          </w:p>
        </w:tc>
        <w:tc>
          <w:tcPr>
            <w:tcW w:w="993" w:type="dxa"/>
            <w:tcBorders>
              <w:left w:val="none" w:sz="0" w:space="0" w:color="auto"/>
              <w:right w:val="none" w:sz="0" w:space="0" w:color="auto"/>
            </w:tcBorders>
            <w:noWrap/>
          </w:tcPr>
          <w:p w:rsidR="0048573A" w:rsidRPr="00B577A0" w:rsidRDefault="0048573A" w:rsidP="00B577A0">
            <w:pPr>
              <w:keepNex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E216C">
              <w:t>3</w:t>
            </w:r>
          </w:p>
        </w:tc>
        <w:tc>
          <w:tcPr>
            <w:tcW w:w="992" w:type="dxa"/>
            <w:tcBorders>
              <w:left w:val="none" w:sz="0" w:space="0" w:color="auto"/>
              <w:right w:val="none" w:sz="0" w:space="0" w:color="auto"/>
            </w:tcBorders>
            <w:noWrap/>
          </w:tcPr>
          <w:p w:rsidR="0048573A" w:rsidRPr="00B577A0" w:rsidRDefault="0048573A" w:rsidP="00B577A0">
            <w:pPr>
              <w:keepNex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E216C">
              <w:t>6</w:t>
            </w:r>
          </w:p>
        </w:tc>
        <w:tc>
          <w:tcPr>
            <w:tcW w:w="992" w:type="dxa"/>
            <w:tcBorders>
              <w:left w:val="none" w:sz="0" w:space="0" w:color="auto"/>
              <w:right w:val="none" w:sz="0" w:space="0" w:color="auto"/>
            </w:tcBorders>
            <w:noWrap/>
          </w:tcPr>
          <w:p w:rsidR="0048573A" w:rsidRPr="00B577A0" w:rsidRDefault="0048573A" w:rsidP="00B577A0">
            <w:pPr>
              <w:keepNex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E216C">
              <w:t>6</w:t>
            </w:r>
          </w:p>
        </w:tc>
        <w:tc>
          <w:tcPr>
            <w:tcW w:w="992" w:type="dxa"/>
            <w:tcBorders>
              <w:left w:val="none" w:sz="0" w:space="0" w:color="auto"/>
              <w:right w:val="none" w:sz="0" w:space="0" w:color="auto"/>
            </w:tcBorders>
            <w:noWrap/>
          </w:tcPr>
          <w:p w:rsidR="0048573A" w:rsidRPr="00B577A0" w:rsidRDefault="0048573A" w:rsidP="00B577A0">
            <w:pPr>
              <w:keepNex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E216C">
              <w:t>6</w:t>
            </w:r>
          </w:p>
        </w:tc>
        <w:tc>
          <w:tcPr>
            <w:tcW w:w="993" w:type="dxa"/>
            <w:tcBorders>
              <w:left w:val="none" w:sz="0" w:space="0" w:color="auto"/>
              <w:right w:val="none" w:sz="0" w:space="0" w:color="auto"/>
            </w:tcBorders>
            <w:noWrap/>
          </w:tcPr>
          <w:p w:rsidR="0048573A" w:rsidRPr="00B577A0" w:rsidRDefault="0048573A" w:rsidP="00B577A0">
            <w:pPr>
              <w:keepNex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E216C">
              <w:t>15</w:t>
            </w:r>
          </w:p>
        </w:tc>
        <w:tc>
          <w:tcPr>
            <w:tcW w:w="1041" w:type="dxa"/>
            <w:tcBorders>
              <w:left w:val="none" w:sz="0" w:space="0" w:color="auto"/>
            </w:tcBorders>
            <w:noWrap/>
          </w:tcPr>
          <w:p w:rsidR="0048573A" w:rsidRPr="00B577A0" w:rsidRDefault="0048573A" w:rsidP="00B577A0">
            <w:pPr>
              <w:keepNex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E216C">
              <w:t>15</w:t>
            </w:r>
          </w:p>
        </w:tc>
      </w:tr>
      <w:tr w:rsidR="0048573A" w:rsidRPr="00B577A0" w:rsidTr="0048573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10" w:type="dxa"/>
            <w:tcBorders>
              <w:right w:val="none" w:sz="0" w:space="0" w:color="auto"/>
            </w:tcBorders>
            <w:noWrap/>
            <w:hideMark/>
          </w:tcPr>
          <w:p w:rsidR="0048573A" w:rsidRPr="00B577A0" w:rsidRDefault="0048573A" w:rsidP="00823493">
            <w:pPr>
              <w:keepNext/>
              <w:rPr>
                <w:rFonts w:cs="Arial"/>
                <w:color w:val="000000"/>
                <w:sz w:val="20"/>
                <w:szCs w:val="20"/>
                <w:lang w:eastAsia="en-GB"/>
              </w:rPr>
            </w:pPr>
            <w:r w:rsidRPr="00B577A0">
              <w:rPr>
                <w:rFonts w:cs="Arial"/>
                <w:color w:val="000000"/>
                <w:sz w:val="20"/>
                <w:szCs w:val="20"/>
                <w:lang w:eastAsia="en-GB"/>
              </w:rPr>
              <w:t>New Zealand 5-14 years</w:t>
            </w:r>
          </w:p>
        </w:tc>
        <w:tc>
          <w:tcPr>
            <w:tcW w:w="993" w:type="dxa"/>
            <w:tcBorders>
              <w:left w:val="none" w:sz="0" w:space="0" w:color="auto"/>
              <w:right w:val="none" w:sz="0" w:space="0" w:color="auto"/>
            </w:tcBorders>
            <w:noWrap/>
          </w:tcPr>
          <w:p w:rsidR="0048573A" w:rsidRPr="00B577A0" w:rsidRDefault="0048573A" w:rsidP="00B577A0">
            <w:pPr>
              <w:keepNex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E216C">
              <w:t>7</w:t>
            </w:r>
          </w:p>
        </w:tc>
        <w:tc>
          <w:tcPr>
            <w:tcW w:w="992" w:type="dxa"/>
            <w:tcBorders>
              <w:left w:val="none" w:sz="0" w:space="0" w:color="auto"/>
              <w:right w:val="none" w:sz="0" w:space="0" w:color="auto"/>
            </w:tcBorders>
            <w:noWrap/>
          </w:tcPr>
          <w:p w:rsidR="0048573A" w:rsidRPr="00B577A0" w:rsidRDefault="0048573A" w:rsidP="00B577A0">
            <w:pPr>
              <w:keepNex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E216C">
              <w:t>10</w:t>
            </w:r>
          </w:p>
        </w:tc>
        <w:tc>
          <w:tcPr>
            <w:tcW w:w="992" w:type="dxa"/>
            <w:tcBorders>
              <w:left w:val="none" w:sz="0" w:space="0" w:color="auto"/>
              <w:right w:val="none" w:sz="0" w:space="0" w:color="auto"/>
            </w:tcBorders>
            <w:noWrap/>
          </w:tcPr>
          <w:p w:rsidR="0048573A" w:rsidRPr="00B577A0" w:rsidRDefault="0048573A" w:rsidP="00B577A0">
            <w:pPr>
              <w:keepNex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E216C">
              <w:t>10</w:t>
            </w:r>
          </w:p>
        </w:tc>
        <w:tc>
          <w:tcPr>
            <w:tcW w:w="992" w:type="dxa"/>
            <w:tcBorders>
              <w:left w:val="none" w:sz="0" w:space="0" w:color="auto"/>
              <w:right w:val="none" w:sz="0" w:space="0" w:color="auto"/>
            </w:tcBorders>
            <w:noWrap/>
          </w:tcPr>
          <w:p w:rsidR="0048573A" w:rsidRPr="00B577A0" w:rsidRDefault="0048573A" w:rsidP="00B577A0">
            <w:pPr>
              <w:keepNex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E216C">
              <w:t>10</w:t>
            </w:r>
          </w:p>
        </w:tc>
        <w:tc>
          <w:tcPr>
            <w:tcW w:w="993" w:type="dxa"/>
            <w:tcBorders>
              <w:left w:val="none" w:sz="0" w:space="0" w:color="auto"/>
              <w:right w:val="none" w:sz="0" w:space="0" w:color="auto"/>
            </w:tcBorders>
            <w:noWrap/>
          </w:tcPr>
          <w:p w:rsidR="0048573A" w:rsidRPr="00B577A0" w:rsidRDefault="0048573A" w:rsidP="00B577A0">
            <w:pPr>
              <w:keepNex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E216C">
              <w:t>20</w:t>
            </w:r>
          </w:p>
        </w:tc>
        <w:tc>
          <w:tcPr>
            <w:tcW w:w="1041" w:type="dxa"/>
            <w:tcBorders>
              <w:left w:val="none" w:sz="0" w:space="0" w:color="auto"/>
            </w:tcBorders>
            <w:noWrap/>
          </w:tcPr>
          <w:p w:rsidR="0048573A" w:rsidRPr="00B577A0" w:rsidRDefault="0048573A" w:rsidP="00B577A0">
            <w:pPr>
              <w:keepNext/>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E216C">
              <w:t>20</w:t>
            </w:r>
          </w:p>
        </w:tc>
      </w:tr>
      <w:tr w:rsidR="0048573A" w:rsidRPr="00B577A0" w:rsidTr="0048573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10" w:type="dxa"/>
            <w:tcBorders>
              <w:right w:val="none" w:sz="0" w:space="0" w:color="auto"/>
            </w:tcBorders>
            <w:noWrap/>
            <w:hideMark/>
          </w:tcPr>
          <w:p w:rsidR="0048573A" w:rsidRPr="00B577A0" w:rsidRDefault="0048573A" w:rsidP="00823493">
            <w:pPr>
              <w:keepNext/>
              <w:rPr>
                <w:rFonts w:cs="Arial"/>
                <w:color w:val="000000"/>
                <w:sz w:val="20"/>
                <w:szCs w:val="20"/>
                <w:lang w:eastAsia="en-GB"/>
              </w:rPr>
            </w:pPr>
            <w:r w:rsidRPr="00B577A0">
              <w:rPr>
                <w:rFonts w:cs="Arial"/>
                <w:color w:val="000000"/>
                <w:sz w:val="20"/>
                <w:szCs w:val="20"/>
                <w:lang w:eastAsia="en-GB"/>
              </w:rPr>
              <w:t>New Zealand 15 years and above</w:t>
            </w:r>
          </w:p>
        </w:tc>
        <w:tc>
          <w:tcPr>
            <w:tcW w:w="993" w:type="dxa"/>
            <w:tcBorders>
              <w:left w:val="none" w:sz="0" w:space="0" w:color="auto"/>
              <w:right w:val="none" w:sz="0" w:space="0" w:color="auto"/>
            </w:tcBorders>
            <w:noWrap/>
          </w:tcPr>
          <w:p w:rsidR="0048573A" w:rsidRPr="00B577A0" w:rsidRDefault="0048573A" w:rsidP="00B577A0">
            <w:pPr>
              <w:keepNex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E216C">
              <w:t>4</w:t>
            </w:r>
          </w:p>
        </w:tc>
        <w:tc>
          <w:tcPr>
            <w:tcW w:w="992" w:type="dxa"/>
            <w:tcBorders>
              <w:left w:val="none" w:sz="0" w:space="0" w:color="auto"/>
              <w:right w:val="none" w:sz="0" w:space="0" w:color="auto"/>
            </w:tcBorders>
            <w:noWrap/>
          </w:tcPr>
          <w:p w:rsidR="0048573A" w:rsidRPr="00B577A0" w:rsidRDefault="0048573A" w:rsidP="00B577A0">
            <w:pPr>
              <w:keepNex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E216C">
              <w:t>6</w:t>
            </w:r>
          </w:p>
        </w:tc>
        <w:tc>
          <w:tcPr>
            <w:tcW w:w="992" w:type="dxa"/>
            <w:tcBorders>
              <w:left w:val="none" w:sz="0" w:space="0" w:color="auto"/>
              <w:right w:val="none" w:sz="0" w:space="0" w:color="auto"/>
            </w:tcBorders>
            <w:noWrap/>
          </w:tcPr>
          <w:p w:rsidR="0048573A" w:rsidRPr="00B577A0" w:rsidRDefault="0048573A" w:rsidP="00B577A0">
            <w:pPr>
              <w:keepNex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E216C">
              <w:t>8</w:t>
            </w:r>
          </w:p>
        </w:tc>
        <w:tc>
          <w:tcPr>
            <w:tcW w:w="992" w:type="dxa"/>
            <w:tcBorders>
              <w:left w:val="none" w:sz="0" w:space="0" w:color="auto"/>
              <w:right w:val="none" w:sz="0" w:space="0" w:color="auto"/>
            </w:tcBorders>
            <w:noWrap/>
          </w:tcPr>
          <w:p w:rsidR="0048573A" w:rsidRPr="00B577A0" w:rsidRDefault="0048573A" w:rsidP="00B577A0">
            <w:pPr>
              <w:keepNex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E216C">
              <w:t>6</w:t>
            </w:r>
          </w:p>
        </w:tc>
        <w:tc>
          <w:tcPr>
            <w:tcW w:w="993" w:type="dxa"/>
            <w:tcBorders>
              <w:left w:val="none" w:sz="0" w:space="0" w:color="auto"/>
              <w:right w:val="none" w:sz="0" w:space="0" w:color="auto"/>
            </w:tcBorders>
            <w:noWrap/>
          </w:tcPr>
          <w:p w:rsidR="0048573A" w:rsidRPr="00B577A0" w:rsidRDefault="0048573A" w:rsidP="00B577A0">
            <w:pPr>
              <w:keepNex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E216C">
              <w:t>15</w:t>
            </w:r>
          </w:p>
        </w:tc>
        <w:tc>
          <w:tcPr>
            <w:tcW w:w="1041" w:type="dxa"/>
            <w:tcBorders>
              <w:left w:val="none" w:sz="0" w:space="0" w:color="auto"/>
            </w:tcBorders>
            <w:noWrap/>
          </w:tcPr>
          <w:p w:rsidR="0048573A" w:rsidRPr="00B577A0" w:rsidRDefault="0048573A" w:rsidP="00B577A0">
            <w:pPr>
              <w:keepNex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E216C">
              <w:t>15</w:t>
            </w:r>
          </w:p>
        </w:tc>
      </w:tr>
    </w:tbl>
    <w:p w:rsidR="00D33562" w:rsidRPr="00B577A0" w:rsidRDefault="00D33562" w:rsidP="00D33562">
      <w:pPr>
        <w:keepNext/>
        <w:rPr>
          <w:rFonts w:cs="Arial"/>
          <w:color w:val="000000"/>
          <w:sz w:val="18"/>
          <w:szCs w:val="18"/>
        </w:rPr>
      </w:pPr>
      <w:r w:rsidRPr="00B577A0">
        <w:rPr>
          <w:rFonts w:cs="Arial"/>
          <w:color w:val="000000"/>
          <w:sz w:val="18"/>
          <w:szCs w:val="18"/>
        </w:rPr>
        <w:t>* PMTDI: 20 µg CN</w:t>
      </w:r>
      <w:r w:rsidRPr="00B577A0">
        <w:rPr>
          <w:rFonts w:cs="Arial"/>
          <w:color w:val="000000"/>
          <w:sz w:val="18"/>
          <w:szCs w:val="18"/>
          <w:vertAlign w:val="superscript"/>
        </w:rPr>
        <w:t>-</w:t>
      </w:r>
      <w:r w:rsidRPr="00B577A0">
        <w:rPr>
          <w:rFonts w:cs="Arial"/>
          <w:color w:val="000000"/>
          <w:sz w:val="18"/>
          <w:szCs w:val="18"/>
        </w:rPr>
        <w:t>/kg bw (FAO/WHO, 2012).</w:t>
      </w:r>
    </w:p>
    <w:p w:rsidR="00D33562" w:rsidRPr="00B577A0" w:rsidRDefault="00D33562" w:rsidP="00D33562">
      <w:pPr>
        <w:rPr>
          <w:rFonts w:cs="Arial"/>
          <w:sz w:val="18"/>
          <w:szCs w:val="18"/>
        </w:rPr>
      </w:pPr>
      <w:r w:rsidRPr="00B577A0">
        <w:rPr>
          <w:rFonts w:cs="Arial"/>
          <w:sz w:val="18"/>
          <w:szCs w:val="18"/>
        </w:rPr>
        <w:t>Note: Lower bound (LB) results are based on where concentrations below the L</w:t>
      </w:r>
      <w:r w:rsidR="00B577A0">
        <w:rPr>
          <w:rFonts w:cs="Arial"/>
          <w:sz w:val="18"/>
          <w:szCs w:val="18"/>
        </w:rPr>
        <w:t>o</w:t>
      </w:r>
      <w:r w:rsidRPr="00B577A0">
        <w:rPr>
          <w:rFonts w:cs="Arial"/>
          <w:sz w:val="18"/>
          <w:szCs w:val="18"/>
        </w:rPr>
        <w:t>D were assigned a zero; upper bound (UB) results are based on where concentration</w:t>
      </w:r>
      <w:r w:rsidR="00B577A0">
        <w:rPr>
          <w:rFonts w:cs="Arial"/>
          <w:sz w:val="18"/>
          <w:szCs w:val="18"/>
        </w:rPr>
        <w:t>s</w:t>
      </w:r>
      <w:r w:rsidRPr="00B577A0">
        <w:rPr>
          <w:rFonts w:cs="Arial"/>
          <w:sz w:val="18"/>
          <w:szCs w:val="18"/>
        </w:rPr>
        <w:t xml:space="preserve"> below the L</w:t>
      </w:r>
      <w:r w:rsidR="00B577A0">
        <w:rPr>
          <w:rFonts w:cs="Arial"/>
          <w:sz w:val="18"/>
          <w:szCs w:val="18"/>
        </w:rPr>
        <w:t>o</w:t>
      </w:r>
      <w:r w:rsidRPr="00B577A0">
        <w:rPr>
          <w:rFonts w:cs="Arial"/>
          <w:sz w:val="18"/>
          <w:szCs w:val="18"/>
        </w:rPr>
        <w:t xml:space="preserve">D were assigned a concentration equal to the </w:t>
      </w:r>
      <w:r w:rsidR="00E372B6" w:rsidRPr="00B577A0">
        <w:rPr>
          <w:rFonts w:cs="Arial"/>
          <w:sz w:val="18"/>
          <w:szCs w:val="18"/>
        </w:rPr>
        <w:t>L</w:t>
      </w:r>
      <w:r w:rsidR="00E372B6">
        <w:rPr>
          <w:rFonts w:cs="Arial"/>
          <w:sz w:val="18"/>
          <w:szCs w:val="18"/>
        </w:rPr>
        <w:t>o</w:t>
      </w:r>
      <w:r w:rsidR="00E372B6" w:rsidRPr="00B577A0">
        <w:rPr>
          <w:rFonts w:cs="Arial"/>
          <w:sz w:val="18"/>
          <w:szCs w:val="18"/>
        </w:rPr>
        <w:t>D</w:t>
      </w:r>
      <w:r w:rsidRPr="00B577A0">
        <w:rPr>
          <w:rFonts w:cs="Arial"/>
          <w:sz w:val="18"/>
          <w:szCs w:val="18"/>
        </w:rPr>
        <w:t>.</w:t>
      </w:r>
    </w:p>
    <w:p w:rsidR="0030702F" w:rsidRDefault="0030702F" w:rsidP="001E7BAA"/>
    <w:p w:rsidR="00B577A0" w:rsidRDefault="00B577A0" w:rsidP="00647C27">
      <w:pPr>
        <w:pStyle w:val="Heading3"/>
      </w:pPr>
      <w:bookmarkStart w:id="158" w:name="_Toc384293530"/>
      <w:r w:rsidRPr="00996BAB">
        <w:t>5.</w:t>
      </w:r>
      <w:r>
        <w:t>4.2</w:t>
      </w:r>
      <w:r w:rsidRPr="00996BAB">
        <w:tab/>
        <w:t xml:space="preserve">Characterisation of </w:t>
      </w:r>
      <w:r>
        <w:t xml:space="preserve">acute </w:t>
      </w:r>
      <w:r w:rsidR="0030702F">
        <w:t>risk</w:t>
      </w:r>
      <w:bookmarkEnd w:id="158"/>
      <w:r w:rsidR="002B32A7">
        <w:t xml:space="preserve"> </w:t>
      </w:r>
    </w:p>
    <w:p w:rsidR="0030702F" w:rsidRDefault="005A253D" w:rsidP="009973CE">
      <w:pPr>
        <w:pStyle w:val="Heading4"/>
        <w:ind w:left="851" w:hanging="851"/>
      </w:pPr>
      <w:r>
        <w:t>5.4.2.1</w:t>
      </w:r>
      <w:r w:rsidR="003D184F">
        <w:tab/>
      </w:r>
      <w:r w:rsidR="003D184F" w:rsidRPr="003D184F">
        <w:t>Estimated acute dietary exposures to HCN for Australian and New Zealand</w:t>
      </w:r>
      <w:r w:rsidR="00891B8E">
        <w:t xml:space="preserve"> populations</w:t>
      </w:r>
      <w:r w:rsidR="00AB1E7F">
        <w:t xml:space="preserve"> </w:t>
      </w:r>
      <w:r w:rsidR="00BF154C">
        <w:t>(</w:t>
      </w:r>
      <w:r w:rsidR="00AB1E7F">
        <w:t>from NNS data</w:t>
      </w:r>
      <w:r w:rsidR="0024604A">
        <w:rPr>
          <w:rStyle w:val="FootnoteReference"/>
        </w:rPr>
        <w:footnoteReference w:id="9"/>
      </w:r>
      <w:r w:rsidR="00BF154C">
        <w:t>)</w:t>
      </w:r>
      <w:r w:rsidR="00AB1E7F">
        <w:t xml:space="preserve"> </w:t>
      </w:r>
    </w:p>
    <w:p w:rsidR="006F4952" w:rsidRDefault="00D33562" w:rsidP="00D33562">
      <w:pPr>
        <w:rPr>
          <w:rFonts w:cs="Arial"/>
          <w:szCs w:val="22"/>
        </w:rPr>
      </w:pPr>
      <w:r w:rsidRPr="00B577A0">
        <w:rPr>
          <w:rFonts w:cs="Arial"/>
          <w:szCs w:val="22"/>
        </w:rPr>
        <w:t xml:space="preserve">The estimated acute dietary exposures </w:t>
      </w:r>
      <w:r w:rsidR="004E40B4">
        <w:rPr>
          <w:rFonts w:cs="Arial"/>
          <w:szCs w:val="22"/>
        </w:rPr>
        <w:t xml:space="preserve">for individual foods </w:t>
      </w:r>
      <w:r w:rsidRPr="00B577A0">
        <w:rPr>
          <w:rFonts w:cs="Arial"/>
          <w:szCs w:val="22"/>
        </w:rPr>
        <w:t xml:space="preserve">were compared to the ARfD </w:t>
      </w:r>
      <w:r w:rsidR="0030702F">
        <w:rPr>
          <w:rFonts w:cs="Arial"/>
          <w:szCs w:val="22"/>
        </w:rPr>
        <w:t xml:space="preserve">of </w:t>
      </w:r>
      <w:r w:rsidR="0030702F" w:rsidRPr="00674B95">
        <w:rPr>
          <w:rFonts w:cs="Arial"/>
          <w:szCs w:val="22"/>
        </w:rPr>
        <w:t>80 µg HCN/kg bw</w:t>
      </w:r>
      <w:r w:rsidR="00F74E0C">
        <w:rPr>
          <w:rFonts w:cs="Arial"/>
          <w:szCs w:val="22"/>
        </w:rPr>
        <w:t xml:space="preserve">. Results </w:t>
      </w:r>
      <w:r w:rsidRPr="00B577A0">
        <w:rPr>
          <w:rFonts w:cs="Arial"/>
          <w:szCs w:val="22"/>
        </w:rPr>
        <w:t xml:space="preserve">are shown in </w:t>
      </w:r>
      <w:r w:rsidR="00B577A0" w:rsidRPr="00B577A0">
        <w:rPr>
          <w:rFonts w:cs="Arial"/>
          <w:szCs w:val="22"/>
        </w:rPr>
        <w:t xml:space="preserve">Table </w:t>
      </w:r>
      <w:r w:rsidR="00F57293">
        <w:rPr>
          <w:rFonts w:cs="Arial"/>
          <w:szCs w:val="22"/>
        </w:rPr>
        <w:t>13</w:t>
      </w:r>
      <w:r w:rsidR="003D184F" w:rsidRPr="00B577A0">
        <w:rPr>
          <w:rFonts w:cs="Arial"/>
          <w:szCs w:val="22"/>
        </w:rPr>
        <w:t xml:space="preserve"> </w:t>
      </w:r>
      <w:r w:rsidRPr="00B577A0">
        <w:rPr>
          <w:rFonts w:cs="Arial"/>
          <w:szCs w:val="22"/>
        </w:rPr>
        <w:t xml:space="preserve">for </w:t>
      </w:r>
      <w:r w:rsidR="00E6595F">
        <w:rPr>
          <w:rFonts w:cs="Arial"/>
          <w:szCs w:val="22"/>
        </w:rPr>
        <w:t xml:space="preserve">all </w:t>
      </w:r>
      <w:r w:rsidRPr="00B577A0">
        <w:rPr>
          <w:rFonts w:cs="Arial"/>
          <w:szCs w:val="22"/>
        </w:rPr>
        <w:t>population groups assessed</w:t>
      </w:r>
      <w:r w:rsidR="00E6595F">
        <w:rPr>
          <w:rFonts w:cs="Arial"/>
          <w:szCs w:val="22"/>
        </w:rPr>
        <w:t xml:space="preserve"> (with the exception of infants) and </w:t>
      </w:r>
      <w:r w:rsidR="00E6595F" w:rsidRPr="00465669">
        <w:rPr>
          <w:rFonts w:cs="Arial"/>
          <w:szCs w:val="22"/>
        </w:rPr>
        <w:t xml:space="preserve">Table </w:t>
      </w:r>
      <w:r w:rsidR="00833F45">
        <w:rPr>
          <w:rFonts w:cs="Arial"/>
          <w:szCs w:val="22"/>
        </w:rPr>
        <w:t>16</w:t>
      </w:r>
      <w:r w:rsidR="00E6595F">
        <w:rPr>
          <w:rFonts w:cs="Arial"/>
          <w:szCs w:val="22"/>
        </w:rPr>
        <w:t xml:space="preserve"> for infants, for selected apple</w:t>
      </w:r>
      <w:r w:rsidR="00936E18">
        <w:rPr>
          <w:rFonts w:cs="Arial"/>
          <w:szCs w:val="22"/>
        </w:rPr>
        <w:t>-</w:t>
      </w:r>
      <w:r w:rsidR="00E6595F">
        <w:rPr>
          <w:rFonts w:cs="Arial"/>
          <w:szCs w:val="22"/>
        </w:rPr>
        <w:t>based foods</w:t>
      </w:r>
      <w:r w:rsidRPr="00B577A0">
        <w:rPr>
          <w:rFonts w:cs="Arial"/>
          <w:szCs w:val="22"/>
        </w:rPr>
        <w:t xml:space="preserve">. </w:t>
      </w:r>
    </w:p>
    <w:p w:rsidR="00AC3F2C" w:rsidRDefault="00AC3F2C" w:rsidP="00D33562">
      <w:pPr>
        <w:rPr>
          <w:rFonts w:cs="Arial"/>
          <w:szCs w:val="22"/>
        </w:rPr>
      </w:pPr>
    </w:p>
    <w:p w:rsidR="009F4662" w:rsidRDefault="009F4662" w:rsidP="009F46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B577A0">
        <w:rPr>
          <w:rFonts w:cs="Arial"/>
          <w:szCs w:val="22"/>
        </w:rPr>
        <w:t xml:space="preserve">There is a higher degree of uncertainty in acute dietary exposure </w:t>
      </w:r>
      <w:r>
        <w:rPr>
          <w:rFonts w:cs="Arial"/>
          <w:szCs w:val="22"/>
        </w:rPr>
        <w:t>estimates if</w:t>
      </w:r>
      <w:r w:rsidRPr="00B577A0">
        <w:rPr>
          <w:rFonts w:cs="Arial"/>
          <w:szCs w:val="22"/>
        </w:rPr>
        <w:t xml:space="preserve"> based on a small number of consumers</w:t>
      </w:r>
      <w:r>
        <w:rPr>
          <w:rFonts w:cs="Arial"/>
          <w:szCs w:val="22"/>
        </w:rPr>
        <w:t xml:space="preserve"> of the food of interest</w:t>
      </w:r>
      <w:r w:rsidRPr="00B577A0">
        <w:rPr>
          <w:rFonts w:cs="Arial"/>
          <w:szCs w:val="22"/>
        </w:rPr>
        <w:t xml:space="preserve">. </w:t>
      </w:r>
      <w:r>
        <w:rPr>
          <w:rFonts w:cs="Arial"/>
          <w:szCs w:val="22"/>
        </w:rPr>
        <w:t>As described in Section 5.3.1.2, where there were fewer than 39 consumers of a food, the 50</w:t>
      </w:r>
      <w:r w:rsidRPr="00F74E0C">
        <w:rPr>
          <w:rFonts w:cs="Arial"/>
          <w:szCs w:val="22"/>
          <w:vertAlign w:val="superscript"/>
        </w:rPr>
        <w:t>th</w:t>
      </w:r>
      <w:r>
        <w:rPr>
          <w:rFonts w:cs="Arial"/>
          <w:szCs w:val="22"/>
        </w:rPr>
        <w:t xml:space="preserve"> percentile (median) rather than the 97.5</w:t>
      </w:r>
      <w:r w:rsidRPr="00F74E0C">
        <w:rPr>
          <w:rFonts w:cs="Arial"/>
          <w:szCs w:val="22"/>
          <w:vertAlign w:val="superscript"/>
        </w:rPr>
        <w:t>th</w:t>
      </w:r>
      <w:r>
        <w:rPr>
          <w:rFonts w:cs="Arial"/>
          <w:szCs w:val="22"/>
        </w:rPr>
        <w:t xml:space="preserve"> percentile consumption was derived for use in the acute dietary exposure estimate. </w:t>
      </w:r>
      <w:r w:rsidRPr="00B577A0">
        <w:rPr>
          <w:rFonts w:cs="Arial"/>
          <w:szCs w:val="22"/>
        </w:rPr>
        <w:t xml:space="preserve">For </w:t>
      </w:r>
      <w:r>
        <w:rPr>
          <w:rFonts w:cs="Arial"/>
          <w:szCs w:val="22"/>
        </w:rPr>
        <w:t xml:space="preserve">all </w:t>
      </w:r>
      <w:r w:rsidR="007D59DC">
        <w:rPr>
          <w:rFonts w:cs="Arial"/>
          <w:szCs w:val="22"/>
        </w:rPr>
        <w:t xml:space="preserve">these </w:t>
      </w:r>
      <w:r w:rsidRPr="00B577A0">
        <w:rPr>
          <w:rFonts w:cs="Arial"/>
          <w:szCs w:val="22"/>
        </w:rPr>
        <w:t>foods</w:t>
      </w:r>
      <w:r>
        <w:rPr>
          <w:rFonts w:cs="Arial"/>
          <w:szCs w:val="22"/>
        </w:rPr>
        <w:t>,</w:t>
      </w:r>
      <w:r w:rsidRPr="00B577A0">
        <w:rPr>
          <w:rFonts w:cs="Arial"/>
          <w:szCs w:val="22"/>
        </w:rPr>
        <w:t xml:space="preserve"> </w:t>
      </w:r>
      <w:r>
        <w:rPr>
          <w:rFonts w:cs="Arial"/>
          <w:szCs w:val="22"/>
        </w:rPr>
        <w:t xml:space="preserve">except cassava roots, </w:t>
      </w:r>
      <w:r w:rsidRPr="00B577A0">
        <w:rPr>
          <w:rFonts w:cs="Arial"/>
          <w:szCs w:val="22"/>
        </w:rPr>
        <w:t xml:space="preserve">where </w:t>
      </w:r>
      <w:r>
        <w:rPr>
          <w:rFonts w:cs="Arial"/>
          <w:szCs w:val="22"/>
        </w:rPr>
        <w:t>the 50</w:t>
      </w:r>
      <w:r w:rsidRPr="00F74E0C">
        <w:rPr>
          <w:rFonts w:cs="Arial"/>
          <w:szCs w:val="22"/>
          <w:vertAlign w:val="superscript"/>
        </w:rPr>
        <w:t>th</w:t>
      </w:r>
      <w:r>
        <w:rPr>
          <w:rFonts w:cs="Arial"/>
          <w:szCs w:val="22"/>
        </w:rPr>
        <w:t xml:space="preserve"> percentile was derived, </w:t>
      </w:r>
      <w:r w:rsidRPr="00B577A0">
        <w:rPr>
          <w:rFonts w:cs="Arial"/>
          <w:szCs w:val="22"/>
        </w:rPr>
        <w:t xml:space="preserve">the </w:t>
      </w:r>
      <w:r>
        <w:rPr>
          <w:rFonts w:cs="Arial"/>
          <w:szCs w:val="22"/>
        </w:rPr>
        <w:t xml:space="preserve">acute </w:t>
      </w:r>
      <w:r w:rsidRPr="00B577A0">
        <w:rPr>
          <w:rFonts w:cs="Arial"/>
          <w:szCs w:val="22"/>
        </w:rPr>
        <w:t xml:space="preserve">estimated dietary exposures were well below the ARfD. </w:t>
      </w:r>
      <w:r w:rsidR="00C76170" w:rsidRPr="00C76170">
        <w:rPr>
          <w:rFonts w:cs="Arial"/>
          <w:szCs w:val="22"/>
        </w:rPr>
        <w:t xml:space="preserve"> Median</w:t>
      </w:r>
      <w:r w:rsidR="00C76170">
        <w:rPr>
          <w:rFonts w:cs="Arial"/>
          <w:szCs w:val="22"/>
        </w:rPr>
        <w:t xml:space="preserve"> consumption of cassava roots by New Zealand adults may result in acute dietary exposures at 100% of the ARfD.</w:t>
      </w:r>
    </w:p>
    <w:p w:rsidR="009F4662" w:rsidRDefault="009F4662" w:rsidP="00B9783B">
      <w:pPr>
        <w:rPr>
          <w:rFonts w:cs="Arial"/>
          <w:szCs w:val="22"/>
        </w:rPr>
      </w:pPr>
    </w:p>
    <w:p w:rsidR="00B9783B" w:rsidRDefault="00852EB3" w:rsidP="00B9783B">
      <w:pPr>
        <w:rPr>
          <w:rFonts w:cs="Arial"/>
          <w:szCs w:val="22"/>
        </w:rPr>
      </w:pPr>
      <w:r>
        <w:rPr>
          <w:rFonts w:cs="Arial"/>
          <w:szCs w:val="22"/>
        </w:rPr>
        <w:t>T</w:t>
      </w:r>
      <w:r w:rsidR="00465669">
        <w:rPr>
          <w:rFonts w:cs="Arial"/>
          <w:szCs w:val="22"/>
        </w:rPr>
        <w:t xml:space="preserve">he consumption </w:t>
      </w:r>
      <w:r w:rsidR="00EB39B2">
        <w:rPr>
          <w:rFonts w:cs="Arial"/>
          <w:szCs w:val="22"/>
        </w:rPr>
        <w:t xml:space="preserve">of a serving of </w:t>
      </w:r>
      <w:r w:rsidR="00901F71">
        <w:rPr>
          <w:rFonts w:cs="Arial"/>
          <w:szCs w:val="22"/>
        </w:rPr>
        <w:t xml:space="preserve">raw </w:t>
      </w:r>
      <w:r w:rsidR="00D44BED">
        <w:rPr>
          <w:rFonts w:cs="Arial"/>
          <w:szCs w:val="22"/>
        </w:rPr>
        <w:t xml:space="preserve">apricot kernels </w:t>
      </w:r>
      <w:r w:rsidR="00944E01">
        <w:rPr>
          <w:rFonts w:cs="Arial"/>
          <w:szCs w:val="22"/>
        </w:rPr>
        <w:t xml:space="preserve">and </w:t>
      </w:r>
      <w:r w:rsidR="00440D59">
        <w:rPr>
          <w:rFonts w:cs="Arial"/>
          <w:szCs w:val="22"/>
        </w:rPr>
        <w:t>97.5</w:t>
      </w:r>
      <w:r w:rsidR="00440D59" w:rsidRPr="0089367F">
        <w:rPr>
          <w:rFonts w:cs="Arial"/>
          <w:szCs w:val="22"/>
          <w:vertAlign w:val="superscript"/>
        </w:rPr>
        <w:t>th</w:t>
      </w:r>
      <w:r w:rsidR="00440D59">
        <w:rPr>
          <w:rFonts w:cs="Arial"/>
          <w:szCs w:val="22"/>
        </w:rPr>
        <w:t xml:space="preserve"> percentile </w:t>
      </w:r>
      <w:r w:rsidR="0024604A">
        <w:rPr>
          <w:rFonts w:cs="Arial"/>
          <w:szCs w:val="22"/>
        </w:rPr>
        <w:t xml:space="preserve">consumption of </w:t>
      </w:r>
      <w:r w:rsidR="00944E01">
        <w:rPr>
          <w:rFonts w:cs="Arial"/>
          <w:szCs w:val="22"/>
        </w:rPr>
        <w:t xml:space="preserve">bread containing linseed </w:t>
      </w:r>
      <w:r w:rsidR="00465669">
        <w:rPr>
          <w:rFonts w:cs="Arial"/>
          <w:szCs w:val="22"/>
        </w:rPr>
        <w:t xml:space="preserve">may </w:t>
      </w:r>
      <w:r w:rsidR="00D44BED">
        <w:rPr>
          <w:rFonts w:cs="Arial"/>
          <w:szCs w:val="22"/>
        </w:rPr>
        <w:t>lead to exceedance</w:t>
      </w:r>
      <w:r w:rsidR="0030702F">
        <w:rPr>
          <w:rFonts w:cs="Arial"/>
          <w:szCs w:val="22"/>
        </w:rPr>
        <w:t>s</w:t>
      </w:r>
      <w:r w:rsidR="00D44BED">
        <w:rPr>
          <w:rFonts w:cs="Arial"/>
          <w:szCs w:val="22"/>
        </w:rPr>
        <w:t xml:space="preserve"> of the ARfD</w:t>
      </w:r>
      <w:r w:rsidR="00465669">
        <w:rPr>
          <w:rFonts w:cs="Arial"/>
          <w:szCs w:val="22"/>
        </w:rPr>
        <w:t xml:space="preserve"> </w:t>
      </w:r>
      <w:r w:rsidR="00926BCF">
        <w:rPr>
          <w:rFonts w:cs="Arial"/>
          <w:szCs w:val="22"/>
        </w:rPr>
        <w:t>in some or all</w:t>
      </w:r>
      <w:r w:rsidR="00465669">
        <w:rPr>
          <w:rFonts w:cs="Arial"/>
          <w:szCs w:val="22"/>
        </w:rPr>
        <w:t xml:space="preserve"> Australian and New Zealand</w:t>
      </w:r>
      <w:r w:rsidR="00926BCF">
        <w:rPr>
          <w:rFonts w:cs="Arial"/>
          <w:szCs w:val="22"/>
        </w:rPr>
        <w:t xml:space="preserve"> population groups</w:t>
      </w:r>
      <w:r w:rsidR="007477F3">
        <w:rPr>
          <w:rFonts w:cs="Arial"/>
          <w:szCs w:val="22"/>
        </w:rPr>
        <w:t>.</w:t>
      </w:r>
      <w:r w:rsidR="00C76170">
        <w:rPr>
          <w:rFonts w:cs="Arial"/>
          <w:szCs w:val="22"/>
        </w:rPr>
        <w:t xml:space="preserve"> </w:t>
      </w:r>
      <w:r w:rsidR="00B9783B">
        <w:rPr>
          <w:rFonts w:cs="Arial"/>
          <w:szCs w:val="22"/>
        </w:rPr>
        <w:t>A</w:t>
      </w:r>
      <w:r w:rsidR="00B9783B" w:rsidRPr="00B577A0">
        <w:rPr>
          <w:rFonts w:cs="Arial"/>
          <w:szCs w:val="22"/>
        </w:rPr>
        <w:t xml:space="preserve">ll </w:t>
      </w:r>
      <w:r w:rsidR="00B9783B">
        <w:rPr>
          <w:rFonts w:cs="Arial"/>
          <w:szCs w:val="22"/>
        </w:rPr>
        <w:t xml:space="preserve">other </w:t>
      </w:r>
      <w:r w:rsidR="00B9783B" w:rsidRPr="00B577A0">
        <w:rPr>
          <w:rFonts w:cs="Arial"/>
          <w:szCs w:val="22"/>
        </w:rPr>
        <w:t>foods assessed</w:t>
      </w:r>
      <w:r w:rsidR="00C76170">
        <w:rPr>
          <w:rFonts w:cs="Arial"/>
          <w:szCs w:val="22"/>
        </w:rPr>
        <w:t xml:space="preserve"> at the 97.5</w:t>
      </w:r>
      <w:r w:rsidR="00C76170" w:rsidRPr="001025ED">
        <w:rPr>
          <w:rFonts w:cs="Arial"/>
          <w:szCs w:val="22"/>
          <w:vertAlign w:val="superscript"/>
        </w:rPr>
        <w:t>th</w:t>
      </w:r>
      <w:r w:rsidR="00C76170">
        <w:rPr>
          <w:rFonts w:cs="Arial"/>
          <w:szCs w:val="22"/>
        </w:rPr>
        <w:t xml:space="preserve"> percentile level of consumption, or by using recommended serving sizes,</w:t>
      </w:r>
      <w:r w:rsidR="00B9783B" w:rsidRPr="00B577A0">
        <w:rPr>
          <w:rFonts w:cs="Arial"/>
          <w:szCs w:val="22"/>
        </w:rPr>
        <w:t xml:space="preserve"> </w:t>
      </w:r>
      <w:r w:rsidR="00B9783B">
        <w:rPr>
          <w:rFonts w:cs="Arial"/>
          <w:szCs w:val="22"/>
        </w:rPr>
        <w:t xml:space="preserve">had estimated </w:t>
      </w:r>
      <w:r w:rsidR="00B9783B" w:rsidRPr="00B577A0">
        <w:rPr>
          <w:rFonts w:cs="Arial"/>
          <w:szCs w:val="22"/>
        </w:rPr>
        <w:t>exposure</w:t>
      </w:r>
      <w:r w:rsidR="00B9783B">
        <w:rPr>
          <w:rFonts w:cs="Arial"/>
          <w:szCs w:val="22"/>
        </w:rPr>
        <w:t xml:space="preserve">s below the ARfD. </w:t>
      </w:r>
    </w:p>
    <w:p w:rsidR="00B9783B" w:rsidRDefault="00B9783B" w:rsidP="00B9783B">
      <w:pPr>
        <w:rPr>
          <w:rFonts w:cs="Arial"/>
        </w:rPr>
      </w:pPr>
    </w:p>
    <w:p w:rsidR="001539ED" w:rsidRDefault="00B47A96" w:rsidP="00CA2521">
      <w:pPr>
        <w:rPr>
          <w:rFonts w:cs="Arial"/>
          <w:szCs w:val="22"/>
        </w:rPr>
      </w:pPr>
      <w:r>
        <w:rPr>
          <w:rFonts w:cs="Arial"/>
          <w:szCs w:val="22"/>
        </w:rPr>
        <w:t xml:space="preserve">Further information regarding the acute dietary exposure estimates </w:t>
      </w:r>
      <w:r w:rsidR="00B9783B">
        <w:rPr>
          <w:rFonts w:cs="Arial"/>
          <w:szCs w:val="22"/>
        </w:rPr>
        <w:t xml:space="preserve">is provided below </w:t>
      </w:r>
      <w:r>
        <w:rPr>
          <w:rFonts w:cs="Arial"/>
          <w:szCs w:val="22"/>
        </w:rPr>
        <w:t xml:space="preserve">for </w:t>
      </w:r>
      <w:r w:rsidR="00664AE0">
        <w:rPr>
          <w:rFonts w:cs="Arial"/>
          <w:szCs w:val="22"/>
        </w:rPr>
        <w:t>cassava roots</w:t>
      </w:r>
      <w:r w:rsidR="00CA77BD">
        <w:rPr>
          <w:rFonts w:cs="Arial"/>
          <w:szCs w:val="22"/>
        </w:rPr>
        <w:t xml:space="preserve"> and </w:t>
      </w:r>
      <w:r w:rsidR="00664AE0">
        <w:rPr>
          <w:rFonts w:cs="Arial"/>
          <w:szCs w:val="22"/>
        </w:rPr>
        <w:t>bread containing linseed</w:t>
      </w:r>
      <w:r w:rsidR="00CA77BD">
        <w:rPr>
          <w:rFonts w:cs="Arial"/>
          <w:szCs w:val="22"/>
        </w:rPr>
        <w:t>, as well as</w:t>
      </w:r>
      <w:r w:rsidR="00E05374">
        <w:rPr>
          <w:rFonts w:cs="Arial"/>
          <w:szCs w:val="22"/>
        </w:rPr>
        <w:t xml:space="preserve"> bamboo shoots (traditionally considered a high risk food in regards to HCN)</w:t>
      </w:r>
      <w:r w:rsidR="00B9783B">
        <w:rPr>
          <w:rFonts w:cs="Arial"/>
          <w:szCs w:val="22"/>
        </w:rPr>
        <w:t>. For</w:t>
      </w:r>
      <w:r w:rsidR="00664AE0">
        <w:rPr>
          <w:rFonts w:cs="Arial"/>
          <w:szCs w:val="22"/>
        </w:rPr>
        <w:t xml:space="preserve"> raw apricot kernels</w:t>
      </w:r>
      <w:r w:rsidR="00B9783B">
        <w:rPr>
          <w:rFonts w:cs="Arial"/>
          <w:szCs w:val="22"/>
        </w:rPr>
        <w:t>, further information regarding the acute dietary exposure estimates is provided</w:t>
      </w:r>
      <w:r w:rsidR="00664AE0">
        <w:rPr>
          <w:rFonts w:cs="Arial"/>
          <w:szCs w:val="22"/>
        </w:rPr>
        <w:t xml:space="preserve"> in </w:t>
      </w:r>
      <w:r>
        <w:rPr>
          <w:rFonts w:cs="Arial"/>
          <w:szCs w:val="22"/>
        </w:rPr>
        <w:t xml:space="preserve">Section </w:t>
      </w:r>
      <w:r w:rsidRPr="00DF5799">
        <w:rPr>
          <w:rFonts w:cs="Arial"/>
          <w:szCs w:val="22"/>
        </w:rPr>
        <w:t>5.4.</w:t>
      </w:r>
      <w:r w:rsidR="00D75B52" w:rsidRPr="00DF5799">
        <w:rPr>
          <w:rFonts w:cs="Arial"/>
          <w:szCs w:val="22"/>
        </w:rPr>
        <w:t>2</w:t>
      </w:r>
      <w:r w:rsidR="005A253D">
        <w:rPr>
          <w:rFonts w:cs="Arial"/>
          <w:szCs w:val="22"/>
        </w:rPr>
        <w:t>.2</w:t>
      </w:r>
      <w:r w:rsidRPr="00DF5799">
        <w:rPr>
          <w:rFonts w:cs="Arial"/>
          <w:szCs w:val="22"/>
        </w:rPr>
        <w:t>.</w:t>
      </w:r>
    </w:p>
    <w:p w:rsidR="00D33562" w:rsidRPr="00AE3225" w:rsidRDefault="00D33562" w:rsidP="00D33562">
      <w:pPr>
        <w:rPr>
          <w:rFonts w:cs="Arial"/>
          <w:szCs w:val="22"/>
        </w:rPr>
      </w:pPr>
      <w:bookmarkStart w:id="159" w:name="_Ref337551518"/>
    </w:p>
    <w:p w:rsidR="00D33562" w:rsidRPr="000620B3" w:rsidRDefault="00D33562" w:rsidP="00391DE3">
      <w:pPr>
        <w:pStyle w:val="Heading3LT"/>
      </w:pPr>
      <w:bookmarkStart w:id="160" w:name="_Ref339274102"/>
      <w:bookmarkStart w:id="161" w:name="_Toc384293559"/>
      <w:r w:rsidRPr="000620B3">
        <w:lastRenderedPageBreak/>
        <w:t xml:space="preserve">Table </w:t>
      </w:r>
      <w:bookmarkEnd w:id="159"/>
      <w:bookmarkEnd w:id="160"/>
      <w:r w:rsidR="00F57293">
        <w:t>13</w:t>
      </w:r>
      <w:r w:rsidR="000620B3">
        <w:t>:</w:t>
      </w:r>
      <w:r w:rsidRPr="000620B3">
        <w:t xml:space="preserve"> Estimated acute dietary exposures to total HCN for Australian and New Zealand population groups as a per</w:t>
      </w:r>
      <w:r w:rsidR="00AC3F2C">
        <w:t xml:space="preserve"> </w:t>
      </w:r>
      <w:r w:rsidRPr="000620B3">
        <w:t>cent of the acute reference dose (ARfD)</w:t>
      </w:r>
      <w:r w:rsidR="003C7BB7">
        <w:t xml:space="preserve"> (%)</w:t>
      </w:r>
      <w:bookmarkEnd w:id="161"/>
    </w:p>
    <w:tbl>
      <w:tblPr>
        <w:tblStyle w:val="LightGrid-Accent1"/>
        <w:tblW w:w="9606"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firstRow="1" w:lastRow="0" w:firstColumn="1" w:lastColumn="0" w:noHBand="0" w:noVBand="1"/>
      </w:tblPr>
      <w:tblGrid>
        <w:gridCol w:w="3510"/>
        <w:gridCol w:w="1134"/>
        <w:gridCol w:w="993"/>
        <w:gridCol w:w="992"/>
        <w:gridCol w:w="992"/>
        <w:gridCol w:w="992"/>
        <w:gridCol w:w="993"/>
      </w:tblGrid>
      <w:tr w:rsidR="008A543E" w:rsidRPr="008A543E" w:rsidTr="00CB5160">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510" w:type="dxa"/>
            <w:vMerge w:val="restart"/>
            <w:tcBorders>
              <w:top w:val="none" w:sz="0" w:space="0" w:color="auto"/>
              <w:left w:val="none" w:sz="0" w:space="0" w:color="auto"/>
              <w:bottom w:val="none" w:sz="0" w:space="0" w:color="auto"/>
              <w:right w:val="none" w:sz="0" w:space="0" w:color="auto"/>
            </w:tcBorders>
            <w:shd w:val="clear" w:color="auto" w:fill="4F81BD" w:themeFill="accent1"/>
          </w:tcPr>
          <w:p w:rsidR="00D33562" w:rsidRPr="008A543E"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val="0"/>
                <w:color w:val="FFFFFF" w:themeColor="background1"/>
                <w:sz w:val="20"/>
                <w:szCs w:val="20"/>
                <w:lang w:eastAsia="en-GB"/>
              </w:rPr>
            </w:pPr>
            <w:r w:rsidRPr="008A543E">
              <w:rPr>
                <w:rFonts w:cs="Arial"/>
                <w:bCs w:val="0"/>
                <w:color w:val="FFFFFF" w:themeColor="background1"/>
                <w:sz w:val="20"/>
                <w:szCs w:val="20"/>
                <w:lang w:eastAsia="en-GB"/>
              </w:rPr>
              <w:t>Food</w:t>
            </w:r>
          </w:p>
        </w:tc>
        <w:tc>
          <w:tcPr>
            <w:tcW w:w="6096" w:type="dxa"/>
            <w:gridSpan w:val="6"/>
            <w:tcBorders>
              <w:top w:val="none" w:sz="0" w:space="0" w:color="auto"/>
              <w:left w:val="none" w:sz="0" w:space="0" w:color="auto"/>
              <w:bottom w:val="none" w:sz="0" w:space="0" w:color="auto"/>
              <w:right w:val="none" w:sz="0" w:space="0" w:color="auto"/>
            </w:tcBorders>
            <w:shd w:val="clear" w:color="auto" w:fill="4F81BD" w:themeFill="accent1"/>
          </w:tcPr>
          <w:p w:rsidR="00D33562" w:rsidRPr="008A543E"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100000000000" w:firstRow="1" w:lastRow="0" w:firstColumn="0" w:lastColumn="0" w:oddVBand="0" w:evenVBand="0" w:oddHBand="0" w:evenHBand="0" w:firstRowFirstColumn="0" w:firstRowLastColumn="0" w:lastRowFirstColumn="0" w:lastRowLastColumn="0"/>
              <w:rPr>
                <w:rFonts w:cs="Arial"/>
                <w:bCs w:val="0"/>
                <w:color w:val="FFFFFF" w:themeColor="background1"/>
                <w:sz w:val="20"/>
                <w:szCs w:val="20"/>
                <w:lang w:eastAsia="en-GB"/>
              </w:rPr>
            </w:pPr>
            <w:r w:rsidRPr="008A543E">
              <w:rPr>
                <w:rFonts w:cs="Arial"/>
                <w:bCs w:val="0"/>
                <w:color w:val="FFFFFF" w:themeColor="background1"/>
                <w:sz w:val="20"/>
                <w:szCs w:val="20"/>
                <w:lang w:eastAsia="en-GB"/>
              </w:rPr>
              <w:t>% ARfD*</w:t>
            </w:r>
          </w:p>
        </w:tc>
      </w:tr>
      <w:tr w:rsidR="008A543E" w:rsidRPr="008A543E" w:rsidTr="00CB516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510" w:type="dxa"/>
            <w:vMerge/>
            <w:tcBorders>
              <w:top w:val="none" w:sz="0" w:space="0" w:color="auto"/>
              <w:left w:val="none" w:sz="0" w:space="0" w:color="auto"/>
              <w:bottom w:val="none" w:sz="0" w:space="0" w:color="auto"/>
              <w:right w:val="none" w:sz="0" w:space="0" w:color="auto"/>
            </w:tcBorders>
            <w:shd w:val="clear" w:color="auto" w:fill="4F81BD" w:themeFill="accent1"/>
          </w:tcPr>
          <w:p w:rsidR="00D33562" w:rsidRPr="00944CA2"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val="0"/>
                <w:color w:val="FFFFFF" w:themeColor="background1"/>
                <w:sz w:val="20"/>
                <w:szCs w:val="20"/>
                <w:lang w:eastAsia="en-GB"/>
              </w:rPr>
            </w:pPr>
          </w:p>
        </w:tc>
        <w:tc>
          <w:tcPr>
            <w:tcW w:w="3119" w:type="dxa"/>
            <w:gridSpan w:val="3"/>
            <w:tcBorders>
              <w:top w:val="none" w:sz="0" w:space="0" w:color="auto"/>
              <w:left w:val="none" w:sz="0" w:space="0" w:color="auto"/>
              <w:bottom w:val="none" w:sz="0" w:space="0" w:color="auto"/>
              <w:right w:val="none" w:sz="0" w:space="0" w:color="auto"/>
            </w:tcBorders>
            <w:shd w:val="clear" w:color="auto" w:fill="4F81BD" w:themeFill="accent1"/>
          </w:tcPr>
          <w:p w:rsidR="00D33562" w:rsidRPr="008A543E"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r w:rsidRPr="008A543E">
              <w:rPr>
                <w:rFonts w:cs="Arial"/>
                <w:b/>
                <w:bCs/>
                <w:color w:val="FFFFFF" w:themeColor="background1"/>
                <w:sz w:val="20"/>
                <w:szCs w:val="20"/>
                <w:lang w:eastAsia="en-GB"/>
              </w:rPr>
              <w:t>Australia</w:t>
            </w:r>
          </w:p>
        </w:tc>
        <w:tc>
          <w:tcPr>
            <w:tcW w:w="2977" w:type="dxa"/>
            <w:gridSpan w:val="3"/>
            <w:tcBorders>
              <w:top w:val="none" w:sz="0" w:space="0" w:color="auto"/>
              <w:left w:val="none" w:sz="0" w:space="0" w:color="auto"/>
              <w:bottom w:val="none" w:sz="0" w:space="0" w:color="auto"/>
              <w:right w:val="none" w:sz="0" w:space="0" w:color="auto"/>
            </w:tcBorders>
            <w:shd w:val="clear" w:color="auto" w:fill="4F81BD" w:themeFill="accent1"/>
          </w:tcPr>
          <w:p w:rsidR="00D33562" w:rsidRPr="008A543E"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r w:rsidRPr="008A543E">
              <w:rPr>
                <w:rFonts w:cs="Arial"/>
                <w:b/>
                <w:bCs/>
                <w:color w:val="FFFFFF" w:themeColor="background1"/>
                <w:sz w:val="20"/>
                <w:szCs w:val="20"/>
                <w:lang w:eastAsia="en-GB"/>
              </w:rPr>
              <w:t>New Zealand</w:t>
            </w:r>
          </w:p>
        </w:tc>
      </w:tr>
      <w:tr w:rsidR="008A543E" w:rsidRPr="008A543E" w:rsidTr="00CB5160">
        <w:trPr>
          <w:cnfStyle w:val="000000010000" w:firstRow="0" w:lastRow="0" w:firstColumn="0" w:lastColumn="0" w:oddVBand="0" w:evenVBand="0" w:oddHBand="0" w:evenHBand="1"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3510" w:type="dxa"/>
            <w:vMerge/>
            <w:tcBorders>
              <w:top w:val="none" w:sz="0" w:space="0" w:color="auto"/>
              <w:left w:val="none" w:sz="0" w:space="0" w:color="auto"/>
              <w:bottom w:val="none" w:sz="0" w:space="0" w:color="auto"/>
              <w:right w:val="none" w:sz="0" w:space="0" w:color="auto"/>
            </w:tcBorders>
            <w:shd w:val="clear" w:color="auto" w:fill="4F81BD" w:themeFill="accent1"/>
          </w:tcPr>
          <w:p w:rsidR="00D33562" w:rsidRPr="00944CA2"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FFFFFF" w:themeColor="background1"/>
                <w:sz w:val="20"/>
                <w:szCs w:val="20"/>
              </w:rPr>
            </w:pPr>
          </w:p>
        </w:tc>
        <w:tc>
          <w:tcPr>
            <w:tcW w:w="1134" w:type="dxa"/>
            <w:tcBorders>
              <w:top w:val="none" w:sz="0" w:space="0" w:color="auto"/>
              <w:left w:val="none" w:sz="0" w:space="0" w:color="auto"/>
              <w:bottom w:val="none" w:sz="0" w:space="0" w:color="auto"/>
              <w:right w:val="none" w:sz="0" w:space="0" w:color="auto"/>
            </w:tcBorders>
            <w:shd w:val="clear" w:color="auto" w:fill="4F81BD" w:themeFill="accent1"/>
          </w:tcPr>
          <w:p w:rsidR="00D33562" w:rsidRPr="008A543E"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b/>
                <w:bCs/>
                <w:color w:val="FFFFFF" w:themeColor="background1"/>
                <w:sz w:val="20"/>
                <w:szCs w:val="20"/>
                <w:lang w:eastAsia="en-GB"/>
              </w:rPr>
            </w:pPr>
            <w:r w:rsidRPr="008A543E">
              <w:rPr>
                <w:rFonts w:cs="Arial"/>
                <w:b/>
                <w:bCs/>
                <w:color w:val="FFFFFF" w:themeColor="background1"/>
                <w:sz w:val="20"/>
                <w:szCs w:val="20"/>
                <w:lang w:eastAsia="en-GB"/>
              </w:rPr>
              <w:t>2-6 years</w:t>
            </w:r>
          </w:p>
        </w:tc>
        <w:tc>
          <w:tcPr>
            <w:tcW w:w="993" w:type="dxa"/>
            <w:tcBorders>
              <w:top w:val="none" w:sz="0" w:space="0" w:color="auto"/>
              <w:left w:val="none" w:sz="0" w:space="0" w:color="auto"/>
              <w:bottom w:val="none" w:sz="0" w:space="0" w:color="auto"/>
              <w:right w:val="none" w:sz="0" w:space="0" w:color="auto"/>
            </w:tcBorders>
            <w:shd w:val="clear" w:color="auto" w:fill="4F81BD" w:themeFill="accent1"/>
          </w:tcPr>
          <w:p w:rsidR="00D33562" w:rsidRPr="008A543E"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b/>
                <w:bCs/>
                <w:color w:val="FFFFFF" w:themeColor="background1"/>
                <w:sz w:val="20"/>
                <w:szCs w:val="20"/>
                <w:lang w:eastAsia="en-GB"/>
              </w:rPr>
            </w:pPr>
            <w:r w:rsidRPr="008A543E">
              <w:rPr>
                <w:rFonts w:cs="Arial"/>
                <w:b/>
                <w:bCs/>
                <w:color w:val="FFFFFF" w:themeColor="background1"/>
                <w:sz w:val="20"/>
                <w:szCs w:val="20"/>
                <w:lang w:eastAsia="en-GB"/>
              </w:rPr>
              <w:t>2-16 years</w:t>
            </w:r>
          </w:p>
        </w:tc>
        <w:tc>
          <w:tcPr>
            <w:tcW w:w="992" w:type="dxa"/>
            <w:tcBorders>
              <w:top w:val="none" w:sz="0" w:space="0" w:color="auto"/>
              <w:left w:val="none" w:sz="0" w:space="0" w:color="auto"/>
              <w:bottom w:val="none" w:sz="0" w:space="0" w:color="auto"/>
              <w:right w:val="none" w:sz="0" w:space="0" w:color="auto"/>
            </w:tcBorders>
            <w:shd w:val="clear" w:color="auto" w:fill="4F81BD" w:themeFill="accent1"/>
          </w:tcPr>
          <w:p w:rsidR="00D33562" w:rsidRPr="008A543E"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b/>
                <w:bCs/>
                <w:color w:val="FFFFFF" w:themeColor="background1"/>
                <w:sz w:val="20"/>
                <w:szCs w:val="20"/>
                <w:lang w:eastAsia="en-GB"/>
              </w:rPr>
            </w:pPr>
            <w:r w:rsidRPr="008A543E">
              <w:rPr>
                <w:rFonts w:cs="Arial"/>
                <w:b/>
                <w:bCs/>
                <w:color w:val="FFFFFF" w:themeColor="background1"/>
                <w:sz w:val="20"/>
                <w:szCs w:val="20"/>
                <w:lang w:eastAsia="en-GB"/>
              </w:rPr>
              <w:t>17 years and above</w:t>
            </w:r>
          </w:p>
        </w:tc>
        <w:tc>
          <w:tcPr>
            <w:tcW w:w="992" w:type="dxa"/>
            <w:tcBorders>
              <w:top w:val="none" w:sz="0" w:space="0" w:color="auto"/>
              <w:left w:val="none" w:sz="0" w:space="0" w:color="auto"/>
              <w:bottom w:val="none" w:sz="0" w:space="0" w:color="auto"/>
              <w:right w:val="none" w:sz="0" w:space="0" w:color="auto"/>
            </w:tcBorders>
            <w:shd w:val="clear" w:color="auto" w:fill="4F81BD" w:themeFill="accent1"/>
          </w:tcPr>
          <w:p w:rsidR="00D33562" w:rsidRPr="008A543E"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b/>
                <w:bCs/>
                <w:color w:val="FFFFFF" w:themeColor="background1"/>
                <w:sz w:val="20"/>
                <w:szCs w:val="20"/>
                <w:lang w:eastAsia="en-GB"/>
              </w:rPr>
            </w:pPr>
            <w:r w:rsidRPr="008A543E">
              <w:rPr>
                <w:rFonts w:cs="Arial"/>
                <w:b/>
                <w:bCs/>
                <w:color w:val="FFFFFF" w:themeColor="background1"/>
                <w:sz w:val="20"/>
                <w:szCs w:val="20"/>
                <w:lang w:eastAsia="en-GB"/>
              </w:rPr>
              <w:t>5-6 years</w:t>
            </w:r>
          </w:p>
        </w:tc>
        <w:tc>
          <w:tcPr>
            <w:tcW w:w="992" w:type="dxa"/>
            <w:tcBorders>
              <w:top w:val="none" w:sz="0" w:space="0" w:color="auto"/>
              <w:left w:val="none" w:sz="0" w:space="0" w:color="auto"/>
              <w:bottom w:val="none" w:sz="0" w:space="0" w:color="auto"/>
              <w:right w:val="none" w:sz="0" w:space="0" w:color="auto"/>
            </w:tcBorders>
            <w:shd w:val="clear" w:color="auto" w:fill="4F81BD" w:themeFill="accent1"/>
          </w:tcPr>
          <w:p w:rsidR="00D33562" w:rsidRPr="00850145"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b/>
                <w:bCs/>
                <w:color w:val="FFFFFF" w:themeColor="background1"/>
                <w:sz w:val="20"/>
                <w:szCs w:val="20"/>
                <w:lang w:eastAsia="en-GB"/>
              </w:rPr>
            </w:pPr>
            <w:r w:rsidRPr="00850145">
              <w:rPr>
                <w:rFonts w:cs="Arial"/>
                <w:b/>
                <w:bCs/>
                <w:color w:val="FFFFFF" w:themeColor="background1"/>
                <w:sz w:val="20"/>
                <w:szCs w:val="20"/>
                <w:lang w:eastAsia="en-GB"/>
              </w:rPr>
              <w:t>5-14 years</w:t>
            </w:r>
          </w:p>
        </w:tc>
        <w:tc>
          <w:tcPr>
            <w:tcW w:w="993" w:type="dxa"/>
            <w:tcBorders>
              <w:top w:val="none" w:sz="0" w:space="0" w:color="auto"/>
              <w:left w:val="none" w:sz="0" w:space="0" w:color="auto"/>
              <w:bottom w:val="none" w:sz="0" w:space="0" w:color="auto"/>
              <w:right w:val="none" w:sz="0" w:space="0" w:color="auto"/>
            </w:tcBorders>
            <w:shd w:val="clear" w:color="auto" w:fill="4F81BD" w:themeFill="accent1"/>
          </w:tcPr>
          <w:p w:rsidR="00D33562" w:rsidRPr="00850145"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b/>
                <w:bCs/>
                <w:color w:val="FFFFFF" w:themeColor="background1"/>
                <w:sz w:val="20"/>
                <w:szCs w:val="20"/>
                <w:lang w:eastAsia="en-GB"/>
              </w:rPr>
            </w:pPr>
            <w:r w:rsidRPr="00850145">
              <w:rPr>
                <w:rFonts w:cs="Arial"/>
                <w:b/>
                <w:bCs/>
                <w:color w:val="FFFFFF" w:themeColor="background1"/>
                <w:sz w:val="20"/>
                <w:szCs w:val="20"/>
                <w:lang w:eastAsia="en-GB"/>
              </w:rPr>
              <w:t>15 years and above</w:t>
            </w:r>
          </w:p>
        </w:tc>
      </w:tr>
      <w:tr w:rsidR="00D33562" w:rsidRPr="000620B3" w:rsidTr="00CB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D33562" w:rsidRPr="000620B3"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0620B3">
              <w:rPr>
                <w:rFonts w:cs="Arial"/>
                <w:sz w:val="20"/>
                <w:szCs w:val="20"/>
              </w:rPr>
              <w:t>Almonds</w:t>
            </w:r>
          </w:p>
        </w:tc>
        <w:tc>
          <w:tcPr>
            <w:tcW w:w="1134" w:type="dxa"/>
            <w:tcBorders>
              <w:top w:val="none" w:sz="0" w:space="0" w:color="auto"/>
              <w:left w:val="none" w:sz="0" w:space="0" w:color="auto"/>
              <w:bottom w:val="none" w:sz="0" w:space="0" w:color="auto"/>
              <w:right w:val="none" w:sz="0" w:space="0" w:color="auto"/>
            </w:tcBorders>
          </w:tcPr>
          <w:p w:rsidR="00D33562" w:rsidRPr="000620B3"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0620B3">
              <w:rPr>
                <w:rFonts w:cs="Arial"/>
                <w:sz w:val="20"/>
                <w:szCs w:val="20"/>
              </w:rPr>
              <w:t>10</w:t>
            </w:r>
          </w:p>
        </w:tc>
        <w:tc>
          <w:tcPr>
            <w:tcW w:w="993" w:type="dxa"/>
            <w:tcBorders>
              <w:top w:val="none" w:sz="0" w:space="0" w:color="auto"/>
              <w:left w:val="none" w:sz="0" w:space="0" w:color="auto"/>
              <w:bottom w:val="none" w:sz="0" w:space="0" w:color="auto"/>
              <w:right w:val="none" w:sz="0" w:space="0" w:color="auto"/>
            </w:tcBorders>
          </w:tcPr>
          <w:p w:rsidR="00D33562" w:rsidRPr="000620B3"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0620B3">
              <w:rPr>
                <w:rFonts w:cs="Arial"/>
                <w:sz w:val="20"/>
                <w:szCs w:val="20"/>
              </w:rPr>
              <w:t>7</w:t>
            </w:r>
          </w:p>
        </w:tc>
        <w:tc>
          <w:tcPr>
            <w:tcW w:w="992" w:type="dxa"/>
            <w:tcBorders>
              <w:top w:val="none" w:sz="0" w:space="0" w:color="auto"/>
              <w:left w:val="none" w:sz="0" w:space="0" w:color="auto"/>
              <w:bottom w:val="none" w:sz="0" w:space="0" w:color="auto"/>
              <w:right w:val="none" w:sz="0" w:space="0" w:color="auto"/>
            </w:tcBorders>
          </w:tcPr>
          <w:p w:rsidR="00D33562" w:rsidRPr="000620B3"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0620B3">
              <w:rPr>
                <w:rFonts w:cs="Arial"/>
                <w:sz w:val="20"/>
                <w:szCs w:val="20"/>
              </w:rPr>
              <w:t>8</w:t>
            </w:r>
          </w:p>
        </w:tc>
        <w:tc>
          <w:tcPr>
            <w:tcW w:w="992" w:type="dxa"/>
            <w:tcBorders>
              <w:top w:val="none" w:sz="0" w:space="0" w:color="auto"/>
              <w:left w:val="none" w:sz="0" w:space="0" w:color="auto"/>
              <w:bottom w:val="none" w:sz="0" w:space="0" w:color="auto"/>
              <w:right w:val="none" w:sz="0" w:space="0" w:color="auto"/>
            </w:tcBorders>
          </w:tcPr>
          <w:p w:rsidR="00D33562" w:rsidRPr="000620B3"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0620B3">
              <w:rPr>
                <w:rFonts w:cs="Arial"/>
                <w:sz w:val="20"/>
                <w:szCs w:val="20"/>
              </w:rPr>
              <w:t>1</w:t>
            </w:r>
            <w:r w:rsidR="00DF17EC" w:rsidRPr="001025ED">
              <w:rPr>
                <w:rFonts w:cs="Arial"/>
                <w:sz w:val="20"/>
                <w:szCs w:val="20"/>
                <w:vertAlign w:val="superscript"/>
              </w:rPr>
              <w:t>#</w:t>
            </w:r>
          </w:p>
        </w:tc>
        <w:tc>
          <w:tcPr>
            <w:tcW w:w="992" w:type="dxa"/>
            <w:tcBorders>
              <w:top w:val="none" w:sz="0" w:space="0" w:color="auto"/>
              <w:left w:val="none" w:sz="0" w:space="0" w:color="auto"/>
              <w:bottom w:val="none" w:sz="0" w:space="0" w:color="auto"/>
              <w:right w:val="none" w:sz="0" w:space="0" w:color="auto"/>
            </w:tcBorders>
          </w:tcPr>
          <w:p w:rsidR="00D33562" w:rsidRPr="000620B3"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0620B3">
              <w:rPr>
                <w:rFonts w:cs="Arial"/>
                <w:sz w:val="20"/>
                <w:szCs w:val="20"/>
              </w:rPr>
              <w:t>8</w:t>
            </w:r>
          </w:p>
        </w:tc>
        <w:tc>
          <w:tcPr>
            <w:tcW w:w="993" w:type="dxa"/>
            <w:tcBorders>
              <w:top w:val="none" w:sz="0" w:space="0" w:color="auto"/>
              <w:left w:val="none" w:sz="0" w:space="0" w:color="auto"/>
              <w:bottom w:val="none" w:sz="0" w:space="0" w:color="auto"/>
              <w:right w:val="none" w:sz="0" w:space="0" w:color="auto"/>
            </w:tcBorders>
          </w:tcPr>
          <w:p w:rsidR="00D33562" w:rsidRPr="000620B3"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0620B3">
              <w:rPr>
                <w:rFonts w:cs="Arial"/>
                <w:sz w:val="20"/>
                <w:szCs w:val="20"/>
              </w:rPr>
              <w:t>7</w:t>
            </w:r>
          </w:p>
        </w:tc>
      </w:tr>
      <w:tr w:rsidR="00D33562" w:rsidRPr="000620B3" w:rsidTr="00CB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D33562" w:rsidRPr="000620B3"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0620B3">
              <w:rPr>
                <w:rFonts w:cs="Arial"/>
                <w:sz w:val="20"/>
                <w:szCs w:val="20"/>
              </w:rPr>
              <w:t>Almond oil</w:t>
            </w:r>
          </w:p>
        </w:tc>
        <w:tc>
          <w:tcPr>
            <w:tcW w:w="1134" w:type="dxa"/>
            <w:tcBorders>
              <w:top w:val="none" w:sz="0" w:space="0" w:color="auto"/>
              <w:left w:val="none" w:sz="0" w:space="0" w:color="auto"/>
              <w:bottom w:val="none" w:sz="0" w:space="0" w:color="auto"/>
              <w:right w:val="none" w:sz="0" w:space="0" w:color="auto"/>
            </w:tcBorders>
          </w:tcPr>
          <w:p w:rsidR="00D33562" w:rsidRPr="000620B3"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0620B3">
              <w:rPr>
                <w:rFonts w:cs="Arial"/>
                <w:sz w:val="20"/>
                <w:szCs w:val="20"/>
              </w:rPr>
              <w:t>NC</w:t>
            </w:r>
          </w:p>
        </w:tc>
        <w:tc>
          <w:tcPr>
            <w:tcW w:w="993" w:type="dxa"/>
            <w:tcBorders>
              <w:top w:val="none" w:sz="0" w:space="0" w:color="auto"/>
              <w:left w:val="none" w:sz="0" w:space="0" w:color="auto"/>
              <w:bottom w:val="none" w:sz="0" w:space="0" w:color="auto"/>
              <w:right w:val="none" w:sz="0" w:space="0" w:color="auto"/>
            </w:tcBorders>
          </w:tcPr>
          <w:p w:rsidR="00D33562" w:rsidRPr="000620B3"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0620B3">
              <w:rPr>
                <w:rFonts w:cs="Arial"/>
                <w:sz w:val="20"/>
                <w:szCs w:val="20"/>
              </w:rPr>
              <w:t>NC</w:t>
            </w:r>
          </w:p>
        </w:tc>
        <w:tc>
          <w:tcPr>
            <w:tcW w:w="992" w:type="dxa"/>
            <w:tcBorders>
              <w:top w:val="none" w:sz="0" w:space="0" w:color="auto"/>
              <w:left w:val="none" w:sz="0" w:space="0" w:color="auto"/>
              <w:bottom w:val="none" w:sz="0" w:space="0" w:color="auto"/>
              <w:right w:val="none" w:sz="0" w:space="0" w:color="auto"/>
            </w:tcBorders>
          </w:tcPr>
          <w:p w:rsidR="00D33562" w:rsidRPr="000620B3"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0620B3">
              <w:rPr>
                <w:rFonts w:cs="Arial"/>
                <w:sz w:val="20"/>
                <w:szCs w:val="20"/>
              </w:rPr>
              <w:t>NC</w:t>
            </w:r>
          </w:p>
        </w:tc>
        <w:tc>
          <w:tcPr>
            <w:tcW w:w="992" w:type="dxa"/>
            <w:tcBorders>
              <w:top w:val="none" w:sz="0" w:space="0" w:color="auto"/>
              <w:left w:val="none" w:sz="0" w:space="0" w:color="auto"/>
              <w:bottom w:val="none" w:sz="0" w:space="0" w:color="auto"/>
              <w:right w:val="none" w:sz="0" w:space="0" w:color="auto"/>
            </w:tcBorders>
          </w:tcPr>
          <w:p w:rsidR="00D33562" w:rsidRPr="000620B3"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0620B3">
              <w:rPr>
                <w:rFonts w:cs="Arial"/>
                <w:sz w:val="20"/>
                <w:szCs w:val="20"/>
              </w:rPr>
              <w:t>NC</w:t>
            </w:r>
          </w:p>
        </w:tc>
        <w:tc>
          <w:tcPr>
            <w:tcW w:w="992" w:type="dxa"/>
            <w:tcBorders>
              <w:top w:val="none" w:sz="0" w:space="0" w:color="auto"/>
              <w:left w:val="none" w:sz="0" w:space="0" w:color="auto"/>
              <w:bottom w:val="none" w:sz="0" w:space="0" w:color="auto"/>
              <w:right w:val="none" w:sz="0" w:space="0" w:color="auto"/>
            </w:tcBorders>
          </w:tcPr>
          <w:p w:rsidR="00D33562" w:rsidRPr="000620B3"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0620B3">
              <w:rPr>
                <w:rFonts w:cs="Arial"/>
                <w:sz w:val="20"/>
                <w:szCs w:val="20"/>
              </w:rPr>
              <w:t>NC</w:t>
            </w:r>
          </w:p>
        </w:tc>
        <w:tc>
          <w:tcPr>
            <w:tcW w:w="993" w:type="dxa"/>
            <w:tcBorders>
              <w:top w:val="none" w:sz="0" w:space="0" w:color="auto"/>
              <w:left w:val="none" w:sz="0" w:space="0" w:color="auto"/>
              <w:bottom w:val="none" w:sz="0" w:space="0" w:color="auto"/>
              <w:right w:val="none" w:sz="0" w:space="0" w:color="auto"/>
            </w:tcBorders>
          </w:tcPr>
          <w:p w:rsidR="00D33562" w:rsidRPr="000620B3"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0620B3">
              <w:rPr>
                <w:rFonts w:cs="Arial"/>
                <w:sz w:val="20"/>
                <w:szCs w:val="20"/>
              </w:rPr>
              <w:t>NC</w:t>
            </w:r>
          </w:p>
        </w:tc>
      </w:tr>
      <w:tr w:rsidR="00D33562" w:rsidRPr="00EE5FD4" w:rsidTr="00CB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D33562" w:rsidRPr="00EE5FD4" w:rsidRDefault="00062AB2" w:rsidP="00062A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Pr>
                <w:rFonts w:cs="Arial"/>
                <w:color w:val="000000"/>
                <w:sz w:val="20"/>
                <w:szCs w:val="20"/>
              </w:rPr>
              <w:t>Apple juice</w:t>
            </w:r>
            <w:r w:rsidRPr="00062AB2">
              <w:rPr>
                <w:rFonts w:cs="Arial"/>
                <w:color w:val="000000"/>
                <w:sz w:val="20"/>
                <w:szCs w:val="20"/>
                <w:vertAlign w:val="superscript"/>
              </w:rPr>
              <w:t>a</w:t>
            </w:r>
          </w:p>
        </w:tc>
        <w:tc>
          <w:tcPr>
            <w:tcW w:w="1134"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6</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4</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2</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8</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4</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3</w:t>
            </w:r>
          </w:p>
        </w:tc>
      </w:tr>
      <w:tr w:rsidR="00D33562" w:rsidRPr="00EE5FD4" w:rsidTr="00CB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sz w:val="20"/>
                <w:szCs w:val="20"/>
              </w:rPr>
              <w:t>Apple sauce</w:t>
            </w:r>
          </w:p>
        </w:tc>
        <w:tc>
          <w:tcPr>
            <w:tcW w:w="1134"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NC</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NC</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1</w:t>
            </w:r>
            <w:r w:rsidR="00E42126" w:rsidRPr="001025ED">
              <w:rPr>
                <w:rFonts w:cs="Arial"/>
                <w:sz w:val="20"/>
                <w:szCs w:val="20"/>
                <w:vertAlign w:val="superscript"/>
              </w:rPr>
              <w:t>#</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4</w:t>
            </w:r>
            <w:r w:rsidR="00DF17EC" w:rsidRPr="001025ED">
              <w:rPr>
                <w:rFonts w:cs="Arial"/>
                <w:sz w:val="20"/>
                <w:szCs w:val="20"/>
                <w:vertAlign w:val="superscript"/>
              </w:rPr>
              <w:t>#</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2</w:t>
            </w:r>
            <w:r w:rsidR="00DF17EC" w:rsidRPr="001025ED">
              <w:rPr>
                <w:rFonts w:cs="Arial"/>
                <w:sz w:val="20"/>
                <w:szCs w:val="20"/>
                <w:vertAlign w:val="superscript"/>
              </w:rPr>
              <w:t>#</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2</w:t>
            </w:r>
            <w:r w:rsidR="00DF17EC" w:rsidRPr="001025ED">
              <w:rPr>
                <w:rFonts w:cs="Arial"/>
                <w:sz w:val="20"/>
                <w:szCs w:val="20"/>
                <w:vertAlign w:val="superscript"/>
              </w:rPr>
              <w:t>#</w:t>
            </w:r>
          </w:p>
        </w:tc>
      </w:tr>
      <w:tr w:rsidR="00D33562" w:rsidRPr="00EE5FD4" w:rsidTr="00CB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sz w:val="20"/>
                <w:szCs w:val="20"/>
              </w:rPr>
              <w:t>Apple cider vinegar</w:t>
            </w:r>
          </w:p>
        </w:tc>
        <w:tc>
          <w:tcPr>
            <w:tcW w:w="1134"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4</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2</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1</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2</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2</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1</w:t>
            </w:r>
          </w:p>
        </w:tc>
      </w:tr>
      <w:tr w:rsidR="00D33562" w:rsidRPr="00EE5FD4" w:rsidTr="00CB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sz w:val="20"/>
                <w:szCs w:val="20"/>
              </w:rPr>
              <w:t>Apricots, canned</w:t>
            </w:r>
          </w:p>
        </w:tc>
        <w:tc>
          <w:tcPr>
            <w:tcW w:w="1134"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30</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15</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15</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3</w:t>
            </w:r>
            <w:r w:rsidR="00DF17EC" w:rsidRPr="001025ED">
              <w:rPr>
                <w:rFonts w:cs="Arial"/>
                <w:sz w:val="20"/>
                <w:szCs w:val="20"/>
                <w:vertAlign w:val="superscript"/>
              </w:rPr>
              <w:t>#</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15</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15</w:t>
            </w:r>
          </w:p>
        </w:tc>
      </w:tr>
      <w:tr w:rsidR="00D33562" w:rsidRPr="00EE5FD4" w:rsidTr="00CB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sz w:val="20"/>
                <w:szCs w:val="20"/>
              </w:rPr>
              <w:t>Apricot jam</w:t>
            </w:r>
          </w:p>
        </w:tc>
        <w:tc>
          <w:tcPr>
            <w:tcW w:w="1134"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2</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3</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2</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NC</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&lt;1</w:t>
            </w:r>
            <w:r w:rsidR="00DF17EC" w:rsidRPr="001025ED">
              <w:rPr>
                <w:rFonts w:cs="Arial"/>
                <w:sz w:val="20"/>
                <w:szCs w:val="20"/>
                <w:vertAlign w:val="superscript"/>
              </w:rPr>
              <w:t>#</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&lt;1</w:t>
            </w:r>
            <w:r w:rsidR="00DF17EC" w:rsidRPr="001025ED">
              <w:rPr>
                <w:rFonts w:cs="Arial"/>
                <w:sz w:val="20"/>
                <w:szCs w:val="20"/>
                <w:vertAlign w:val="superscript"/>
              </w:rPr>
              <w:t>#</w:t>
            </w:r>
          </w:p>
        </w:tc>
      </w:tr>
      <w:tr w:rsidR="00D33562" w:rsidRPr="00EE5FD4" w:rsidTr="00CB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C97F4B"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szCs w:val="20"/>
              </w:rPr>
            </w:pPr>
            <w:r w:rsidRPr="00EE5FD4">
              <w:rPr>
                <w:rFonts w:cs="Arial"/>
                <w:color w:val="000000"/>
                <w:sz w:val="20"/>
                <w:szCs w:val="20"/>
              </w:rPr>
              <w:t>Apricot kernels,</w:t>
            </w:r>
          </w:p>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color w:val="000000"/>
                <w:sz w:val="20"/>
                <w:szCs w:val="20"/>
              </w:rPr>
              <w:t>with skin (32/d)</w:t>
            </w:r>
          </w:p>
        </w:tc>
        <w:tc>
          <w:tcPr>
            <w:tcW w:w="1134"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NA</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NA</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910</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NA</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NA</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940</w:t>
            </w:r>
          </w:p>
        </w:tc>
      </w:tr>
      <w:tr w:rsidR="00D33562" w:rsidRPr="00EE5FD4" w:rsidTr="00CB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C97F4B"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szCs w:val="20"/>
              </w:rPr>
            </w:pPr>
            <w:r w:rsidRPr="00EE5FD4">
              <w:rPr>
                <w:rFonts w:cs="Arial"/>
                <w:color w:val="000000"/>
                <w:sz w:val="20"/>
                <w:szCs w:val="20"/>
              </w:rPr>
              <w:t xml:space="preserve">Apricot kernels, </w:t>
            </w:r>
          </w:p>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color w:val="000000"/>
                <w:sz w:val="20"/>
                <w:szCs w:val="20"/>
              </w:rPr>
              <w:t>with skin (4/d)</w:t>
            </w:r>
          </w:p>
        </w:tc>
        <w:tc>
          <w:tcPr>
            <w:tcW w:w="1134"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NA</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NA</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110</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NA</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NA</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120</w:t>
            </w:r>
          </w:p>
        </w:tc>
      </w:tr>
      <w:tr w:rsidR="00D33562" w:rsidRPr="00EE5FD4" w:rsidTr="00CB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color w:val="000000"/>
                <w:sz w:val="20"/>
                <w:szCs w:val="20"/>
              </w:rPr>
              <w:t>Apricot kernels, without skin (32/d)</w:t>
            </w:r>
          </w:p>
        </w:tc>
        <w:tc>
          <w:tcPr>
            <w:tcW w:w="1134"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NA</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NA</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140</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NA</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NA</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150</w:t>
            </w:r>
          </w:p>
        </w:tc>
      </w:tr>
      <w:tr w:rsidR="00D33562" w:rsidRPr="00EE5FD4" w:rsidTr="00CB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C97F4B"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szCs w:val="20"/>
              </w:rPr>
            </w:pPr>
            <w:r w:rsidRPr="00EE5FD4">
              <w:rPr>
                <w:rFonts w:cs="Arial"/>
                <w:color w:val="000000"/>
                <w:sz w:val="20"/>
                <w:szCs w:val="20"/>
              </w:rPr>
              <w:t xml:space="preserve">Apricot kernels, </w:t>
            </w:r>
          </w:p>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color w:val="000000"/>
                <w:sz w:val="20"/>
                <w:szCs w:val="20"/>
              </w:rPr>
              <w:t>without skin (4/d)</w:t>
            </w:r>
          </w:p>
        </w:tc>
        <w:tc>
          <w:tcPr>
            <w:tcW w:w="1134"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NA</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NA</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20</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NA</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NA</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20</w:t>
            </w:r>
          </w:p>
        </w:tc>
      </w:tr>
      <w:tr w:rsidR="00D33562" w:rsidRPr="00EE5FD4" w:rsidTr="00CB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D33562" w:rsidRPr="00CA77BD"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highlight w:val="yellow"/>
              </w:rPr>
            </w:pPr>
            <w:r w:rsidRPr="009B7B10">
              <w:rPr>
                <w:rFonts w:cs="Arial"/>
                <w:color w:val="000000"/>
                <w:sz w:val="20"/>
                <w:szCs w:val="20"/>
              </w:rPr>
              <w:t>Apricot nectar</w:t>
            </w:r>
          </w:p>
        </w:tc>
        <w:tc>
          <w:tcPr>
            <w:tcW w:w="1134" w:type="dxa"/>
            <w:tcBorders>
              <w:top w:val="none" w:sz="0" w:space="0" w:color="auto"/>
              <w:left w:val="none" w:sz="0" w:space="0" w:color="auto"/>
              <w:bottom w:val="none" w:sz="0" w:space="0" w:color="auto"/>
              <w:right w:val="none" w:sz="0" w:space="0" w:color="auto"/>
            </w:tcBorders>
          </w:tcPr>
          <w:p w:rsidR="00D33562" w:rsidRPr="007E50AD" w:rsidRDefault="007E50AD"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7E50AD">
              <w:rPr>
                <w:rFonts w:cs="Arial"/>
                <w:sz w:val="20"/>
                <w:szCs w:val="20"/>
              </w:rPr>
              <w:t>3</w:t>
            </w:r>
            <w:r w:rsidR="00D33562" w:rsidRPr="007E50AD">
              <w:rPr>
                <w:rFonts w:cs="Arial"/>
                <w:sz w:val="20"/>
                <w:szCs w:val="20"/>
              </w:rPr>
              <w:t>5</w:t>
            </w:r>
            <w:r w:rsidR="00935774" w:rsidRPr="001025ED">
              <w:rPr>
                <w:rFonts w:cs="Arial"/>
                <w:sz w:val="20"/>
                <w:szCs w:val="20"/>
                <w:vertAlign w:val="superscript"/>
              </w:rPr>
              <w:t>#</w:t>
            </w:r>
          </w:p>
        </w:tc>
        <w:tc>
          <w:tcPr>
            <w:tcW w:w="993" w:type="dxa"/>
            <w:tcBorders>
              <w:top w:val="none" w:sz="0" w:space="0" w:color="auto"/>
              <w:left w:val="none" w:sz="0" w:space="0" w:color="auto"/>
              <w:bottom w:val="none" w:sz="0" w:space="0" w:color="auto"/>
              <w:right w:val="none" w:sz="0" w:space="0" w:color="auto"/>
            </w:tcBorders>
          </w:tcPr>
          <w:p w:rsidR="00D33562" w:rsidRPr="007E50AD" w:rsidRDefault="007E50AD"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7E50AD">
              <w:rPr>
                <w:rFonts w:cs="Arial"/>
                <w:sz w:val="20"/>
                <w:szCs w:val="20"/>
              </w:rPr>
              <w:t>7</w:t>
            </w:r>
            <w:r w:rsidR="00E42126" w:rsidRPr="001025ED">
              <w:rPr>
                <w:rFonts w:cs="Arial"/>
                <w:sz w:val="20"/>
                <w:szCs w:val="20"/>
                <w:vertAlign w:val="superscript"/>
              </w:rPr>
              <w:t>#</w:t>
            </w:r>
          </w:p>
        </w:tc>
        <w:tc>
          <w:tcPr>
            <w:tcW w:w="992" w:type="dxa"/>
            <w:tcBorders>
              <w:top w:val="none" w:sz="0" w:space="0" w:color="auto"/>
              <w:left w:val="none" w:sz="0" w:space="0" w:color="auto"/>
              <w:bottom w:val="none" w:sz="0" w:space="0" w:color="auto"/>
              <w:right w:val="none" w:sz="0" w:space="0" w:color="auto"/>
            </w:tcBorders>
          </w:tcPr>
          <w:p w:rsidR="00D33562" w:rsidRPr="007E50AD" w:rsidRDefault="007E50AD"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7E50AD">
              <w:rPr>
                <w:rFonts w:cs="Arial"/>
                <w:sz w:val="20"/>
                <w:szCs w:val="20"/>
              </w:rPr>
              <w:t>20</w:t>
            </w:r>
            <w:r w:rsidR="00E42126" w:rsidRPr="001025ED">
              <w:rPr>
                <w:rFonts w:cs="Arial"/>
                <w:sz w:val="20"/>
                <w:szCs w:val="20"/>
                <w:vertAlign w:val="superscript"/>
              </w:rPr>
              <w:t>#</w:t>
            </w:r>
          </w:p>
        </w:tc>
        <w:tc>
          <w:tcPr>
            <w:tcW w:w="992" w:type="dxa"/>
            <w:tcBorders>
              <w:top w:val="none" w:sz="0" w:space="0" w:color="auto"/>
              <w:left w:val="none" w:sz="0" w:space="0" w:color="auto"/>
              <w:bottom w:val="none" w:sz="0" w:space="0" w:color="auto"/>
              <w:right w:val="none" w:sz="0" w:space="0" w:color="auto"/>
            </w:tcBorders>
          </w:tcPr>
          <w:p w:rsidR="00D33562" w:rsidRPr="007E50AD" w:rsidRDefault="007E50AD"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7E50AD">
              <w:rPr>
                <w:rFonts w:cs="Arial"/>
                <w:sz w:val="20"/>
                <w:szCs w:val="20"/>
              </w:rPr>
              <w:t>3</w:t>
            </w:r>
            <w:r w:rsidR="00DF17EC" w:rsidRPr="001025ED">
              <w:rPr>
                <w:rFonts w:cs="Arial"/>
                <w:sz w:val="20"/>
                <w:szCs w:val="20"/>
                <w:vertAlign w:val="superscript"/>
              </w:rPr>
              <w:t>#</w:t>
            </w:r>
          </w:p>
        </w:tc>
        <w:tc>
          <w:tcPr>
            <w:tcW w:w="992" w:type="dxa"/>
            <w:tcBorders>
              <w:top w:val="none" w:sz="0" w:space="0" w:color="auto"/>
              <w:left w:val="none" w:sz="0" w:space="0" w:color="auto"/>
              <w:bottom w:val="none" w:sz="0" w:space="0" w:color="auto"/>
              <w:right w:val="none" w:sz="0" w:space="0" w:color="auto"/>
            </w:tcBorders>
          </w:tcPr>
          <w:p w:rsidR="00D33562" w:rsidRPr="007E50AD" w:rsidRDefault="007E50AD"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7E50AD">
              <w:rPr>
                <w:rFonts w:cs="Arial"/>
                <w:sz w:val="20"/>
                <w:szCs w:val="20"/>
              </w:rPr>
              <w:t>35</w:t>
            </w:r>
          </w:p>
        </w:tc>
        <w:tc>
          <w:tcPr>
            <w:tcW w:w="993" w:type="dxa"/>
            <w:tcBorders>
              <w:top w:val="none" w:sz="0" w:space="0" w:color="auto"/>
              <w:left w:val="none" w:sz="0" w:space="0" w:color="auto"/>
              <w:bottom w:val="none" w:sz="0" w:space="0" w:color="auto"/>
              <w:right w:val="none" w:sz="0" w:space="0" w:color="auto"/>
            </w:tcBorders>
          </w:tcPr>
          <w:p w:rsidR="00D33562" w:rsidRPr="007E50AD"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7E50AD">
              <w:rPr>
                <w:rFonts w:cs="Arial"/>
                <w:sz w:val="20"/>
                <w:szCs w:val="20"/>
              </w:rPr>
              <w:t>NC</w:t>
            </w:r>
          </w:p>
        </w:tc>
      </w:tr>
      <w:tr w:rsidR="00D33562" w:rsidRPr="00EE5FD4" w:rsidTr="00CB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8D3D85" w:rsidRPr="00EE5FD4" w:rsidRDefault="00D33562" w:rsidP="00062A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sz w:val="20"/>
                <w:szCs w:val="20"/>
              </w:rPr>
              <w:t>Bamboo shoots</w:t>
            </w:r>
            <w:r w:rsidR="00062AB2" w:rsidRPr="00062AB2">
              <w:rPr>
                <w:rFonts w:cs="Arial"/>
                <w:sz w:val="20"/>
                <w:szCs w:val="20"/>
                <w:vertAlign w:val="superscript"/>
              </w:rPr>
              <w:t>b</w:t>
            </w:r>
          </w:p>
        </w:tc>
        <w:tc>
          <w:tcPr>
            <w:tcW w:w="1134" w:type="dxa"/>
            <w:tcBorders>
              <w:top w:val="none" w:sz="0" w:space="0" w:color="auto"/>
              <w:left w:val="none" w:sz="0" w:space="0" w:color="auto"/>
              <w:bottom w:val="none" w:sz="0" w:space="0" w:color="auto"/>
              <w:right w:val="none" w:sz="0" w:space="0" w:color="auto"/>
            </w:tcBorders>
          </w:tcPr>
          <w:p w:rsidR="00D33562" w:rsidRPr="00EE5FD4" w:rsidRDefault="00EE5FD4"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20</w:t>
            </w:r>
          </w:p>
        </w:tc>
        <w:tc>
          <w:tcPr>
            <w:tcW w:w="993" w:type="dxa"/>
            <w:tcBorders>
              <w:top w:val="none" w:sz="0" w:space="0" w:color="auto"/>
              <w:left w:val="none" w:sz="0" w:space="0" w:color="auto"/>
              <w:bottom w:val="none" w:sz="0" w:space="0" w:color="auto"/>
              <w:right w:val="none" w:sz="0" w:space="0" w:color="auto"/>
            </w:tcBorders>
          </w:tcPr>
          <w:p w:rsidR="00D33562" w:rsidRPr="00EE5FD4" w:rsidRDefault="00EE5FD4"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15</w:t>
            </w:r>
          </w:p>
        </w:tc>
        <w:tc>
          <w:tcPr>
            <w:tcW w:w="992" w:type="dxa"/>
            <w:tcBorders>
              <w:top w:val="none" w:sz="0" w:space="0" w:color="auto"/>
              <w:left w:val="none" w:sz="0" w:space="0" w:color="auto"/>
              <w:bottom w:val="none" w:sz="0" w:space="0" w:color="auto"/>
              <w:right w:val="none" w:sz="0" w:space="0" w:color="auto"/>
            </w:tcBorders>
          </w:tcPr>
          <w:p w:rsidR="00D33562" w:rsidRPr="00EE5FD4" w:rsidRDefault="00EE5FD4"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65</w:t>
            </w:r>
          </w:p>
        </w:tc>
        <w:tc>
          <w:tcPr>
            <w:tcW w:w="992" w:type="dxa"/>
            <w:tcBorders>
              <w:top w:val="none" w:sz="0" w:space="0" w:color="auto"/>
              <w:left w:val="none" w:sz="0" w:space="0" w:color="auto"/>
              <w:bottom w:val="none" w:sz="0" w:space="0" w:color="auto"/>
              <w:right w:val="none" w:sz="0" w:space="0" w:color="auto"/>
            </w:tcBorders>
          </w:tcPr>
          <w:p w:rsidR="00D33562" w:rsidRPr="00EE5FD4" w:rsidRDefault="00EE5FD4"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25</w:t>
            </w:r>
            <w:r w:rsidR="00DF17EC" w:rsidRPr="001025ED">
              <w:rPr>
                <w:rFonts w:cs="Arial"/>
                <w:sz w:val="20"/>
                <w:szCs w:val="20"/>
                <w:vertAlign w:val="superscript"/>
              </w:rPr>
              <w:t>#</w:t>
            </w:r>
          </w:p>
        </w:tc>
        <w:tc>
          <w:tcPr>
            <w:tcW w:w="992" w:type="dxa"/>
            <w:tcBorders>
              <w:top w:val="none" w:sz="0" w:space="0" w:color="auto"/>
              <w:left w:val="none" w:sz="0" w:space="0" w:color="auto"/>
              <w:bottom w:val="none" w:sz="0" w:space="0" w:color="auto"/>
              <w:right w:val="none" w:sz="0" w:space="0" w:color="auto"/>
            </w:tcBorders>
          </w:tcPr>
          <w:p w:rsidR="00D33562" w:rsidRPr="00EE5FD4" w:rsidRDefault="00EE5FD4"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45</w:t>
            </w:r>
          </w:p>
        </w:tc>
        <w:tc>
          <w:tcPr>
            <w:tcW w:w="993" w:type="dxa"/>
            <w:tcBorders>
              <w:top w:val="none" w:sz="0" w:space="0" w:color="auto"/>
              <w:left w:val="none" w:sz="0" w:space="0" w:color="auto"/>
              <w:bottom w:val="none" w:sz="0" w:space="0" w:color="auto"/>
              <w:right w:val="none" w:sz="0" w:space="0" w:color="auto"/>
            </w:tcBorders>
          </w:tcPr>
          <w:p w:rsidR="00D33562" w:rsidRPr="00EE5FD4" w:rsidRDefault="00EE5FD4"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3</w:t>
            </w:r>
            <w:r w:rsidR="00DF17EC" w:rsidRPr="001025ED">
              <w:rPr>
                <w:rFonts w:cs="Arial"/>
                <w:sz w:val="20"/>
                <w:szCs w:val="20"/>
                <w:vertAlign w:val="superscript"/>
              </w:rPr>
              <w:t>#</w:t>
            </w:r>
          </w:p>
        </w:tc>
      </w:tr>
      <w:tr w:rsidR="00D33562" w:rsidRPr="00EE5FD4" w:rsidTr="00CB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szCs w:val="20"/>
              </w:rPr>
            </w:pPr>
            <w:r w:rsidRPr="00EE5FD4">
              <w:rPr>
                <w:rFonts w:cs="Arial"/>
                <w:color w:val="000000"/>
                <w:sz w:val="20"/>
                <w:szCs w:val="20"/>
              </w:rPr>
              <w:t>Biscuits, amaretti</w:t>
            </w:r>
          </w:p>
        </w:tc>
        <w:tc>
          <w:tcPr>
            <w:tcW w:w="1134"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65</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35</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15</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55</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30</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20</w:t>
            </w:r>
          </w:p>
        </w:tc>
      </w:tr>
      <w:tr w:rsidR="00D33562" w:rsidRPr="00EE5FD4" w:rsidTr="00CB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color w:val="000000"/>
                <w:sz w:val="20"/>
                <w:szCs w:val="20"/>
              </w:rPr>
              <w:t>Biscuits, almond fingers/apple fingers</w:t>
            </w:r>
          </w:p>
        </w:tc>
        <w:tc>
          <w:tcPr>
            <w:tcW w:w="1134"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40</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20</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10</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35</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20</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10</w:t>
            </w:r>
          </w:p>
        </w:tc>
      </w:tr>
      <w:tr w:rsidR="00D33562" w:rsidRPr="00EE5FD4" w:rsidTr="00CB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sz w:val="20"/>
                <w:szCs w:val="20"/>
              </w:rPr>
              <w:t>Bread containing linseed</w:t>
            </w:r>
          </w:p>
        </w:tc>
        <w:tc>
          <w:tcPr>
            <w:tcW w:w="1134"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520</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350</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200</w:t>
            </w:r>
          </w:p>
        </w:tc>
        <w:tc>
          <w:tcPr>
            <w:tcW w:w="992" w:type="dxa"/>
            <w:tcBorders>
              <w:top w:val="none" w:sz="0" w:space="0" w:color="auto"/>
              <w:left w:val="none" w:sz="0" w:space="0" w:color="auto"/>
              <w:bottom w:val="none" w:sz="0" w:space="0" w:color="auto"/>
              <w:right w:val="none" w:sz="0" w:space="0" w:color="auto"/>
            </w:tcBorders>
          </w:tcPr>
          <w:p w:rsidR="00D33562" w:rsidRPr="00EE5FD4" w:rsidRDefault="005F6CED" w:rsidP="005F6C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6</w:t>
            </w:r>
            <w:r>
              <w:rPr>
                <w:rFonts w:cs="Arial"/>
                <w:sz w:val="20"/>
                <w:szCs w:val="20"/>
              </w:rPr>
              <w:t>39</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360</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250</w:t>
            </w:r>
          </w:p>
        </w:tc>
      </w:tr>
      <w:tr w:rsidR="00D33562" w:rsidRPr="00EE5FD4" w:rsidTr="00CB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sz w:val="20"/>
                <w:szCs w:val="20"/>
              </w:rPr>
              <w:t>Butter beans</w:t>
            </w:r>
          </w:p>
        </w:tc>
        <w:tc>
          <w:tcPr>
            <w:tcW w:w="1134"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8</w:t>
            </w:r>
            <w:r w:rsidR="00935774" w:rsidRPr="001025ED">
              <w:rPr>
                <w:rFonts w:cs="Arial"/>
                <w:sz w:val="20"/>
                <w:szCs w:val="20"/>
                <w:vertAlign w:val="superscript"/>
              </w:rPr>
              <w:t>#</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5</w:t>
            </w:r>
            <w:r w:rsidR="00E42126" w:rsidRPr="001025ED">
              <w:rPr>
                <w:rFonts w:cs="Arial"/>
                <w:sz w:val="20"/>
                <w:szCs w:val="20"/>
                <w:vertAlign w:val="superscript"/>
              </w:rPr>
              <w:t>#</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102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4</w:t>
            </w:r>
            <w:r w:rsidR="009504DD" w:rsidRPr="009504DD">
              <w:rPr>
                <w:rFonts w:cs="Arial"/>
                <w:sz w:val="20"/>
                <w:szCs w:val="20"/>
                <w:vertAlign w:val="superscript"/>
              </w:rPr>
              <w:t>#</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2</w:t>
            </w:r>
            <w:r w:rsidR="00DF17EC" w:rsidRPr="001025ED">
              <w:rPr>
                <w:rFonts w:cs="Arial"/>
                <w:sz w:val="20"/>
                <w:szCs w:val="20"/>
                <w:vertAlign w:val="superscript"/>
              </w:rPr>
              <w:t>#</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&lt;1</w:t>
            </w:r>
            <w:r w:rsidR="00DF17EC" w:rsidRPr="001025ED">
              <w:rPr>
                <w:rFonts w:cs="Arial"/>
                <w:sz w:val="20"/>
                <w:szCs w:val="20"/>
                <w:vertAlign w:val="superscript"/>
              </w:rPr>
              <w:t>#</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NC</w:t>
            </w:r>
          </w:p>
        </w:tc>
      </w:tr>
      <w:tr w:rsidR="00D33562" w:rsidRPr="00EE5FD4" w:rsidTr="00CB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color w:val="000000"/>
                <w:sz w:val="20"/>
                <w:szCs w:val="20"/>
              </w:rPr>
              <w:t>Cassava roots, cooked</w:t>
            </w:r>
            <w:r w:rsidR="00062AB2" w:rsidRPr="00062AB2">
              <w:rPr>
                <w:rFonts w:cs="Arial"/>
                <w:color w:val="000000"/>
                <w:sz w:val="20"/>
                <w:szCs w:val="20"/>
                <w:vertAlign w:val="superscript"/>
              </w:rPr>
              <w:t>c</w:t>
            </w:r>
          </w:p>
        </w:tc>
        <w:tc>
          <w:tcPr>
            <w:tcW w:w="1134" w:type="dxa"/>
            <w:tcBorders>
              <w:top w:val="none" w:sz="0" w:space="0" w:color="auto"/>
              <w:left w:val="none" w:sz="0" w:space="0" w:color="auto"/>
              <w:bottom w:val="none" w:sz="0" w:space="0" w:color="auto"/>
              <w:right w:val="none" w:sz="0" w:space="0" w:color="auto"/>
            </w:tcBorders>
          </w:tcPr>
          <w:p w:rsidR="00D33562" w:rsidRPr="00EE5FD4" w:rsidRDefault="00EE5FD4"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9</w:t>
            </w:r>
            <w:r w:rsidR="00935774" w:rsidRPr="001025ED">
              <w:rPr>
                <w:rFonts w:cs="Arial"/>
                <w:sz w:val="20"/>
                <w:szCs w:val="20"/>
                <w:vertAlign w:val="superscript"/>
              </w:rPr>
              <w:t>#</w:t>
            </w:r>
          </w:p>
        </w:tc>
        <w:tc>
          <w:tcPr>
            <w:tcW w:w="993" w:type="dxa"/>
            <w:tcBorders>
              <w:top w:val="none" w:sz="0" w:space="0" w:color="auto"/>
              <w:left w:val="none" w:sz="0" w:space="0" w:color="auto"/>
              <w:bottom w:val="none" w:sz="0" w:space="0" w:color="auto"/>
              <w:right w:val="none" w:sz="0" w:space="0" w:color="auto"/>
            </w:tcBorders>
          </w:tcPr>
          <w:p w:rsidR="00EE5FD4" w:rsidRPr="00EE5FD4" w:rsidRDefault="00EE5FD4" w:rsidP="00EE5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80</w:t>
            </w:r>
          </w:p>
        </w:tc>
        <w:tc>
          <w:tcPr>
            <w:tcW w:w="992" w:type="dxa"/>
            <w:tcBorders>
              <w:top w:val="none" w:sz="0" w:space="0" w:color="auto"/>
              <w:left w:val="none" w:sz="0" w:space="0" w:color="auto"/>
              <w:bottom w:val="none" w:sz="0" w:space="0" w:color="auto"/>
              <w:right w:val="none" w:sz="0" w:space="0" w:color="auto"/>
            </w:tcBorders>
          </w:tcPr>
          <w:p w:rsidR="00D33562" w:rsidRPr="00EE5FD4" w:rsidRDefault="00EE5FD4"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85</w:t>
            </w:r>
            <w:r w:rsidR="00E42126" w:rsidRPr="001025ED">
              <w:rPr>
                <w:rFonts w:cs="Arial"/>
                <w:sz w:val="20"/>
                <w:szCs w:val="20"/>
                <w:vertAlign w:val="superscript"/>
              </w:rPr>
              <w:t>#</w:t>
            </w:r>
          </w:p>
        </w:tc>
        <w:tc>
          <w:tcPr>
            <w:tcW w:w="992" w:type="dxa"/>
            <w:tcBorders>
              <w:top w:val="none" w:sz="0" w:space="0" w:color="auto"/>
              <w:left w:val="none" w:sz="0" w:space="0" w:color="auto"/>
              <w:bottom w:val="none" w:sz="0" w:space="0" w:color="auto"/>
              <w:right w:val="none" w:sz="0" w:space="0" w:color="auto"/>
            </w:tcBorders>
          </w:tcPr>
          <w:p w:rsidR="00EE5FD4" w:rsidRPr="00EE5FD4" w:rsidRDefault="00EE5FD4" w:rsidP="00EE5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60</w:t>
            </w:r>
            <w:r w:rsidR="00DF17EC" w:rsidRPr="001025ED">
              <w:rPr>
                <w:rFonts w:cs="Arial"/>
                <w:sz w:val="20"/>
                <w:szCs w:val="20"/>
                <w:vertAlign w:val="superscript"/>
              </w:rPr>
              <w:t>#</w:t>
            </w:r>
          </w:p>
        </w:tc>
        <w:tc>
          <w:tcPr>
            <w:tcW w:w="992" w:type="dxa"/>
            <w:tcBorders>
              <w:top w:val="none" w:sz="0" w:space="0" w:color="auto"/>
              <w:left w:val="none" w:sz="0" w:space="0" w:color="auto"/>
              <w:bottom w:val="none" w:sz="0" w:space="0" w:color="auto"/>
              <w:right w:val="none" w:sz="0" w:space="0" w:color="auto"/>
            </w:tcBorders>
          </w:tcPr>
          <w:p w:rsidR="00D33562" w:rsidRPr="00EE5FD4" w:rsidRDefault="00EE5FD4"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35</w:t>
            </w:r>
            <w:r w:rsidR="00DF17EC" w:rsidRPr="001025ED">
              <w:rPr>
                <w:rFonts w:cs="Arial"/>
                <w:sz w:val="20"/>
                <w:szCs w:val="20"/>
                <w:vertAlign w:val="superscript"/>
              </w:rPr>
              <w:t>#</w:t>
            </w:r>
          </w:p>
        </w:tc>
        <w:tc>
          <w:tcPr>
            <w:tcW w:w="993" w:type="dxa"/>
            <w:tcBorders>
              <w:top w:val="none" w:sz="0" w:space="0" w:color="auto"/>
              <w:left w:val="none" w:sz="0" w:space="0" w:color="auto"/>
              <w:bottom w:val="none" w:sz="0" w:space="0" w:color="auto"/>
              <w:right w:val="none" w:sz="0" w:space="0" w:color="auto"/>
            </w:tcBorders>
          </w:tcPr>
          <w:p w:rsidR="00D33562" w:rsidRPr="00EE5FD4" w:rsidRDefault="00EE5FD4" w:rsidP="00EE5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100</w:t>
            </w:r>
            <w:r w:rsidR="00BC2495" w:rsidRPr="001025ED">
              <w:rPr>
                <w:rFonts w:cs="Arial"/>
                <w:sz w:val="20"/>
                <w:szCs w:val="20"/>
                <w:vertAlign w:val="superscript"/>
              </w:rPr>
              <w:t>#</w:t>
            </w:r>
          </w:p>
        </w:tc>
      </w:tr>
      <w:tr w:rsidR="00D33562" w:rsidRPr="00EE5FD4" w:rsidTr="00CB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sz w:val="20"/>
                <w:szCs w:val="20"/>
              </w:rPr>
              <w:t>Cassava starch</w:t>
            </w:r>
          </w:p>
        </w:tc>
        <w:tc>
          <w:tcPr>
            <w:tcW w:w="1134"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9</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5</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1</w:t>
            </w:r>
            <w:r w:rsidR="00E42126" w:rsidRPr="001025ED">
              <w:rPr>
                <w:rFonts w:cs="Arial"/>
                <w:sz w:val="20"/>
                <w:szCs w:val="20"/>
                <w:vertAlign w:val="superscript"/>
              </w:rPr>
              <w:t>#</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2</w:t>
            </w:r>
          </w:p>
        </w:tc>
        <w:tc>
          <w:tcPr>
            <w:tcW w:w="992" w:type="dxa"/>
            <w:tcBorders>
              <w:top w:val="none" w:sz="0" w:space="0" w:color="auto"/>
              <w:left w:val="none" w:sz="0" w:space="0" w:color="auto"/>
              <w:bottom w:val="none" w:sz="0" w:space="0" w:color="auto"/>
              <w:right w:val="none" w:sz="0" w:space="0" w:color="auto"/>
            </w:tcBorders>
          </w:tcPr>
          <w:p w:rsidR="00D33562" w:rsidRPr="00EE5FD4" w:rsidRDefault="008D3D85"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&lt;1</w:t>
            </w:r>
            <w:r w:rsidR="00BC2495" w:rsidRPr="001025ED">
              <w:rPr>
                <w:rFonts w:cs="Arial"/>
                <w:sz w:val="20"/>
                <w:szCs w:val="20"/>
                <w:vertAlign w:val="superscript"/>
              </w:rPr>
              <w:t>#</w:t>
            </w:r>
          </w:p>
        </w:tc>
      </w:tr>
      <w:tr w:rsidR="00D33562" w:rsidRPr="00EE5FD4" w:rsidTr="00CB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sz w:val="20"/>
                <w:szCs w:val="20"/>
              </w:rPr>
              <w:t>Cherry brandy</w:t>
            </w:r>
          </w:p>
        </w:tc>
        <w:tc>
          <w:tcPr>
            <w:tcW w:w="1134" w:type="dxa"/>
            <w:tcBorders>
              <w:top w:val="none" w:sz="0" w:space="0" w:color="auto"/>
              <w:left w:val="none" w:sz="0" w:space="0" w:color="auto"/>
              <w:bottom w:val="none" w:sz="0" w:space="0" w:color="auto"/>
              <w:right w:val="none" w:sz="0" w:space="0" w:color="auto"/>
            </w:tcBorders>
          </w:tcPr>
          <w:p w:rsidR="00D33562" w:rsidRPr="00EE5FD4" w:rsidRDefault="009504DD"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9504DD">
              <w:rPr>
                <w:rFonts w:cs="Arial"/>
                <w:sz w:val="20"/>
                <w:szCs w:val="20"/>
              </w:rPr>
              <w:t>&lt;1</w:t>
            </w:r>
            <w:r w:rsidRPr="009504DD">
              <w:rPr>
                <w:rFonts w:cs="Arial"/>
                <w:sz w:val="20"/>
                <w:szCs w:val="20"/>
                <w:vertAlign w:val="superscript"/>
              </w:rPr>
              <w:t>#</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6</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15</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NC</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&lt;1</w:t>
            </w:r>
            <w:r w:rsidR="00DF17EC" w:rsidRPr="001025ED">
              <w:rPr>
                <w:rFonts w:cs="Arial"/>
                <w:sz w:val="20"/>
                <w:szCs w:val="20"/>
                <w:vertAlign w:val="superscript"/>
              </w:rPr>
              <w:t>#</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10</w:t>
            </w:r>
          </w:p>
        </w:tc>
      </w:tr>
      <w:tr w:rsidR="00D33562" w:rsidRPr="00EE5FD4" w:rsidTr="00CB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sz w:val="20"/>
                <w:szCs w:val="20"/>
              </w:rPr>
              <w:t>Lima beans</w:t>
            </w:r>
          </w:p>
        </w:tc>
        <w:tc>
          <w:tcPr>
            <w:tcW w:w="1134"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20</w:t>
            </w:r>
            <w:r w:rsidR="00935774" w:rsidRPr="001025ED">
              <w:rPr>
                <w:rFonts w:cs="Arial"/>
                <w:sz w:val="20"/>
                <w:szCs w:val="20"/>
                <w:vertAlign w:val="superscript"/>
              </w:rPr>
              <w:t>#</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10</w:t>
            </w:r>
            <w:r w:rsidR="00E42126" w:rsidRPr="001025ED">
              <w:rPr>
                <w:rFonts w:cs="Arial"/>
                <w:sz w:val="20"/>
                <w:szCs w:val="20"/>
                <w:vertAlign w:val="superscript"/>
              </w:rPr>
              <w:t>#</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75</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NC</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NC</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4</w:t>
            </w:r>
            <w:r w:rsidR="00BC2495" w:rsidRPr="001025ED">
              <w:rPr>
                <w:rFonts w:cs="Arial"/>
                <w:sz w:val="20"/>
                <w:szCs w:val="20"/>
                <w:vertAlign w:val="superscript"/>
              </w:rPr>
              <w:t>#</w:t>
            </w:r>
          </w:p>
        </w:tc>
      </w:tr>
      <w:tr w:rsidR="00D33562" w:rsidRPr="00EE5FD4" w:rsidTr="00CB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sz w:val="20"/>
                <w:szCs w:val="20"/>
              </w:rPr>
              <w:t>Linseed</w:t>
            </w:r>
            <w:r w:rsidR="008D3D85">
              <w:rPr>
                <w:rFonts w:cs="Arial"/>
                <w:sz w:val="20"/>
                <w:szCs w:val="20"/>
              </w:rPr>
              <w:t>s</w:t>
            </w:r>
          </w:p>
        </w:tc>
        <w:tc>
          <w:tcPr>
            <w:tcW w:w="1134"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55</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30</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NC</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35</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20</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NC</w:t>
            </w:r>
          </w:p>
        </w:tc>
      </w:tr>
      <w:tr w:rsidR="00D33562" w:rsidRPr="00EE5FD4" w:rsidTr="00CB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sz w:val="20"/>
                <w:szCs w:val="20"/>
              </w:rPr>
              <w:t>Linseed oil</w:t>
            </w:r>
          </w:p>
        </w:tc>
        <w:tc>
          <w:tcPr>
            <w:tcW w:w="1134"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3</w:t>
            </w:r>
            <w:r w:rsidR="00935774" w:rsidRPr="001025ED">
              <w:rPr>
                <w:rFonts w:cs="Arial"/>
                <w:sz w:val="20"/>
                <w:szCs w:val="20"/>
                <w:vertAlign w:val="superscript"/>
              </w:rPr>
              <w:t>#</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2</w:t>
            </w:r>
            <w:r w:rsidR="00E42126" w:rsidRPr="001025ED">
              <w:rPr>
                <w:rFonts w:cs="Arial"/>
                <w:sz w:val="20"/>
                <w:szCs w:val="20"/>
                <w:vertAlign w:val="superscript"/>
              </w:rPr>
              <w:t>#</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NC</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NC</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NC</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NC</w:t>
            </w:r>
          </w:p>
        </w:tc>
      </w:tr>
      <w:tr w:rsidR="00D33562" w:rsidRPr="00EE5FD4" w:rsidTr="00CB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sz w:val="20"/>
                <w:szCs w:val="20"/>
              </w:rPr>
              <w:t>LSA mix</w:t>
            </w:r>
          </w:p>
        </w:tc>
        <w:tc>
          <w:tcPr>
            <w:tcW w:w="1134"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20</w:t>
            </w:r>
            <w:r w:rsidR="00935774" w:rsidRPr="001025ED">
              <w:rPr>
                <w:rFonts w:cs="Arial"/>
                <w:sz w:val="20"/>
                <w:szCs w:val="20"/>
                <w:vertAlign w:val="superscript"/>
              </w:rPr>
              <w:t>#</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10</w:t>
            </w:r>
            <w:r w:rsidR="00E42126" w:rsidRPr="001025ED">
              <w:rPr>
                <w:rFonts w:cs="Arial"/>
                <w:sz w:val="20"/>
                <w:szCs w:val="20"/>
                <w:vertAlign w:val="superscript"/>
              </w:rPr>
              <w:t>#</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NC</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NC</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NC</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NC</w:t>
            </w:r>
          </w:p>
        </w:tc>
      </w:tr>
      <w:tr w:rsidR="00D33562" w:rsidRPr="00EE5FD4" w:rsidTr="00CB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sz w:val="20"/>
                <w:szCs w:val="20"/>
              </w:rPr>
              <w:t>Marzipan</w:t>
            </w:r>
          </w:p>
        </w:tc>
        <w:tc>
          <w:tcPr>
            <w:tcW w:w="1134"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NC</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2</w:t>
            </w:r>
            <w:r w:rsidR="00E42126" w:rsidRPr="001025ED">
              <w:rPr>
                <w:rFonts w:cs="Arial"/>
                <w:sz w:val="20"/>
                <w:szCs w:val="20"/>
                <w:vertAlign w:val="superscript"/>
              </w:rPr>
              <w:t>#</w:t>
            </w:r>
          </w:p>
        </w:tc>
        <w:tc>
          <w:tcPr>
            <w:tcW w:w="992" w:type="dxa"/>
            <w:tcBorders>
              <w:top w:val="none" w:sz="0" w:space="0" w:color="auto"/>
              <w:left w:val="none" w:sz="0" w:space="0" w:color="auto"/>
              <w:bottom w:val="none" w:sz="0" w:space="0" w:color="auto"/>
              <w:right w:val="none" w:sz="0" w:space="0" w:color="auto"/>
            </w:tcBorders>
          </w:tcPr>
          <w:p w:rsidR="00D33562" w:rsidRPr="00EE5FD4" w:rsidRDefault="009504DD"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4</w:t>
            </w:r>
            <w:r w:rsidRPr="009504DD">
              <w:rPr>
                <w:rFonts w:cs="Arial"/>
                <w:sz w:val="20"/>
                <w:szCs w:val="20"/>
                <w:vertAlign w:val="superscript"/>
              </w:rPr>
              <w:t>#</w:t>
            </w:r>
          </w:p>
        </w:tc>
        <w:tc>
          <w:tcPr>
            <w:tcW w:w="992" w:type="dxa"/>
            <w:tcBorders>
              <w:top w:val="none" w:sz="0" w:space="0" w:color="auto"/>
              <w:left w:val="none" w:sz="0" w:space="0" w:color="auto"/>
              <w:bottom w:val="none" w:sz="0" w:space="0" w:color="auto"/>
              <w:right w:val="none" w:sz="0" w:space="0" w:color="auto"/>
            </w:tcBorders>
          </w:tcPr>
          <w:p w:rsidR="00D33562" w:rsidRPr="00EE5FD4" w:rsidRDefault="009504DD"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NC</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NC</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NC</w:t>
            </w:r>
          </w:p>
        </w:tc>
      </w:tr>
      <w:tr w:rsidR="00D33562" w:rsidRPr="00EE5FD4" w:rsidTr="00CB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sz w:val="20"/>
                <w:szCs w:val="20"/>
              </w:rPr>
              <w:t>Passionfruit</w:t>
            </w:r>
          </w:p>
        </w:tc>
        <w:tc>
          <w:tcPr>
            <w:tcW w:w="1134"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20</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10</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6</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8</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9</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4</w:t>
            </w:r>
          </w:p>
        </w:tc>
      </w:tr>
      <w:tr w:rsidR="00D33562" w:rsidRPr="00EE5FD4" w:rsidTr="00CB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sz w:val="20"/>
                <w:szCs w:val="20"/>
              </w:rPr>
              <w:t>Prune juice</w:t>
            </w:r>
          </w:p>
        </w:tc>
        <w:tc>
          <w:tcPr>
            <w:tcW w:w="1134"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40</w:t>
            </w:r>
            <w:r w:rsidR="00935774" w:rsidRPr="001025ED">
              <w:rPr>
                <w:rFonts w:cs="Arial"/>
                <w:sz w:val="20"/>
                <w:szCs w:val="20"/>
                <w:vertAlign w:val="superscript"/>
              </w:rPr>
              <w:t>#</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20</w:t>
            </w:r>
            <w:r w:rsidR="00E42126" w:rsidRPr="001025ED">
              <w:rPr>
                <w:rFonts w:cs="Arial"/>
                <w:sz w:val="20"/>
                <w:szCs w:val="20"/>
                <w:vertAlign w:val="superscript"/>
              </w:rPr>
              <w:t>#</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35</w:t>
            </w:r>
            <w:r w:rsidR="00E42126" w:rsidRPr="001025ED">
              <w:rPr>
                <w:rFonts w:cs="Arial"/>
                <w:sz w:val="20"/>
                <w:szCs w:val="20"/>
                <w:vertAlign w:val="superscript"/>
              </w:rPr>
              <w:t>#</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NC</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NC</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15</w:t>
            </w:r>
            <w:r w:rsidR="00BC2495" w:rsidRPr="001025ED">
              <w:rPr>
                <w:rFonts w:cs="Arial"/>
                <w:sz w:val="20"/>
                <w:szCs w:val="20"/>
                <w:vertAlign w:val="superscript"/>
              </w:rPr>
              <w:t>#</w:t>
            </w:r>
          </w:p>
        </w:tc>
      </w:tr>
      <w:tr w:rsidR="00D33562" w:rsidRPr="00EE5FD4" w:rsidTr="00CB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sz w:val="20"/>
                <w:szCs w:val="20"/>
              </w:rPr>
              <w:t>Pumpkin seed</w:t>
            </w:r>
            <w:r w:rsidR="008D3D85">
              <w:rPr>
                <w:rFonts w:cs="Arial"/>
                <w:sz w:val="20"/>
                <w:szCs w:val="20"/>
              </w:rPr>
              <w:t>s</w:t>
            </w:r>
          </w:p>
        </w:tc>
        <w:tc>
          <w:tcPr>
            <w:tcW w:w="1134"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&lt;1</w:t>
            </w:r>
            <w:r w:rsidR="00935774" w:rsidRPr="001025ED">
              <w:rPr>
                <w:rFonts w:cs="Arial"/>
                <w:sz w:val="20"/>
                <w:szCs w:val="20"/>
                <w:vertAlign w:val="superscript"/>
              </w:rPr>
              <w:t>#</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&lt;1</w:t>
            </w:r>
            <w:r w:rsidR="00E42126" w:rsidRPr="001025ED">
              <w:rPr>
                <w:rFonts w:cs="Arial"/>
                <w:sz w:val="20"/>
                <w:szCs w:val="20"/>
                <w:vertAlign w:val="superscript"/>
              </w:rPr>
              <w:t>#</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NC</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2</w:t>
            </w:r>
            <w:r w:rsidR="00530C67" w:rsidRPr="00530C67">
              <w:rPr>
                <w:rFonts w:cs="Arial"/>
                <w:sz w:val="20"/>
                <w:szCs w:val="20"/>
                <w:vertAlign w:val="superscript"/>
              </w:rPr>
              <w:t>#</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&lt;1</w:t>
            </w:r>
            <w:r w:rsidR="00DF17EC" w:rsidRPr="001025ED">
              <w:rPr>
                <w:rFonts w:cs="Arial"/>
                <w:sz w:val="20"/>
                <w:szCs w:val="20"/>
                <w:vertAlign w:val="superscript"/>
              </w:rPr>
              <w:t>#</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NC</w:t>
            </w:r>
          </w:p>
        </w:tc>
      </w:tr>
      <w:tr w:rsidR="00D33562" w:rsidRPr="00EE5FD4" w:rsidTr="00CB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sz w:val="20"/>
                <w:szCs w:val="20"/>
              </w:rPr>
              <w:t>Spinach</w:t>
            </w:r>
          </w:p>
        </w:tc>
        <w:tc>
          <w:tcPr>
            <w:tcW w:w="1134"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50</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25</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9504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25</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2</w:t>
            </w:r>
            <w:r w:rsidR="009504DD" w:rsidRPr="009504DD">
              <w:rPr>
                <w:rFonts w:cs="Arial"/>
                <w:sz w:val="20"/>
                <w:szCs w:val="20"/>
                <w:vertAlign w:val="superscript"/>
              </w:rPr>
              <w:t>#</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20</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15</w:t>
            </w:r>
          </w:p>
        </w:tc>
      </w:tr>
      <w:tr w:rsidR="00D33562" w:rsidRPr="00EE5FD4" w:rsidTr="00CB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sz w:val="20"/>
                <w:szCs w:val="20"/>
              </w:rPr>
              <w:t>Sunflower seed</w:t>
            </w:r>
            <w:r w:rsidR="008D3D85">
              <w:rPr>
                <w:rFonts w:cs="Arial"/>
                <w:sz w:val="20"/>
                <w:szCs w:val="20"/>
              </w:rPr>
              <w:t>s</w:t>
            </w:r>
          </w:p>
        </w:tc>
        <w:tc>
          <w:tcPr>
            <w:tcW w:w="1134"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3</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2</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1</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2</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&lt;1</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1</w:t>
            </w:r>
          </w:p>
        </w:tc>
      </w:tr>
      <w:tr w:rsidR="00D33562" w:rsidRPr="00EE5FD4" w:rsidTr="00CB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sz w:val="20"/>
                <w:szCs w:val="20"/>
              </w:rPr>
              <w:t>Taro in mixed foods</w:t>
            </w:r>
          </w:p>
        </w:tc>
        <w:tc>
          <w:tcPr>
            <w:tcW w:w="1134"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NC</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NC</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NC</w:t>
            </w:r>
          </w:p>
        </w:tc>
        <w:tc>
          <w:tcPr>
            <w:tcW w:w="992" w:type="dxa"/>
            <w:tcBorders>
              <w:top w:val="none" w:sz="0" w:space="0" w:color="auto"/>
              <w:left w:val="none" w:sz="0" w:space="0" w:color="auto"/>
              <w:bottom w:val="none" w:sz="0" w:space="0" w:color="auto"/>
              <w:right w:val="none" w:sz="0" w:space="0" w:color="auto"/>
            </w:tcBorders>
          </w:tcPr>
          <w:p w:rsidR="00D33562" w:rsidRPr="00EE5FD4" w:rsidRDefault="008D3D85"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15</w:t>
            </w:r>
            <w:r w:rsidR="009504DD" w:rsidRPr="009504DD">
              <w:rPr>
                <w:rFonts w:cs="Arial"/>
                <w:sz w:val="20"/>
                <w:szCs w:val="20"/>
                <w:vertAlign w:val="superscript"/>
              </w:rPr>
              <w:t>#</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8</w:t>
            </w:r>
            <w:r w:rsidR="00DF17EC" w:rsidRPr="001025ED">
              <w:rPr>
                <w:rFonts w:cs="Arial"/>
                <w:sz w:val="20"/>
                <w:szCs w:val="20"/>
                <w:vertAlign w:val="superscript"/>
              </w:rPr>
              <w:t>#</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15</w:t>
            </w:r>
            <w:r w:rsidR="00BC2495" w:rsidRPr="001025ED">
              <w:rPr>
                <w:rFonts w:cs="Arial"/>
                <w:sz w:val="20"/>
                <w:szCs w:val="20"/>
                <w:vertAlign w:val="superscript"/>
              </w:rPr>
              <w:t>#</w:t>
            </w:r>
          </w:p>
        </w:tc>
      </w:tr>
      <w:tr w:rsidR="00D33562" w:rsidRPr="00EE5FD4" w:rsidTr="00CB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sz w:val="20"/>
                <w:szCs w:val="20"/>
              </w:rPr>
              <w:t>Taro</w:t>
            </w:r>
            <w:r w:rsidR="008D3D85">
              <w:rPr>
                <w:rFonts w:cs="Arial"/>
                <w:sz w:val="20"/>
                <w:szCs w:val="20"/>
              </w:rPr>
              <w:t>,</w:t>
            </w:r>
            <w:r w:rsidRPr="00EE5FD4">
              <w:rPr>
                <w:rFonts w:cs="Arial"/>
                <w:sz w:val="20"/>
                <w:szCs w:val="20"/>
              </w:rPr>
              <w:t xml:space="preserve"> leaves only</w:t>
            </w:r>
          </w:p>
        </w:tc>
        <w:tc>
          <w:tcPr>
            <w:tcW w:w="1134"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NC</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NC</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NC</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15</w:t>
            </w:r>
            <w:r w:rsidR="00530C67" w:rsidRPr="00530C67">
              <w:rPr>
                <w:rFonts w:cs="Arial"/>
                <w:sz w:val="20"/>
                <w:szCs w:val="20"/>
                <w:vertAlign w:val="superscript"/>
              </w:rPr>
              <w:t>#</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9</w:t>
            </w:r>
            <w:r w:rsidR="00DF17EC" w:rsidRPr="001025ED">
              <w:rPr>
                <w:rFonts w:cs="Arial"/>
                <w:sz w:val="20"/>
                <w:szCs w:val="20"/>
                <w:vertAlign w:val="superscript"/>
              </w:rPr>
              <w:t>#</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E5FD4">
              <w:rPr>
                <w:rFonts w:cs="Arial"/>
                <w:sz w:val="20"/>
                <w:szCs w:val="20"/>
              </w:rPr>
              <w:t>5</w:t>
            </w:r>
            <w:r w:rsidR="00BC2495" w:rsidRPr="001025ED">
              <w:rPr>
                <w:rFonts w:cs="Arial"/>
                <w:sz w:val="20"/>
                <w:szCs w:val="20"/>
                <w:vertAlign w:val="superscript"/>
              </w:rPr>
              <w:t>#</w:t>
            </w:r>
          </w:p>
        </w:tc>
      </w:tr>
      <w:tr w:rsidR="00D33562" w:rsidRPr="00EE5FD4" w:rsidTr="00CB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EE5FD4">
              <w:rPr>
                <w:rFonts w:cs="Arial"/>
                <w:sz w:val="20"/>
                <w:szCs w:val="20"/>
              </w:rPr>
              <w:t>Vine leaves, stuffed, canned</w:t>
            </w:r>
          </w:p>
        </w:tc>
        <w:tc>
          <w:tcPr>
            <w:tcW w:w="1134"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65</w:t>
            </w:r>
            <w:r w:rsidR="00935774" w:rsidRPr="001025ED">
              <w:rPr>
                <w:rFonts w:cs="Arial"/>
                <w:sz w:val="20"/>
                <w:szCs w:val="20"/>
                <w:vertAlign w:val="superscript"/>
              </w:rPr>
              <w:t>#</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25</w:t>
            </w:r>
            <w:r w:rsidR="00E42126" w:rsidRPr="001025ED">
              <w:rPr>
                <w:rFonts w:cs="Arial"/>
                <w:sz w:val="20"/>
                <w:szCs w:val="20"/>
                <w:vertAlign w:val="superscript"/>
              </w:rPr>
              <w:t>#</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8</w:t>
            </w:r>
            <w:r w:rsidR="00E42126" w:rsidRPr="001025ED">
              <w:rPr>
                <w:rFonts w:cs="Arial"/>
                <w:sz w:val="20"/>
                <w:szCs w:val="20"/>
                <w:vertAlign w:val="superscript"/>
              </w:rPr>
              <w:t>#</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NC</w:t>
            </w:r>
          </w:p>
        </w:tc>
        <w:tc>
          <w:tcPr>
            <w:tcW w:w="992"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NC</w:t>
            </w:r>
          </w:p>
        </w:tc>
        <w:tc>
          <w:tcPr>
            <w:tcW w:w="993" w:type="dxa"/>
            <w:tcBorders>
              <w:top w:val="none" w:sz="0" w:space="0" w:color="auto"/>
              <w:left w:val="none" w:sz="0" w:space="0" w:color="auto"/>
              <w:bottom w:val="none" w:sz="0" w:space="0" w:color="auto"/>
              <w:right w:val="none" w:sz="0" w:space="0" w:color="auto"/>
            </w:tcBorders>
          </w:tcPr>
          <w:p w:rsidR="00D33562" w:rsidRPr="00EE5FD4" w:rsidRDefault="00D33562" w:rsidP="0082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E5FD4">
              <w:rPr>
                <w:rFonts w:cs="Arial"/>
                <w:sz w:val="20"/>
                <w:szCs w:val="20"/>
              </w:rPr>
              <w:t>NC</w:t>
            </w:r>
          </w:p>
        </w:tc>
      </w:tr>
    </w:tbl>
    <w:p w:rsidR="00D33562" w:rsidRPr="00EE5FD4" w:rsidRDefault="00D33562"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EE5FD4">
        <w:rPr>
          <w:rFonts w:cs="Arial"/>
          <w:sz w:val="18"/>
          <w:szCs w:val="18"/>
        </w:rPr>
        <w:t>NC = not consumed.</w:t>
      </w:r>
    </w:p>
    <w:p w:rsidR="00D33562" w:rsidRPr="00EE5FD4" w:rsidRDefault="00D33562"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EE5FD4">
        <w:rPr>
          <w:rFonts w:cs="Arial"/>
          <w:sz w:val="18"/>
          <w:szCs w:val="18"/>
        </w:rPr>
        <w:t>NA = not applicable. Dietary exposure assessments not conducted for children for this food.</w:t>
      </w:r>
    </w:p>
    <w:p w:rsidR="00D33562" w:rsidRDefault="00D33562"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EE5FD4">
        <w:rPr>
          <w:rFonts w:cs="Arial"/>
          <w:sz w:val="18"/>
          <w:szCs w:val="18"/>
        </w:rPr>
        <w:t>* ARfD = 80 µg HCN/kg bw (FSANZ, 2008).</w:t>
      </w:r>
    </w:p>
    <w:p w:rsidR="00935774" w:rsidRPr="00EE5FD4" w:rsidRDefault="00935774" w:rsidP="00D33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1025ED">
        <w:rPr>
          <w:rFonts w:cs="Arial"/>
          <w:sz w:val="18"/>
          <w:szCs w:val="18"/>
          <w:vertAlign w:val="superscript"/>
        </w:rPr>
        <w:t>#</w:t>
      </w:r>
      <w:r>
        <w:rPr>
          <w:rFonts w:cs="Arial"/>
          <w:sz w:val="18"/>
          <w:szCs w:val="18"/>
        </w:rPr>
        <w:t xml:space="preserve"> P50</w:t>
      </w:r>
      <w:r w:rsidR="00EB39B2">
        <w:rPr>
          <w:rFonts w:cs="Arial"/>
          <w:sz w:val="18"/>
          <w:szCs w:val="18"/>
        </w:rPr>
        <w:t xml:space="preserve"> Median </w:t>
      </w:r>
      <w:r w:rsidR="007477F3">
        <w:rPr>
          <w:rFonts w:cs="Arial"/>
          <w:sz w:val="18"/>
          <w:szCs w:val="18"/>
        </w:rPr>
        <w:t>c</w:t>
      </w:r>
      <w:r>
        <w:rPr>
          <w:rFonts w:cs="Arial"/>
          <w:sz w:val="18"/>
          <w:szCs w:val="18"/>
        </w:rPr>
        <w:t>onsumption level used</w:t>
      </w:r>
      <w:r w:rsidR="00EB39B2">
        <w:rPr>
          <w:rFonts w:cs="Arial"/>
          <w:sz w:val="18"/>
          <w:szCs w:val="18"/>
        </w:rPr>
        <w:t xml:space="preserve"> for consumers only, rather than 97.5</w:t>
      </w:r>
      <w:r w:rsidR="00EB39B2" w:rsidRPr="00EB39B2">
        <w:rPr>
          <w:rFonts w:cs="Arial"/>
          <w:sz w:val="18"/>
          <w:szCs w:val="18"/>
          <w:vertAlign w:val="superscript"/>
        </w:rPr>
        <w:t>th</w:t>
      </w:r>
      <w:r w:rsidR="00EB39B2">
        <w:rPr>
          <w:rFonts w:cs="Arial"/>
          <w:sz w:val="18"/>
          <w:szCs w:val="18"/>
        </w:rPr>
        <w:t xml:space="preserve"> percentile (number of respondents &lt;39)</w:t>
      </w:r>
      <w:r w:rsidR="00E42126">
        <w:rPr>
          <w:rFonts w:cs="Arial"/>
          <w:sz w:val="18"/>
          <w:szCs w:val="18"/>
        </w:rPr>
        <w:t>.</w:t>
      </w:r>
    </w:p>
    <w:p w:rsidR="00062AB2" w:rsidRPr="00966234" w:rsidRDefault="00062AB2" w:rsidP="00062A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BB153A">
        <w:rPr>
          <w:rFonts w:cs="Arial"/>
          <w:sz w:val="18"/>
          <w:szCs w:val="18"/>
          <w:vertAlign w:val="superscript"/>
        </w:rPr>
        <w:t xml:space="preserve">a </w:t>
      </w:r>
      <w:r w:rsidRPr="00966234">
        <w:rPr>
          <w:rFonts w:cs="Arial"/>
          <w:sz w:val="18"/>
          <w:szCs w:val="18"/>
        </w:rPr>
        <w:t>Survey 2, EU method</w:t>
      </w:r>
      <w:r w:rsidR="00BB153A">
        <w:rPr>
          <w:rFonts w:cs="Arial"/>
          <w:sz w:val="18"/>
          <w:szCs w:val="18"/>
        </w:rPr>
        <w:t>.</w:t>
      </w:r>
    </w:p>
    <w:p w:rsidR="00062AB2" w:rsidRPr="00966234" w:rsidRDefault="00062AB2" w:rsidP="00062A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BB153A">
        <w:rPr>
          <w:rFonts w:cs="Arial"/>
          <w:sz w:val="18"/>
          <w:szCs w:val="18"/>
          <w:vertAlign w:val="superscript"/>
        </w:rPr>
        <w:t>b</w:t>
      </w:r>
      <w:r w:rsidRPr="00966234">
        <w:rPr>
          <w:rFonts w:cs="Arial"/>
          <w:sz w:val="18"/>
          <w:szCs w:val="18"/>
        </w:rPr>
        <w:t xml:space="preserve"> Survey 1</w:t>
      </w:r>
      <w:r w:rsidR="00BB153A">
        <w:rPr>
          <w:rFonts w:cs="Arial"/>
          <w:sz w:val="18"/>
          <w:szCs w:val="18"/>
        </w:rPr>
        <w:t>.</w:t>
      </w:r>
    </w:p>
    <w:p w:rsidR="00062AB2" w:rsidRPr="00966234" w:rsidRDefault="00062AB2" w:rsidP="00062A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BB153A">
        <w:rPr>
          <w:rFonts w:cs="Arial"/>
          <w:sz w:val="18"/>
          <w:szCs w:val="18"/>
          <w:vertAlign w:val="superscript"/>
        </w:rPr>
        <w:t>c</w:t>
      </w:r>
      <w:r w:rsidRPr="00966234">
        <w:rPr>
          <w:rFonts w:cs="Arial"/>
          <w:sz w:val="18"/>
          <w:szCs w:val="18"/>
        </w:rPr>
        <w:t xml:space="preserve"> Survey 3, sweet </w:t>
      </w:r>
      <w:r w:rsidR="00E372B6">
        <w:rPr>
          <w:rFonts w:cs="Arial"/>
          <w:sz w:val="18"/>
          <w:szCs w:val="18"/>
        </w:rPr>
        <w:t xml:space="preserve">cassava </w:t>
      </w:r>
      <w:r w:rsidRPr="00966234">
        <w:rPr>
          <w:rFonts w:cs="Arial"/>
          <w:sz w:val="18"/>
          <w:szCs w:val="18"/>
        </w:rPr>
        <w:t>only</w:t>
      </w:r>
      <w:r w:rsidR="00BB153A">
        <w:rPr>
          <w:rFonts w:cs="Arial"/>
          <w:sz w:val="18"/>
          <w:szCs w:val="18"/>
        </w:rPr>
        <w:t>.</w:t>
      </w:r>
    </w:p>
    <w:p w:rsidR="003F1E1D" w:rsidRDefault="003F1E1D" w:rsidP="003F1E1D">
      <w:pPr>
        <w:rPr>
          <w:i/>
        </w:rPr>
      </w:pPr>
    </w:p>
    <w:p w:rsidR="001E32B2" w:rsidRPr="001E32B2" w:rsidRDefault="001E32B2" w:rsidP="003F1E1D"/>
    <w:p w:rsidR="002C79BD" w:rsidRDefault="002C79BD">
      <w:pPr>
        <w:spacing w:after="200" w:line="276" w:lineRule="auto"/>
        <w:rPr>
          <w:i/>
        </w:rPr>
      </w:pPr>
      <w:r>
        <w:rPr>
          <w:i/>
        </w:rPr>
        <w:br w:type="page"/>
      </w:r>
    </w:p>
    <w:p w:rsidR="00D75B52" w:rsidRDefault="00D75B52" w:rsidP="00D75B52">
      <w:pPr>
        <w:rPr>
          <w:i/>
        </w:rPr>
      </w:pPr>
    </w:p>
    <w:p w:rsidR="002B32A7" w:rsidRPr="00D75B52" w:rsidRDefault="002B32A7" w:rsidP="00D75B52">
      <w:pPr>
        <w:rPr>
          <w:i/>
        </w:rPr>
      </w:pPr>
      <w:r w:rsidRPr="00D75B52">
        <w:rPr>
          <w:i/>
        </w:rPr>
        <w:t>Cassava roots</w:t>
      </w:r>
    </w:p>
    <w:p w:rsidR="00D75B52" w:rsidRDefault="00D75B52" w:rsidP="002B32A7">
      <w:pPr>
        <w:rPr>
          <w:rFonts w:cs="Arial"/>
          <w:szCs w:val="22"/>
        </w:rPr>
      </w:pPr>
    </w:p>
    <w:p w:rsidR="002B32A7" w:rsidRDefault="00BC4275" w:rsidP="002B32A7">
      <w:pPr>
        <w:rPr>
          <w:rFonts w:cs="Arial"/>
          <w:szCs w:val="22"/>
        </w:rPr>
      </w:pPr>
      <w:r>
        <w:rPr>
          <w:rFonts w:cs="Arial"/>
          <w:szCs w:val="22"/>
        </w:rPr>
        <w:t>A</w:t>
      </w:r>
      <w:r w:rsidR="002B32A7">
        <w:rPr>
          <w:rFonts w:cs="Arial"/>
          <w:szCs w:val="22"/>
        </w:rPr>
        <w:t xml:space="preserve">cute dietary </w:t>
      </w:r>
      <w:r w:rsidR="002B32A7" w:rsidRPr="00863370">
        <w:rPr>
          <w:rFonts w:cs="Arial"/>
          <w:szCs w:val="22"/>
        </w:rPr>
        <w:t>exposure estimates fell below the ARfD except for the New Zealand adult population</w:t>
      </w:r>
      <w:r w:rsidR="002B32A7">
        <w:rPr>
          <w:rFonts w:cs="Arial"/>
          <w:szCs w:val="22"/>
        </w:rPr>
        <w:t>, which was at 100% of the ARfD (Table 13</w:t>
      </w:r>
      <w:r w:rsidR="007477F3">
        <w:rPr>
          <w:rFonts w:cs="Arial"/>
          <w:szCs w:val="22"/>
        </w:rPr>
        <w:t>)</w:t>
      </w:r>
      <w:r w:rsidR="009F4662">
        <w:rPr>
          <w:rFonts w:cs="Arial"/>
          <w:szCs w:val="22"/>
        </w:rPr>
        <w:t>, based on</w:t>
      </w:r>
      <w:r w:rsidR="002B32A7">
        <w:rPr>
          <w:rFonts w:cs="Arial"/>
          <w:szCs w:val="22"/>
        </w:rPr>
        <w:t xml:space="preserve"> </w:t>
      </w:r>
      <w:r w:rsidR="002B32A7" w:rsidRPr="007477F3">
        <w:rPr>
          <w:rFonts w:cs="Arial"/>
          <w:szCs w:val="22"/>
        </w:rPr>
        <w:t>median</w:t>
      </w:r>
      <w:r w:rsidR="002B32A7">
        <w:rPr>
          <w:rFonts w:cs="Arial"/>
          <w:szCs w:val="22"/>
        </w:rPr>
        <w:t xml:space="preserve"> levels of consumption</w:t>
      </w:r>
      <w:r w:rsidR="009F4662">
        <w:rPr>
          <w:rFonts w:cs="Arial"/>
          <w:szCs w:val="22"/>
        </w:rPr>
        <w:t xml:space="preserve"> for consumers of cassava</w:t>
      </w:r>
      <w:r w:rsidR="002B32A7">
        <w:rPr>
          <w:rFonts w:cs="Arial"/>
          <w:szCs w:val="22"/>
        </w:rPr>
        <w:t xml:space="preserve">. </w:t>
      </w:r>
    </w:p>
    <w:p w:rsidR="002B32A7" w:rsidRDefault="002B32A7" w:rsidP="002B32A7">
      <w:pPr>
        <w:rPr>
          <w:rFonts w:cs="Arial"/>
          <w:szCs w:val="22"/>
        </w:rPr>
      </w:pPr>
    </w:p>
    <w:p w:rsidR="002C79BD" w:rsidRDefault="002B32A7" w:rsidP="002B32A7">
      <w:pPr>
        <w:rPr>
          <w:rFonts w:eastAsia="Calibri"/>
          <w:szCs w:val="22"/>
          <w:lang w:val="en-GB" w:eastAsia="en-US"/>
        </w:rPr>
      </w:pPr>
      <w:r>
        <w:rPr>
          <w:rFonts w:cs="Arial"/>
          <w:szCs w:val="22"/>
        </w:rPr>
        <w:t xml:space="preserve">Based on the maximum consumption amount of cassava reported by New Zealand adults in the 1997 NNS of approximately 220 g per day, back calculations were </w:t>
      </w:r>
      <w:r w:rsidR="007D2AAA">
        <w:rPr>
          <w:rFonts w:cs="Arial"/>
          <w:szCs w:val="22"/>
        </w:rPr>
        <w:t xml:space="preserve">also </w:t>
      </w:r>
      <w:r>
        <w:rPr>
          <w:rFonts w:cs="Arial"/>
          <w:szCs w:val="22"/>
        </w:rPr>
        <w:t xml:space="preserve">undertaken to determine the %ARfD reached at different concentrations of HCN. Table </w:t>
      </w:r>
      <w:r w:rsidR="00D75B52">
        <w:rPr>
          <w:rFonts w:cs="Arial"/>
          <w:szCs w:val="22"/>
        </w:rPr>
        <w:t>14</w:t>
      </w:r>
      <w:r>
        <w:rPr>
          <w:rFonts w:cs="Arial"/>
          <w:szCs w:val="22"/>
        </w:rPr>
        <w:t xml:space="preserve"> indicates that </w:t>
      </w:r>
      <w:r w:rsidRPr="003D4158">
        <w:rPr>
          <w:rFonts w:eastAsia="Calibri"/>
          <w:szCs w:val="22"/>
          <w:lang w:val="en-GB" w:eastAsia="en-US"/>
        </w:rPr>
        <w:t xml:space="preserve">cooked cassava with concentrations of </w:t>
      </w:r>
      <w:r>
        <w:rPr>
          <w:rFonts w:eastAsia="Calibri"/>
          <w:szCs w:val="22"/>
          <w:lang w:val="en-GB" w:eastAsia="en-US"/>
        </w:rPr>
        <w:t xml:space="preserve">total </w:t>
      </w:r>
      <w:r w:rsidRPr="003D4158">
        <w:rPr>
          <w:rFonts w:eastAsia="Calibri"/>
          <w:szCs w:val="22"/>
          <w:lang w:val="en-GB" w:eastAsia="en-US"/>
        </w:rPr>
        <w:t xml:space="preserve">HCN </w:t>
      </w:r>
      <w:r>
        <w:rPr>
          <w:rFonts w:eastAsia="Calibri"/>
          <w:szCs w:val="22"/>
          <w:lang w:val="en-GB" w:eastAsia="en-US"/>
        </w:rPr>
        <w:t>approaching</w:t>
      </w:r>
      <w:r w:rsidRPr="003D4158">
        <w:rPr>
          <w:rFonts w:eastAsia="Calibri"/>
          <w:szCs w:val="22"/>
          <w:lang w:val="en-GB" w:eastAsia="en-US"/>
        </w:rPr>
        <w:t xml:space="preserve"> </w:t>
      </w:r>
      <w:r>
        <w:rPr>
          <w:rFonts w:eastAsia="Calibri"/>
          <w:szCs w:val="22"/>
          <w:lang w:val="en-GB" w:eastAsia="en-US"/>
        </w:rPr>
        <w:t>30</w:t>
      </w:r>
      <w:r w:rsidRPr="003D4158">
        <w:rPr>
          <w:rFonts w:eastAsia="Calibri"/>
          <w:szCs w:val="22"/>
          <w:lang w:val="en-GB" w:eastAsia="en-US"/>
        </w:rPr>
        <w:t xml:space="preserve"> mg</w:t>
      </w:r>
      <w:r>
        <w:rPr>
          <w:rFonts w:eastAsia="Calibri"/>
          <w:szCs w:val="22"/>
          <w:lang w:val="en-GB" w:eastAsia="en-US"/>
        </w:rPr>
        <w:t xml:space="preserve"> HCN</w:t>
      </w:r>
      <w:r w:rsidRPr="003D4158">
        <w:rPr>
          <w:rFonts w:eastAsia="Calibri"/>
          <w:szCs w:val="22"/>
          <w:lang w:val="en-GB" w:eastAsia="en-US"/>
        </w:rPr>
        <w:t>/kg leads to</w:t>
      </w:r>
      <w:r>
        <w:rPr>
          <w:rFonts w:eastAsia="Calibri"/>
          <w:szCs w:val="22"/>
          <w:lang w:val="en-GB" w:eastAsia="en-US"/>
        </w:rPr>
        <w:t xml:space="preserve"> acute dietary</w:t>
      </w:r>
      <w:r w:rsidRPr="003D4158">
        <w:rPr>
          <w:rFonts w:eastAsia="Calibri"/>
          <w:szCs w:val="22"/>
          <w:lang w:val="en-GB" w:eastAsia="en-US"/>
        </w:rPr>
        <w:t xml:space="preserve"> exposure estimates </w:t>
      </w:r>
      <w:r>
        <w:rPr>
          <w:rFonts w:eastAsia="Calibri"/>
          <w:szCs w:val="22"/>
          <w:lang w:val="en-GB" w:eastAsia="en-US"/>
        </w:rPr>
        <w:t>that exceed</w:t>
      </w:r>
      <w:r w:rsidRPr="003D4158">
        <w:rPr>
          <w:rFonts w:eastAsia="Calibri"/>
          <w:szCs w:val="22"/>
          <w:lang w:val="en-GB" w:eastAsia="en-US"/>
        </w:rPr>
        <w:t xml:space="preserve"> the ARfD. </w:t>
      </w:r>
      <w:r>
        <w:rPr>
          <w:rFonts w:eastAsia="Calibri"/>
          <w:szCs w:val="22"/>
          <w:lang w:val="en-GB" w:eastAsia="en-US"/>
        </w:rPr>
        <w:t xml:space="preserve">The mean reduction of HCN upon cooking was 56%, with a range of 28-83%. If the per cent HCN reduction is at the lower end of this range, it is possible that a concentration of 30 mg HCN/kg in cooked cassava </w:t>
      </w:r>
      <w:r w:rsidR="00BF154C">
        <w:rPr>
          <w:rFonts w:eastAsia="Calibri"/>
          <w:szCs w:val="22"/>
          <w:lang w:val="en-GB" w:eastAsia="en-US"/>
        </w:rPr>
        <w:t xml:space="preserve">(and thus an exceedance of the ARfD) </w:t>
      </w:r>
      <w:r>
        <w:rPr>
          <w:rFonts w:eastAsia="Calibri"/>
          <w:szCs w:val="22"/>
          <w:lang w:val="en-GB" w:eastAsia="en-US"/>
        </w:rPr>
        <w:t xml:space="preserve">could occur in cases where the raw cassava contained just below the maximum level of 50 mg total HCN/kg permitted in regulations. </w:t>
      </w:r>
    </w:p>
    <w:p w:rsidR="002B32A7" w:rsidRPr="003D4158" w:rsidRDefault="002B32A7" w:rsidP="002B32A7">
      <w:pPr>
        <w:pStyle w:val="Heading3LT"/>
        <w:rPr>
          <w:rFonts w:eastAsia="Calibri"/>
          <w:lang w:val="en-GB" w:eastAsia="en-US"/>
        </w:rPr>
      </w:pPr>
      <w:bookmarkStart w:id="162" w:name="_Toc384293560"/>
      <w:r w:rsidRPr="003D4158">
        <w:rPr>
          <w:rFonts w:eastAsia="Calibri"/>
          <w:lang w:val="en-GB" w:eastAsia="en-US"/>
        </w:rPr>
        <w:t xml:space="preserve">Table </w:t>
      </w:r>
      <w:r w:rsidR="00D75B52">
        <w:rPr>
          <w:rFonts w:eastAsia="Calibri"/>
          <w:lang w:val="en-GB" w:eastAsia="en-US"/>
        </w:rPr>
        <w:t>14</w:t>
      </w:r>
      <w:r w:rsidRPr="003D4158">
        <w:rPr>
          <w:rFonts w:eastAsia="Calibri"/>
          <w:lang w:val="en-GB" w:eastAsia="en-US"/>
        </w:rPr>
        <w:t xml:space="preserve">: %ARfD reached at different concentrations of </w:t>
      </w:r>
      <w:r>
        <w:rPr>
          <w:rFonts w:eastAsia="Calibri"/>
          <w:lang w:val="en-GB" w:eastAsia="en-US"/>
        </w:rPr>
        <w:t xml:space="preserve">total </w:t>
      </w:r>
      <w:r w:rsidRPr="003D4158">
        <w:rPr>
          <w:rFonts w:eastAsia="Calibri"/>
          <w:lang w:val="en-GB" w:eastAsia="en-US"/>
        </w:rPr>
        <w:t>HCN in cooked cassava roots*</w:t>
      </w:r>
      <w:bookmarkEnd w:id="162"/>
      <w:r w:rsidRPr="003D4158">
        <w:rPr>
          <w:rFonts w:eastAsia="Calibri"/>
          <w:lang w:val="en-GB" w:eastAsia="en-US"/>
        </w:rPr>
        <w:t xml:space="preserve"> </w:t>
      </w:r>
    </w:p>
    <w:tbl>
      <w:tblPr>
        <w:tblStyle w:val="LightList-Accent11"/>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firstRow="1" w:lastRow="0" w:firstColumn="1" w:lastColumn="0" w:noHBand="0" w:noVBand="1"/>
      </w:tblPr>
      <w:tblGrid>
        <w:gridCol w:w="4644"/>
        <w:gridCol w:w="4962"/>
      </w:tblGrid>
      <w:tr w:rsidR="002B32A7" w:rsidRPr="00905CD2" w:rsidTr="000C26F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44" w:type="dxa"/>
            <w:noWrap/>
            <w:hideMark/>
          </w:tcPr>
          <w:p w:rsidR="002B32A7" w:rsidRPr="00905CD2" w:rsidRDefault="002B32A7" w:rsidP="000C26F1">
            <w:pPr>
              <w:jc w:val="center"/>
              <w:rPr>
                <w:rFonts w:eastAsia="Calibri"/>
                <w:sz w:val="20"/>
                <w:szCs w:val="20"/>
                <w:lang w:val="en-GB" w:eastAsia="en-US"/>
              </w:rPr>
            </w:pPr>
            <w:r w:rsidRPr="00905CD2">
              <w:rPr>
                <w:rFonts w:eastAsia="Calibri"/>
                <w:sz w:val="20"/>
                <w:szCs w:val="20"/>
                <w:lang w:val="en-GB" w:eastAsia="en-US"/>
              </w:rPr>
              <w:t>Concentration in cooked</w:t>
            </w:r>
          </w:p>
          <w:p w:rsidR="002B32A7" w:rsidRPr="00905CD2" w:rsidRDefault="002B32A7" w:rsidP="000C26F1">
            <w:pPr>
              <w:jc w:val="center"/>
              <w:rPr>
                <w:rFonts w:eastAsia="Calibri"/>
                <w:sz w:val="20"/>
                <w:szCs w:val="20"/>
                <w:lang w:val="en-GB" w:eastAsia="en-US"/>
              </w:rPr>
            </w:pPr>
            <w:r w:rsidRPr="00905CD2">
              <w:rPr>
                <w:rFonts w:eastAsia="Calibri"/>
                <w:sz w:val="20"/>
                <w:szCs w:val="20"/>
                <w:lang w:val="en-GB" w:eastAsia="en-US"/>
              </w:rPr>
              <w:t>cassava (mg HCN/kg)</w:t>
            </w:r>
          </w:p>
        </w:tc>
        <w:tc>
          <w:tcPr>
            <w:tcW w:w="4962" w:type="dxa"/>
            <w:noWrap/>
            <w:hideMark/>
          </w:tcPr>
          <w:p w:rsidR="002B32A7" w:rsidRPr="00905CD2" w:rsidRDefault="002B32A7" w:rsidP="000C26F1">
            <w:pPr>
              <w:jc w:val="center"/>
              <w:cnfStyle w:val="100000000000" w:firstRow="1" w:lastRow="0" w:firstColumn="0" w:lastColumn="0" w:oddVBand="0" w:evenVBand="0" w:oddHBand="0" w:evenHBand="0" w:firstRowFirstColumn="0" w:firstRowLastColumn="0" w:lastRowFirstColumn="0" w:lastRowLastColumn="0"/>
              <w:rPr>
                <w:rFonts w:eastAsia="Calibri"/>
                <w:sz w:val="20"/>
                <w:szCs w:val="20"/>
                <w:lang w:val="en-GB" w:eastAsia="en-US"/>
              </w:rPr>
            </w:pPr>
            <w:r w:rsidRPr="00905CD2">
              <w:rPr>
                <w:rFonts w:eastAsia="Calibri"/>
                <w:sz w:val="20"/>
                <w:szCs w:val="20"/>
                <w:lang w:val="en-GB" w:eastAsia="en-US"/>
              </w:rPr>
              <w:t>%ARfD</w:t>
            </w:r>
            <w:r w:rsidRPr="00905CD2">
              <w:rPr>
                <w:rFonts w:eastAsia="Calibri"/>
                <w:sz w:val="20"/>
                <w:szCs w:val="20"/>
                <w:vertAlign w:val="superscript"/>
                <w:lang w:val="en-GB" w:eastAsia="en-US"/>
              </w:rPr>
              <w:t xml:space="preserve"># </w:t>
            </w:r>
          </w:p>
          <w:p w:rsidR="002B32A7" w:rsidRPr="00905CD2" w:rsidRDefault="002B32A7" w:rsidP="000C26F1">
            <w:pPr>
              <w:jc w:val="center"/>
              <w:cnfStyle w:val="100000000000" w:firstRow="1" w:lastRow="0" w:firstColumn="0" w:lastColumn="0" w:oddVBand="0" w:evenVBand="0" w:oddHBand="0" w:evenHBand="0" w:firstRowFirstColumn="0" w:firstRowLastColumn="0" w:lastRowFirstColumn="0" w:lastRowLastColumn="0"/>
              <w:rPr>
                <w:rFonts w:eastAsia="Calibri"/>
                <w:sz w:val="20"/>
                <w:szCs w:val="20"/>
                <w:lang w:val="en-GB" w:eastAsia="en-US"/>
              </w:rPr>
            </w:pPr>
            <w:r w:rsidRPr="00905CD2">
              <w:rPr>
                <w:rFonts w:eastAsia="Calibri"/>
                <w:sz w:val="20"/>
                <w:szCs w:val="20"/>
                <w:lang w:val="en-GB" w:eastAsia="en-US"/>
              </w:rPr>
              <w:t>New Zealand</w:t>
            </w:r>
          </w:p>
          <w:p w:rsidR="002B32A7" w:rsidRPr="00905CD2" w:rsidRDefault="002B32A7" w:rsidP="000C26F1">
            <w:pPr>
              <w:jc w:val="center"/>
              <w:cnfStyle w:val="100000000000" w:firstRow="1" w:lastRow="0" w:firstColumn="0" w:lastColumn="0" w:oddVBand="0" w:evenVBand="0" w:oddHBand="0" w:evenHBand="0" w:firstRowFirstColumn="0" w:firstRowLastColumn="0" w:lastRowFirstColumn="0" w:lastRowLastColumn="0"/>
              <w:rPr>
                <w:rFonts w:eastAsia="Calibri"/>
                <w:sz w:val="20"/>
                <w:szCs w:val="20"/>
                <w:lang w:val="en-GB" w:eastAsia="en-US"/>
              </w:rPr>
            </w:pPr>
            <w:r w:rsidRPr="00905CD2">
              <w:rPr>
                <w:rFonts w:eastAsia="Calibri"/>
                <w:sz w:val="20"/>
                <w:szCs w:val="20"/>
                <w:lang w:val="en-GB" w:eastAsia="en-US"/>
              </w:rPr>
              <w:t xml:space="preserve"> 15 years and above</w:t>
            </w:r>
          </w:p>
        </w:tc>
      </w:tr>
      <w:tr w:rsidR="002B32A7" w:rsidRPr="00905CD2" w:rsidTr="000C26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44" w:type="dxa"/>
            <w:tcBorders>
              <w:top w:val="none" w:sz="0" w:space="0" w:color="auto"/>
              <w:left w:val="none" w:sz="0" w:space="0" w:color="auto"/>
              <w:bottom w:val="none" w:sz="0" w:space="0" w:color="auto"/>
            </w:tcBorders>
            <w:noWrap/>
            <w:hideMark/>
          </w:tcPr>
          <w:p w:rsidR="002B32A7" w:rsidRPr="00905CD2" w:rsidRDefault="002B32A7" w:rsidP="000C26F1">
            <w:pPr>
              <w:jc w:val="center"/>
              <w:rPr>
                <w:rFonts w:eastAsia="Calibri"/>
                <w:iCs/>
                <w:sz w:val="20"/>
                <w:szCs w:val="20"/>
                <w:lang w:val="en-GB" w:eastAsia="en-US"/>
              </w:rPr>
            </w:pPr>
            <w:r w:rsidRPr="00905CD2">
              <w:rPr>
                <w:rFonts w:eastAsia="Calibri"/>
                <w:iCs/>
                <w:sz w:val="20"/>
                <w:szCs w:val="20"/>
                <w:lang w:val="en-GB" w:eastAsia="en-US"/>
              </w:rPr>
              <w:t>15</w:t>
            </w:r>
          </w:p>
        </w:tc>
        <w:tc>
          <w:tcPr>
            <w:tcW w:w="4962" w:type="dxa"/>
            <w:tcBorders>
              <w:top w:val="none" w:sz="0" w:space="0" w:color="auto"/>
              <w:bottom w:val="none" w:sz="0" w:space="0" w:color="auto"/>
              <w:right w:val="none" w:sz="0" w:space="0" w:color="auto"/>
            </w:tcBorders>
            <w:noWrap/>
            <w:hideMark/>
          </w:tcPr>
          <w:p w:rsidR="002B32A7" w:rsidRPr="00905CD2" w:rsidRDefault="002B32A7" w:rsidP="000C26F1">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val="en-GB" w:eastAsia="en-US"/>
              </w:rPr>
            </w:pPr>
            <w:r w:rsidRPr="00905CD2">
              <w:rPr>
                <w:rFonts w:eastAsia="Calibri"/>
                <w:sz w:val="20"/>
                <w:szCs w:val="20"/>
                <w:lang w:val="en-GB" w:eastAsia="en-US"/>
              </w:rPr>
              <w:t>55</w:t>
            </w:r>
          </w:p>
        </w:tc>
      </w:tr>
      <w:tr w:rsidR="002B32A7" w:rsidRPr="00905CD2" w:rsidTr="000C26F1">
        <w:trPr>
          <w:trHeight w:val="300"/>
        </w:trPr>
        <w:tc>
          <w:tcPr>
            <w:cnfStyle w:val="001000000000" w:firstRow="0" w:lastRow="0" w:firstColumn="1" w:lastColumn="0" w:oddVBand="0" w:evenVBand="0" w:oddHBand="0" w:evenHBand="0" w:firstRowFirstColumn="0" w:firstRowLastColumn="0" w:lastRowFirstColumn="0" w:lastRowLastColumn="0"/>
            <w:tcW w:w="4644" w:type="dxa"/>
            <w:noWrap/>
            <w:hideMark/>
          </w:tcPr>
          <w:p w:rsidR="002B32A7" w:rsidRPr="00905CD2" w:rsidRDefault="002B32A7" w:rsidP="000C26F1">
            <w:pPr>
              <w:jc w:val="center"/>
              <w:rPr>
                <w:rFonts w:eastAsia="Calibri"/>
                <w:iCs/>
                <w:sz w:val="20"/>
                <w:szCs w:val="20"/>
                <w:lang w:val="en-GB" w:eastAsia="en-US"/>
              </w:rPr>
            </w:pPr>
            <w:r w:rsidRPr="00905CD2">
              <w:rPr>
                <w:rFonts w:eastAsia="Calibri"/>
                <w:iCs/>
                <w:sz w:val="20"/>
                <w:szCs w:val="20"/>
                <w:lang w:val="en-GB" w:eastAsia="en-US"/>
              </w:rPr>
              <w:t>20</w:t>
            </w:r>
          </w:p>
        </w:tc>
        <w:tc>
          <w:tcPr>
            <w:tcW w:w="4962" w:type="dxa"/>
            <w:noWrap/>
            <w:hideMark/>
          </w:tcPr>
          <w:p w:rsidR="002B32A7" w:rsidRPr="00905CD2" w:rsidRDefault="002B32A7" w:rsidP="000C26F1">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val="en-GB" w:eastAsia="en-US"/>
              </w:rPr>
            </w:pPr>
            <w:r w:rsidRPr="00905CD2">
              <w:rPr>
                <w:rFonts w:eastAsia="Calibri"/>
                <w:sz w:val="20"/>
                <w:szCs w:val="20"/>
                <w:lang w:val="en-GB" w:eastAsia="en-US"/>
              </w:rPr>
              <w:t>75</w:t>
            </w:r>
          </w:p>
        </w:tc>
      </w:tr>
      <w:tr w:rsidR="002B32A7" w:rsidRPr="00905CD2" w:rsidTr="000C26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44" w:type="dxa"/>
            <w:tcBorders>
              <w:top w:val="none" w:sz="0" w:space="0" w:color="auto"/>
              <w:left w:val="none" w:sz="0" w:space="0" w:color="auto"/>
              <w:bottom w:val="none" w:sz="0" w:space="0" w:color="auto"/>
            </w:tcBorders>
            <w:noWrap/>
            <w:hideMark/>
          </w:tcPr>
          <w:p w:rsidR="002B32A7" w:rsidRPr="00905CD2" w:rsidRDefault="002B32A7" w:rsidP="000C26F1">
            <w:pPr>
              <w:jc w:val="center"/>
              <w:rPr>
                <w:rFonts w:eastAsia="Calibri"/>
                <w:iCs/>
                <w:sz w:val="20"/>
                <w:szCs w:val="20"/>
                <w:lang w:val="en-GB" w:eastAsia="en-US"/>
              </w:rPr>
            </w:pPr>
            <w:r w:rsidRPr="00905CD2">
              <w:rPr>
                <w:rFonts w:eastAsia="Calibri"/>
                <w:iCs/>
                <w:sz w:val="20"/>
                <w:szCs w:val="20"/>
                <w:lang w:val="en-GB" w:eastAsia="en-US"/>
              </w:rPr>
              <w:t>25</w:t>
            </w:r>
          </w:p>
        </w:tc>
        <w:tc>
          <w:tcPr>
            <w:tcW w:w="4962" w:type="dxa"/>
            <w:tcBorders>
              <w:top w:val="none" w:sz="0" w:space="0" w:color="auto"/>
              <w:bottom w:val="none" w:sz="0" w:space="0" w:color="auto"/>
              <w:right w:val="none" w:sz="0" w:space="0" w:color="auto"/>
            </w:tcBorders>
            <w:noWrap/>
            <w:hideMark/>
          </w:tcPr>
          <w:p w:rsidR="002B32A7" w:rsidRPr="00905CD2" w:rsidRDefault="002B32A7" w:rsidP="000C26F1">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val="en-GB" w:eastAsia="en-US"/>
              </w:rPr>
            </w:pPr>
            <w:r w:rsidRPr="00905CD2">
              <w:rPr>
                <w:rFonts w:eastAsia="Calibri"/>
                <w:sz w:val="20"/>
                <w:szCs w:val="20"/>
                <w:lang w:val="en-GB" w:eastAsia="en-US"/>
              </w:rPr>
              <w:t>95</w:t>
            </w:r>
          </w:p>
        </w:tc>
      </w:tr>
      <w:tr w:rsidR="002B32A7" w:rsidRPr="00905CD2" w:rsidTr="000C26F1">
        <w:trPr>
          <w:trHeight w:val="300"/>
        </w:trPr>
        <w:tc>
          <w:tcPr>
            <w:cnfStyle w:val="001000000000" w:firstRow="0" w:lastRow="0" w:firstColumn="1" w:lastColumn="0" w:oddVBand="0" w:evenVBand="0" w:oddHBand="0" w:evenHBand="0" w:firstRowFirstColumn="0" w:firstRowLastColumn="0" w:lastRowFirstColumn="0" w:lastRowLastColumn="0"/>
            <w:tcW w:w="4644" w:type="dxa"/>
            <w:noWrap/>
            <w:hideMark/>
          </w:tcPr>
          <w:p w:rsidR="002B32A7" w:rsidRPr="00905CD2" w:rsidRDefault="002B32A7" w:rsidP="000C26F1">
            <w:pPr>
              <w:jc w:val="center"/>
              <w:rPr>
                <w:rFonts w:eastAsia="Calibri"/>
                <w:iCs/>
                <w:sz w:val="20"/>
                <w:szCs w:val="20"/>
                <w:lang w:val="en-GB" w:eastAsia="en-US"/>
              </w:rPr>
            </w:pPr>
            <w:r w:rsidRPr="00905CD2">
              <w:rPr>
                <w:rFonts w:eastAsia="Calibri"/>
                <w:iCs/>
                <w:sz w:val="20"/>
                <w:szCs w:val="20"/>
                <w:lang w:val="en-GB" w:eastAsia="en-US"/>
              </w:rPr>
              <w:t>30</w:t>
            </w:r>
          </w:p>
        </w:tc>
        <w:tc>
          <w:tcPr>
            <w:tcW w:w="4962" w:type="dxa"/>
            <w:shd w:val="clear" w:color="auto" w:fill="D9D9D9" w:themeFill="background1" w:themeFillShade="D9"/>
            <w:noWrap/>
            <w:hideMark/>
          </w:tcPr>
          <w:p w:rsidR="002B32A7" w:rsidRPr="00905CD2" w:rsidRDefault="002B32A7" w:rsidP="000C26F1">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val="en-GB" w:eastAsia="en-US"/>
              </w:rPr>
            </w:pPr>
            <w:r w:rsidRPr="00905CD2">
              <w:rPr>
                <w:rFonts w:eastAsia="Calibri"/>
                <w:sz w:val="20"/>
                <w:szCs w:val="20"/>
                <w:lang w:val="en-GB" w:eastAsia="en-US"/>
              </w:rPr>
              <w:t>110</w:t>
            </w:r>
          </w:p>
        </w:tc>
      </w:tr>
      <w:tr w:rsidR="002B32A7" w:rsidRPr="00905CD2" w:rsidTr="000C26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44" w:type="dxa"/>
            <w:tcBorders>
              <w:top w:val="none" w:sz="0" w:space="0" w:color="auto"/>
              <w:left w:val="none" w:sz="0" w:space="0" w:color="auto"/>
              <w:bottom w:val="none" w:sz="0" w:space="0" w:color="auto"/>
            </w:tcBorders>
            <w:noWrap/>
            <w:hideMark/>
          </w:tcPr>
          <w:p w:rsidR="002B32A7" w:rsidRPr="00905CD2" w:rsidRDefault="002B32A7" w:rsidP="000C26F1">
            <w:pPr>
              <w:jc w:val="center"/>
              <w:rPr>
                <w:rFonts w:eastAsia="Calibri"/>
                <w:iCs/>
                <w:sz w:val="20"/>
                <w:szCs w:val="20"/>
                <w:lang w:val="en-GB" w:eastAsia="en-US"/>
              </w:rPr>
            </w:pPr>
            <w:r w:rsidRPr="00905CD2">
              <w:rPr>
                <w:rFonts w:eastAsia="Calibri"/>
                <w:iCs/>
                <w:sz w:val="20"/>
                <w:szCs w:val="20"/>
                <w:lang w:val="en-GB" w:eastAsia="en-US"/>
              </w:rPr>
              <w:t>35</w:t>
            </w:r>
          </w:p>
        </w:tc>
        <w:tc>
          <w:tcPr>
            <w:tcW w:w="4962" w:type="dxa"/>
            <w:tcBorders>
              <w:top w:val="none" w:sz="0" w:space="0" w:color="auto"/>
              <w:bottom w:val="none" w:sz="0" w:space="0" w:color="auto"/>
              <w:right w:val="none" w:sz="0" w:space="0" w:color="auto"/>
            </w:tcBorders>
            <w:shd w:val="clear" w:color="auto" w:fill="D9D9D9" w:themeFill="background1" w:themeFillShade="D9"/>
            <w:noWrap/>
            <w:hideMark/>
          </w:tcPr>
          <w:p w:rsidR="002B32A7" w:rsidRPr="00905CD2" w:rsidRDefault="002B32A7" w:rsidP="000C26F1">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val="en-GB" w:eastAsia="en-US"/>
              </w:rPr>
            </w:pPr>
            <w:r w:rsidRPr="00905CD2">
              <w:rPr>
                <w:rFonts w:eastAsia="Calibri"/>
                <w:sz w:val="20"/>
                <w:szCs w:val="20"/>
                <w:lang w:val="en-GB" w:eastAsia="en-US"/>
              </w:rPr>
              <w:t>130</w:t>
            </w:r>
          </w:p>
        </w:tc>
      </w:tr>
    </w:tbl>
    <w:p w:rsidR="002B32A7" w:rsidRDefault="002B32A7" w:rsidP="002B32A7">
      <w:pPr>
        <w:rPr>
          <w:rFonts w:eastAsia="Calibri"/>
          <w:sz w:val="18"/>
          <w:szCs w:val="18"/>
          <w:lang w:val="en-GB" w:eastAsia="en-US"/>
        </w:rPr>
      </w:pPr>
      <w:r w:rsidRPr="003D4158">
        <w:rPr>
          <w:rFonts w:eastAsia="Calibri"/>
          <w:sz w:val="18"/>
          <w:szCs w:val="18"/>
          <w:lang w:val="en-GB" w:eastAsia="en-US"/>
        </w:rPr>
        <w:t xml:space="preserve">* </w:t>
      </w:r>
      <w:r>
        <w:rPr>
          <w:rFonts w:eastAsia="Calibri"/>
          <w:sz w:val="18"/>
          <w:szCs w:val="18"/>
          <w:lang w:val="en-GB" w:eastAsia="en-US"/>
        </w:rPr>
        <w:t>Based on a c</w:t>
      </w:r>
      <w:r w:rsidRPr="003D4158">
        <w:rPr>
          <w:rFonts w:eastAsia="Calibri"/>
          <w:sz w:val="18"/>
          <w:szCs w:val="18"/>
          <w:lang w:val="en-GB" w:eastAsia="en-US"/>
        </w:rPr>
        <w:t xml:space="preserve">onsumption amount </w:t>
      </w:r>
      <w:r>
        <w:rPr>
          <w:rFonts w:eastAsia="Calibri"/>
          <w:sz w:val="18"/>
          <w:szCs w:val="18"/>
          <w:lang w:val="en-GB" w:eastAsia="en-US"/>
        </w:rPr>
        <w:t xml:space="preserve">of </w:t>
      </w:r>
      <w:r w:rsidRPr="003D4158">
        <w:rPr>
          <w:rFonts w:eastAsia="Calibri"/>
          <w:sz w:val="18"/>
          <w:szCs w:val="18"/>
          <w:lang w:val="en-GB" w:eastAsia="en-US"/>
        </w:rPr>
        <w:t>220 g of</w:t>
      </w:r>
      <w:r>
        <w:rPr>
          <w:rFonts w:eastAsia="Calibri"/>
          <w:sz w:val="18"/>
          <w:szCs w:val="18"/>
          <w:lang w:val="en-GB" w:eastAsia="en-US"/>
        </w:rPr>
        <w:t xml:space="preserve"> cooked</w:t>
      </w:r>
      <w:r w:rsidRPr="003D4158">
        <w:rPr>
          <w:rFonts w:eastAsia="Calibri"/>
          <w:sz w:val="18"/>
          <w:szCs w:val="18"/>
          <w:lang w:val="en-GB" w:eastAsia="en-US"/>
        </w:rPr>
        <w:t xml:space="preserve"> cassava root</w:t>
      </w:r>
      <w:r>
        <w:rPr>
          <w:rFonts w:eastAsia="Calibri"/>
          <w:sz w:val="18"/>
          <w:szCs w:val="18"/>
          <w:lang w:val="en-GB" w:eastAsia="en-US"/>
        </w:rPr>
        <w:t>.</w:t>
      </w:r>
    </w:p>
    <w:p w:rsidR="002B32A7" w:rsidRPr="000620B3" w:rsidRDefault="002B32A7" w:rsidP="002B32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0F418E">
        <w:rPr>
          <w:rFonts w:cs="Arial"/>
          <w:sz w:val="18"/>
          <w:szCs w:val="18"/>
          <w:vertAlign w:val="superscript"/>
        </w:rPr>
        <w:t>#</w:t>
      </w:r>
      <w:r w:rsidRPr="000620B3">
        <w:rPr>
          <w:rFonts w:cs="Arial"/>
          <w:sz w:val="18"/>
          <w:szCs w:val="18"/>
        </w:rPr>
        <w:t xml:space="preserve"> ARfD = 80 µg HCN/kg bw (FSANZ, 2008).</w:t>
      </w:r>
    </w:p>
    <w:p w:rsidR="002B32A7" w:rsidRPr="000620B3" w:rsidRDefault="002B32A7" w:rsidP="002B32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0620B3">
        <w:rPr>
          <w:rFonts w:cs="Arial"/>
          <w:sz w:val="18"/>
          <w:szCs w:val="18"/>
        </w:rPr>
        <w:t xml:space="preserve">Shaded cells are </w:t>
      </w:r>
      <w:r w:rsidRPr="000620B3">
        <w:rPr>
          <w:rFonts w:cs="Arial"/>
          <w:sz w:val="18"/>
          <w:szCs w:val="18"/>
        </w:rPr>
        <w:sym w:font="Symbol" w:char="F0B3"/>
      </w:r>
      <w:r w:rsidRPr="000620B3">
        <w:rPr>
          <w:rFonts w:cs="Arial"/>
          <w:sz w:val="18"/>
          <w:szCs w:val="18"/>
        </w:rPr>
        <w:t>100% ARfD.</w:t>
      </w:r>
    </w:p>
    <w:p w:rsidR="002B32A7" w:rsidRPr="00926BCF" w:rsidRDefault="002B32A7" w:rsidP="002B32A7">
      <w:pPr>
        <w:rPr>
          <w:rFonts w:eastAsia="Calibri"/>
          <w:sz w:val="18"/>
          <w:szCs w:val="18"/>
          <w:lang w:val="en-GB" w:eastAsia="en-US"/>
        </w:rPr>
      </w:pPr>
    </w:p>
    <w:p w:rsidR="00B92B15" w:rsidRPr="00065A5C" w:rsidRDefault="00B92B15" w:rsidP="00B92B15">
      <w:pPr>
        <w:rPr>
          <w:rFonts w:cs="Arial"/>
          <w:szCs w:val="22"/>
        </w:rPr>
      </w:pPr>
      <w:r w:rsidRPr="00065A5C">
        <w:rPr>
          <w:rFonts w:cs="Arial"/>
          <w:szCs w:val="22"/>
        </w:rPr>
        <w:t xml:space="preserve">The acute dietary exposure assessment is </w:t>
      </w:r>
      <w:r w:rsidR="00243FF0" w:rsidRPr="00065A5C">
        <w:rPr>
          <w:rFonts w:cs="Arial"/>
          <w:szCs w:val="22"/>
        </w:rPr>
        <w:t xml:space="preserve">intended to be </w:t>
      </w:r>
      <w:r w:rsidRPr="00065A5C">
        <w:rPr>
          <w:rFonts w:cs="Arial"/>
          <w:szCs w:val="22"/>
        </w:rPr>
        <w:t xml:space="preserve">conservative as it is an estimate of ‘worst case’ exposure, </w:t>
      </w:r>
      <w:r w:rsidR="00590D15" w:rsidRPr="00065A5C">
        <w:rPr>
          <w:rFonts w:cs="Arial"/>
          <w:szCs w:val="22"/>
        </w:rPr>
        <w:t xml:space="preserve">but is still </w:t>
      </w:r>
      <w:r w:rsidRPr="00065A5C">
        <w:rPr>
          <w:rFonts w:cs="Arial"/>
          <w:szCs w:val="22"/>
        </w:rPr>
        <w:t xml:space="preserve">protective of the health and safety of consumers. In this instance, </w:t>
      </w:r>
      <w:r w:rsidR="00243FF0" w:rsidRPr="00065A5C">
        <w:rPr>
          <w:rFonts w:cs="Arial"/>
          <w:szCs w:val="22"/>
        </w:rPr>
        <w:t xml:space="preserve">it was assumed: </w:t>
      </w:r>
      <w:r w:rsidR="00BB3A67" w:rsidRPr="00065A5C">
        <w:rPr>
          <w:rFonts w:cs="Arial"/>
          <w:szCs w:val="22"/>
        </w:rPr>
        <w:t xml:space="preserve">(1) </w:t>
      </w:r>
      <w:r w:rsidRPr="00065A5C">
        <w:rPr>
          <w:rFonts w:cs="Arial"/>
          <w:szCs w:val="22"/>
        </w:rPr>
        <w:t>HCN levels in the raw product approach the maximum levels for sweet cassava, as defined in the regulations</w:t>
      </w:r>
      <w:r w:rsidR="00EB39B2">
        <w:rPr>
          <w:rFonts w:cs="Arial"/>
          <w:szCs w:val="22"/>
        </w:rPr>
        <w:t>;</w:t>
      </w:r>
      <w:r w:rsidRPr="00065A5C">
        <w:rPr>
          <w:rFonts w:cs="Arial"/>
          <w:szCs w:val="22"/>
        </w:rPr>
        <w:t xml:space="preserve"> </w:t>
      </w:r>
      <w:r w:rsidR="00BB3A67" w:rsidRPr="00065A5C">
        <w:rPr>
          <w:rFonts w:cs="Arial"/>
          <w:szCs w:val="22"/>
        </w:rPr>
        <w:t xml:space="preserve">(2) </w:t>
      </w:r>
      <w:r w:rsidRPr="00065A5C">
        <w:rPr>
          <w:rFonts w:cs="Arial"/>
          <w:szCs w:val="22"/>
        </w:rPr>
        <w:t>minimum losses</w:t>
      </w:r>
      <w:r w:rsidR="00BB3A67" w:rsidRPr="00065A5C">
        <w:rPr>
          <w:rFonts w:cs="Arial"/>
          <w:szCs w:val="22"/>
        </w:rPr>
        <w:t xml:space="preserve"> of HCN</w:t>
      </w:r>
      <w:r w:rsidRPr="00065A5C">
        <w:rPr>
          <w:rFonts w:cs="Arial"/>
          <w:szCs w:val="22"/>
        </w:rPr>
        <w:t xml:space="preserve"> after cooking</w:t>
      </w:r>
      <w:r w:rsidR="00243FF0" w:rsidRPr="00065A5C">
        <w:rPr>
          <w:rFonts w:cs="Arial"/>
          <w:szCs w:val="22"/>
        </w:rPr>
        <w:t xml:space="preserve"> (28%)</w:t>
      </w:r>
      <w:r w:rsidR="00EB39B2">
        <w:rPr>
          <w:rFonts w:cs="Arial"/>
          <w:szCs w:val="22"/>
        </w:rPr>
        <w:t>;</w:t>
      </w:r>
      <w:r w:rsidRPr="00065A5C">
        <w:rPr>
          <w:rFonts w:cs="Arial"/>
          <w:szCs w:val="22"/>
        </w:rPr>
        <w:t xml:space="preserve"> together with </w:t>
      </w:r>
      <w:r w:rsidR="00BB3A67" w:rsidRPr="00065A5C">
        <w:rPr>
          <w:rFonts w:cs="Arial"/>
          <w:szCs w:val="22"/>
        </w:rPr>
        <w:t xml:space="preserve">(3) </w:t>
      </w:r>
      <w:r w:rsidRPr="00065A5C">
        <w:rPr>
          <w:rFonts w:cs="Arial"/>
          <w:szCs w:val="22"/>
        </w:rPr>
        <w:t>high consumption amounts</w:t>
      </w:r>
      <w:r w:rsidR="00EB39B2">
        <w:rPr>
          <w:rFonts w:cs="Arial"/>
          <w:szCs w:val="22"/>
        </w:rPr>
        <w:t xml:space="preserve"> (median amount for consumers of cassava)</w:t>
      </w:r>
      <w:r w:rsidRPr="00065A5C">
        <w:rPr>
          <w:rFonts w:cs="Arial"/>
          <w:szCs w:val="22"/>
        </w:rPr>
        <w:t xml:space="preserve">. </w:t>
      </w:r>
      <w:r w:rsidR="00F71CDB" w:rsidRPr="00065A5C">
        <w:rPr>
          <w:rFonts w:cs="Arial"/>
          <w:szCs w:val="22"/>
        </w:rPr>
        <w:t xml:space="preserve">It </w:t>
      </w:r>
      <w:r w:rsidRPr="00065A5C">
        <w:rPr>
          <w:rFonts w:cs="Arial"/>
          <w:szCs w:val="22"/>
        </w:rPr>
        <w:t xml:space="preserve">is </w:t>
      </w:r>
      <w:r w:rsidR="00243FF0" w:rsidRPr="00065A5C">
        <w:rPr>
          <w:rFonts w:cs="Arial"/>
          <w:szCs w:val="22"/>
        </w:rPr>
        <w:t xml:space="preserve">considered </w:t>
      </w:r>
      <w:r w:rsidRPr="00065A5C">
        <w:rPr>
          <w:rFonts w:cs="Arial"/>
          <w:szCs w:val="22"/>
        </w:rPr>
        <w:t xml:space="preserve">unlikely </w:t>
      </w:r>
      <w:r w:rsidR="00F71CDB" w:rsidRPr="00065A5C">
        <w:rPr>
          <w:rFonts w:cs="Arial"/>
          <w:szCs w:val="22"/>
        </w:rPr>
        <w:t xml:space="preserve">that </w:t>
      </w:r>
      <w:r w:rsidR="00666084" w:rsidRPr="00065A5C">
        <w:rPr>
          <w:rFonts w:cs="Arial"/>
          <w:szCs w:val="22"/>
        </w:rPr>
        <w:t>these</w:t>
      </w:r>
      <w:r w:rsidR="00F71CDB" w:rsidRPr="00065A5C">
        <w:rPr>
          <w:rFonts w:cs="Arial"/>
          <w:szCs w:val="22"/>
        </w:rPr>
        <w:t xml:space="preserve"> three events will occur simultaneously</w:t>
      </w:r>
      <w:r w:rsidRPr="00065A5C">
        <w:rPr>
          <w:rFonts w:cs="Arial"/>
          <w:szCs w:val="22"/>
        </w:rPr>
        <w:t xml:space="preserve">.  </w:t>
      </w:r>
    </w:p>
    <w:p w:rsidR="00B92B15" w:rsidRDefault="00B92B15" w:rsidP="00B92B15">
      <w:pPr>
        <w:rPr>
          <w:rFonts w:cs="Arial"/>
          <w:szCs w:val="22"/>
          <w:highlight w:val="green"/>
        </w:rPr>
      </w:pPr>
    </w:p>
    <w:p w:rsidR="002B32A7" w:rsidRDefault="00CE2EAF" w:rsidP="002B32A7">
      <w:pPr>
        <w:rPr>
          <w:rFonts w:cs="Arial"/>
          <w:szCs w:val="22"/>
        </w:rPr>
      </w:pPr>
      <w:r>
        <w:rPr>
          <w:rFonts w:cs="Arial"/>
          <w:szCs w:val="22"/>
        </w:rPr>
        <w:t>T</w:t>
      </w:r>
      <w:r w:rsidR="002B32A7">
        <w:rPr>
          <w:rFonts w:cs="Arial"/>
          <w:szCs w:val="22"/>
        </w:rPr>
        <w:t xml:space="preserve">he following issues </w:t>
      </w:r>
      <w:r w:rsidRPr="00065A5C">
        <w:rPr>
          <w:rFonts w:cs="Arial"/>
          <w:szCs w:val="22"/>
        </w:rPr>
        <w:t>also</w:t>
      </w:r>
      <w:r>
        <w:rPr>
          <w:rFonts w:cs="Arial"/>
          <w:szCs w:val="22"/>
        </w:rPr>
        <w:t xml:space="preserve"> </w:t>
      </w:r>
      <w:r w:rsidR="002B32A7">
        <w:rPr>
          <w:rFonts w:cs="Arial"/>
          <w:szCs w:val="22"/>
        </w:rPr>
        <w:t>impact on characteris</w:t>
      </w:r>
      <w:r w:rsidR="002F7C92">
        <w:rPr>
          <w:rFonts w:cs="Arial"/>
          <w:szCs w:val="22"/>
        </w:rPr>
        <w:t>ation of</w:t>
      </w:r>
      <w:r w:rsidR="002B32A7">
        <w:rPr>
          <w:rFonts w:cs="Arial"/>
          <w:szCs w:val="22"/>
        </w:rPr>
        <w:t xml:space="preserve"> the risk </w:t>
      </w:r>
      <w:r w:rsidR="002F7C92">
        <w:rPr>
          <w:rFonts w:cs="Arial"/>
          <w:szCs w:val="22"/>
        </w:rPr>
        <w:t xml:space="preserve">from consumption of </w:t>
      </w:r>
      <w:r w:rsidR="002B32A7">
        <w:rPr>
          <w:rFonts w:cs="Arial"/>
          <w:szCs w:val="22"/>
        </w:rPr>
        <w:t>cassava:</w:t>
      </w:r>
    </w:p>
    <w:p w:rsidR="002B32A7" w:rsidRPr="00610AD0" w:rsidRDefault="002B32A7" w:rsidP="002B32A7">
      <w:pPr>
        <w:pStyle w:val="ListParagraph"/>
        <w:ind w:hanging="294"/>
        <w:rPr>
          <w:rFonts w:ascii="Arial" w:hAnsi="Arial" w:cs="Arial"/>
        </w:rPr>
      </w:pPr>
    </w:p>
    <w:p w:rsidR="002B32A7" w:rsidRPr="00610AD0" w:rsidRDefault="002B32A7" w:rsidP="002B32A7">
      <w:pPr>
        <w:pStyle w:val="ListParagraph"/>
        <w:numPr>
          <w:ilvl w:val="0"/>
          <w:numId w:val="35"/>
        </w:numPr>
        <w:ind w:left="851" w:hanging="425"/>
        <w:rPr>
          <w:rFonts w:ascii="Arial" w:hAnsi="Arial" w:cs="Arial"/>
        </w:rPr>
      </w:pPr>
      <w:r w:rsidRPr="00610AD0">
        <w:rPr>
          <w:rFonts w:ascii="Arial" w:hAnsi="Arial" w:cs="Arial"/>
        </w:rPr>
        <w:t>FSANZ is not aware of any data in the scientific literature that suggests cases of acute cyanide poisoning have occurred in Australia or New Zealand as a result of consuming properly processed cassava</w:t>
      </w:r>
    </w:p>
    <w:p w:rsidR="002B32A7" w:rsidRPr="00610AD0" w:rsidRDefault="002B32A7" w:rsidP="002B32A7">
      <w:pPr>
        <w:pStyle w:val="ListParagraph"/>
        <w:rPr>
          <w:rFonts w:ascii="Arial" w:hAnsi="Arial" w:cs="Arial"/>
        </w:rPr>
      </w:pPr>
    </w:p>
    <w:p w:rsidR="002B32A7" w:rsidRPr="00610AD0" w:rsidRDefault="002B32A7" w:rsidP="002B32A7">
      <w:pPr>
        <w:pStyle w:val="ListParagraph"/>
        <w:numPr>
          <w:ilvl w:val="0"/>
          <w:numId w:val="35"/>
        </w:numPr>
        <w:ind w:left="851" w:hanging="425"/>
        <w:rPr>
          <w:rFonts w:ascii="Arial" w:hAnsi="Arial" w:cs="Arial"/>
        </w:rPr>
      </w:pPr>
      <w:r w:rsidRPr="00610AD0">
        <w:rPr>
          <w:rFonts w:ascii="Arial" w:hAnsi="Arial" w:cs="Arial"/>
        </w:rPr>
        <w:t>The availability</w:t>
      </w:r>
      <w:r>
        <w:rPr>
          <w:rFonts w:ascii="Arial" w:hAnsi="Arial" w:cs="Arial"/>
        </w:rPr>
        <w:t xml:space="preserve"> of non-compliant raw bitter </w:t>
      </w:r>
      <w:r w:rsidRPr="00610AD0">
        <w:rPr>
          <w:rFonts w:ascii="Arial" w:hAnsi="Arial" w:cs="Arial"/>
        </w:rPr>
        <w:t>cassava (&gt;50 mg HCN/kg) in the market place</w:t>
      </w:r>
      <w:r>
        <w:rPr>
          <w:rFonts w:ascii="Arial" w:hAnsi="Arial" w:cs="Arial"/>
        </w:rPr>
        <w:t xml:space="preserve"> (</w:t>
      </w:r>
      <w:r w:rsidRPr="00610AD0">
        <w:rPr>
          <w:rFonts w:ascii="Arial" w:hAnsi="Arial" w:cs="Arial"/>
        </w:rPr>
        <w:t xml:space="preserve">which may </w:t>
      </w:r>
      <w:r>
        <w:rPr>
          <w:rFonts w:ascii="Arial" w:hAnsi="Arial" w:cs="Arial"/>
        </w:rPr>
        <w:t xml:space="preserve">cause </w:t>
      </w:r>
      <w:r w:rsidRPr="00610AD0">
        <w:rPr>
          <w:rFonts w:ascii="Arial" w:hAnsi="Arial" w:cs="Arial"/>
        </w:rPr>
        <w:t>exceedance</w:t>
      </w:r>
      <w:r>
        <w:rPr>
          <w:rFonts w:ascii="Arial" w:hAnsi="Arial" w:cs="Arial"/>
        </w:rPr>
        <w:t>s</w:t>
      </w:r>
      <w:r w:rsidRPr="00610AD0">
        <w:rPr>
          <w:rFonts w:ascii="Arial" w:hAnsi="Arial" w:cs="Arial"/>
        </w:rPr>
        <w:t xml:space="preserve"> of the ARfD </w:t>
      </w:r>
      <w:r>
        <w:rPr>
          <w:rFonts w:ascii="Arial" w:hAnsi="Arial" w:cs="Arial"/>
        </w:rPr>
        <w:t xml:space="preserve">if consumed, </w:t>
      </w:r>
      <w:r w:rsidRPr="00610AD0">
        <w:rPr>
          <w:rFonts w:ascii="Arial" w:hAnsi="Arial" w:cs="Arial"/>
        </w:rPr>
        <w:t>despite conventional processing</w:t>
      </w:r>
      <w:r>
        <w:rPr>
          <w:rFonts w:ascii="Arial" w:hAnsi="Arial" w:cs="Arial"/>
        </w:rPr>
        <w:t>) is not known</w:t>
      </w:r>
    </w:p>
    <w:p w:rsidR="002B32A7" w:rsidRPr="00610AD0" w:rsidRDefault="002B32A7" w:rsidP="002B32A7">
      <w:pPr>
        <w:pStyle w:val="ListParagraph"/>
        <w:rPr>
          <w:rFonts w:ascii="Arial" w:hAnsi="Arial" w:cs="Arial"/>
        </w:rPr>
      </w:pPr>
    </w:p>
    <w:p w:rsidR="002B32A7" w:rsidRPr="00EE7D31" w:rsidRDefault="002B32A7" w:rsidP="002B32A7">
      <w:pPr>
        <w:pStyle w:val="ListParagraph"/>
        <w:numPr>
          <w:ilvl w:val="0"/>
          <w:numId w:val="35"/>
        </w:numPr>
        <w:ind w:left="851" w:hanging="425"/>
        <w:rPr>
          <w:rFonts w:ascii="Arial" w:hAnsi="Arial" w:cs="Arial"/>
        </w:rPr>
      </w:pPr>
      <w:r w:rsidRPr="00EE7D31">
        <w:rPr>
          <w:rFonts w:ascii="Arial" w:hAnsi="Arial" w:cs="Arial"/>
        </w:rPr>
        <w:t xml:space="preserve">The available data on cassava consumption </w:t>
      </w:r>
      <w:r w:rsidR="002F7C92">
        <w:rPr>
          <w:rFonts w:ascii="Arial" w:hAnsi="Arial" w:cs="Arial"/>
        </w:rPr>
        <w:t>pattern</w:t>
      </w:r>
      <w:r w:rsidR="00CA2521">
        <w:rPr>
          <w:rFonts w:ascii="Arial" w:hAnsi="Arial" w:cs="Arial"/>
        </w:rPr>
        <w:t xml:space="preserve">s </w:t>
      </w:r>
      <w:r w:rsidR="002D5B4A">
        <w:rPr>
          <w:rFonts w:ascii="Arial" w:hAnsi="Arial" w:cs="Arial"/>
        </w:rPr>
        <w:t>are</w:t>
      </w:r>
      <w:r w:rsidR="002D5B4A" w:rsidRPr="00EE7D31">
        <w:rPr>
          <w:rFonts w:ascii="Arial" w:hAnsi="Arial" w:cs="Arial"/>
        </w:rPr>
        <w:t xml:space="preserve"> </w:t>
      </w:r>
      <w:r w:rsidRPr="00EE7D31">
        <w:rPr>
          <w:rFonts w:ascii="Arial" w:hAnsi="Arial" w:cs="Arial"/>
        </w:rPr>
        <w:t xml:space="preserve">limited, </w:t>
      </w:r>
      <w:r>
        <w:rPr>
          <w:rFonts w:ascii="Arial" w:hAnsi="Arial" w:cs="Arial"/>
        </w:rPr>
        <w:t xml:space="preserve">making </w:t>
      </w:r>
      <w:r w:rsidR="00BA246F">
        <w:rPr>
          <w:rFonts w:ascii="Arial" w:hAnsi="Arial" w:cs="Arial"/>
        </w:rPr>
        <w:t xml:space="preserve">accurate </w:t>
      </w:r>
      <w:r>
        <w:rPr>
          <w:rFonts w:ascii="Arial" w:hAnsi="Arial" w:cs="Arial"/>
        </w:rPr>
        <w:t xml:space="preserve">estimates of the likely exposure for high consumers resulting in an exceedance of the ARfD </w:t>
      </w:r>
      <w:r w:rsidR="009D3462">
        <w:rPr>
          <w:rFonts w:ascii="Arial" w:hAnsi="Arial" w:cs="Arial"/>
        </w:rPr>
        <w:t xml:space="preserve">more </w:t>
      </w:r>
      <w:r>
        <w:rPr>
          <w:rFonts w:ascii="Arial" w:hAnsi="Arial" w:cs="Arial"/>
        </w:rPr>
        <w:t>difficult to determine</w:t>
      </w:r>
      <w:r w:rsidR="00BF154C">
        <w:rPr>
          <w:rFonts w:ascii="Arial" w:hAnsi="Arial" w:cs="Arial"/>
        </w:rPr>
        <w:t>.</w:t>
      </w:r>
    </w:p>
    <w:p w:rsidR="002B32A7" w:rsidRPr="0037674D" w:rsidRDefault="002B32A7" w:rsidP="002B32A7">
      <w:pPr>
        <w:pStyle w:val="ListParagraph"/>
        <w:rPr>
          <w:rFonts w:ascii="Arial" w:hAnsi="Arial" w:cs="Arial"/>
        </w:rPr>
      </w:pPr>
    </w:p>
    <w:p w:rsidR="00CE292D" w:rsidRDefault="00CE292D" w:rsidP="002B32A7">
      <w:pPr>
        <w:rPr>
          <w:rFonts w:cs="Arial"/>
          <w:szCs w:val="22"/>
        </w:rPr>
      </w:pPr>
      <w:r w:rsidRPr="00065A5C">
        <w:rPr>
          <w:rFonts w:cs="Arial"/>
          <w:szCs w:val="22"/>
        </w:rPr>
        <w:t>Although there are certain gaps in the data that impact on characterisation of the risk, g</w:t>
      </w:r>
      <w:r w:rsidR="0053274F" w:rsidRPr="00065A5C">
        <w:rPr>
          <w:rFonts w:cs="Arial"/>
          <w:szCs w:val="22"/>
        </w:rPr>
        <w:t xml:space="preserve">iven </w:t>
      </w:r>
      <w:r w:rsidR="00B92B15" w:rsidRPr="00065A5C">
        <w:rPr>
          <w:rFonts w:cs="Arial"/>
          <w:szCs w:val="22"/>
        </w:rPr>
        <w:t>the conservative nature of the acu</w:t>
      </w:r>
      <w:r w:rsidR="00BB3A67" w:rsidRPr="00065A5C">
        <w:rPr>
          <w:rFonts w:cs="Arial"/>
          <w:szCs w:val="22"/>
        </w:rPr>
        <w:t>te dietary exposure assessment</w:t>
      </w:r>
      <w:r w:rsidR="00CE2EAF" w:rsidRPr="00065A5C">
        <w:rPr>
          <w:rFonts w:cs="Arial"/>
          <w:szCs w:val="22"/>
        </w:rPr>
        <w:t xml:space="preserve">, together with the </w:t>
      </w:r>
      <w:r w:rsidR="00BB3A67" w:rsidRPr="00065A5C">
        <w:rPr>
          <w:rFonts w:cs="Arial"/>
          <w:szCs w:val="22"/>
        </w:rPr>
        <w:t xml:space="preserve">absence of any </w:t>
      </w:r>
      <w:r w:rsidR="00B47B12" w:rsidRPr="00065A5C">
        <w:rPr>
          <w:rFonts w:cs="Arial"/>
          <w:szCs w:val="22"/>
        </w:rPr>
        <w:t>reports</w:t>
      </w:r>
      <w:r w:rsidR="00BB3A67" w:rsidRPr="00065A5C">
        <w:rPr>
          <w:rFonts w:cs="Arial"/>
          <w:szCs w:val="22"/>
        </w:rPr>
        <w:t xml:space="preserve"> on poisonings in Australia and New Zealand, the </w:t>
      </w:r>
      <w:r w:rsidR="00B92B15" w:rsidRPr="00065A5C">
        <w:rPr>
          <w:rFonts w:cs="Arial"/>
          <w:szCs w:val="22"/>
        </w:rPr>
        <w:t>estimated acute dietary exposures to HCN are not considered to represent an appreciable</w:t>
      </w:r>
      <w:r w:rsidR="00BB3A67" w:rsidRPr="00065A5C">
        <w:rPr>
          <w:rFonts w:cs="Arial"/>
          <w:szCs w:val="22"/>
        </w:rPr>
        <w:t xml:space="preserve"> health and safety risk. </w:t>
      </w:r>
    </w:p>
    <w:p w:rsidR="00CE292D" w:rsidRDefault="00CE292D" w:rsidP="002B32A7">
      <w:pPr>
        <w:rPr>
          <w:rFonts w:cs="Arial"/>
          <w:szCs w:val="22"/>
        </w:rPr>
      </w:pPr>
    </w:p>
    <w:p w:rsidR="000061A7" w:rsidRDefault="002B32A7" w:rsidP="002B32A7">
      <w:pPr>
        <w:rPr>
          <w:rFonts w:cs="Arial"/>
        </w:rPr>
      </w:pPr>
      <w:r>
        <w:rPr>
          <w:rFonts w:cs="Arial"/>
        </w:rPr>
        <w:lastRenderedPageBreak/>
        <w:t xml:space="preserve">FSANZ will continue to consider the risk characterisation of this food as </w:t>
      </w:r>
      <w:r w:rsidR="00266180">
        <w:rPr>
          <w:rFonts w:cs="Arial"/>
        </w:rPr>
        <w:t xml:space="preserve">further information </w:t>
      </w:r>
      <w:r>
        <w:rPr>
          <w:rFonts w:cs="Arial"/>
        </w:rPr>
        <w:t>become</w:t>
      </w:r>
      <w:r w:rsidR="00EB31C0">
        <w:rPr>
          <w:rFonts w:cs="Arial"/>
        </w:rPr>
        <w:t>s</w:t>
      </w:r>
      <w:r>
        <w:rPr>
          <w:rFonts w:cs="Arial"/>
        </w:rPr>
        <w:t xml:space="preserve"> available.  </w:t>
      </w:r>
    </w:p>
    <w:p w:rsidR="00B92B15" w:rsidRDefault="00B92B15" w:rsidP="002B32A7">
      <w:pPr>
        <w:rPr>
          <w:rFonts w:cs="Arial"/>
        </w:rPr>
      </w:pPr>
    </w:p>
    <w:p w:rsidR="002B32A7" w:rsidRPr="00D75B52" w:rsidRDefault="002B32A7" w:rsidP="00AC771E">
      <w:pPr>
        <w:spacing w:after="200" w:line="276" w:lineRule="auto"/>
        <w:rPr>
          <w:i/>
        </w:rPr>
      </w:pPr>
      <w:r w:rsidRPr="00D75B52">
        <w:rPr>
          <w:i/>
        </w:rPr>
        <w:t>Bamboo shoots</w:t>
      </w:r>
    </w:p>
    <w:p w:rsidR="002B32A7" w:rsidRDefault="00E56958" w:rsidP="002B32A7">
      <w:pPr>
        <w:rPr>
          <w:rFonts w:cs="Arial"/>
          <w:szCs w:val="22"/>
        </w:rPr>
      </w:pPr>
      <w:r>
        <w:rPr>
          <w:rFonts w:cs="Arial"/>
          <w:szCs w:val="22"/>
        </w:rPr>
        <w:t>T</w:t>
      </w:r>
      <w:r w:rsidR="0076787E" w:rsidRPr="0076787E">
        <w:rPr>
          <w:rFonts w:cs="Arial"/>
          <w:szCs w:val="22"/>
        </w:rPr>
        <w:t xml:space="preserve">he acute dietary exposure estimates were calculated using the maximum concentration (44 mg HCN/kg, Appendix 3) for bamboo shoots from Survey 1 (i.e. canned/pickled varieties). </w:t>
      </w:r>
      <w:r w:rsidR="002B32A7" w:rsidRPr="0076787E">
        <w:rPr>
          <w:rFonts w:cs="Arial"/>
          <w:szCs w:val="22"/>
        </w:rPr>
        <w:t>This resulted in exposure estimates below the ARfD for all population groups (Table 13).</w:t>
      </w:r>
    </w:p>
    <w:p w:rsidR="00CB362A" w:rsidRDefault="00CB362A" w:rsidP="00CB362A"/>
    <w:p w:rsidR="002B32A7" w:rsidRPr="00CB362A" w:rsidRDefault="002B32A7" w:rsidP="00CB362A">
      <w:pPr>
        <w:rPr>
          <w:i/>
        </w:rPr>
      </w:pPr>
      <w:r w:rsidRPr="00CB362A">
        <w:rPr>
          <w:i/>
        </w:rPr>
        <w:t>Bread containing linseed</w:t>
      </w:r>
    </w:p>
    <w:p w:rsidR="00CB362A" w:rsidRPr="00D75B52" w:rsidRDefault="00CB362A" w:rsidP="00CB362A"/>
    <w:p w:rsidR="002B32A7" w:rsidRDefault="002B32A7" w:rsidP="002B32A7">
      <w:pPr>
        <w:rPr>
          <w:rFonts w:cs="Arial"/>
          <w:szCs w:val="22"/>
        </w:rPr>
      </w:pPr>
      <w:r w:rsidRPr="00D228D9">
        <w:rPr>
          <w:rFonts w:cs="Arial"/>
          <w:szCs w:val="22"/>
        </w:rPr>
        <w:t xml:space="preserve">For bread containing linseed, </w:t>
      </w:r>
      <w:r>
        <w:rPr>
          <w:rFonts w:cs="Arial"/>
          <w:szCs w:val="22"/>
        </w:rPr>
        <w:t xml:space="preserve">and using the maximum concentration of HCN detected, </w:t>
      </w:r>
      <w:r w:rsidRPr="00D228D9">
        <w:rPr>
          <w:rFonts w:cs="Arial"/>
          <w:szCs w:val="22"/>
        </w:rPr>
        <w:t>the ARfD was exceeded for all population groups assessed (200-</w:t>
      </w:r>
      <w:r>
        <w:rPr>
          <w:rFonts w:cs="Arial"/>
          <w:szCs w:val="22"/>
        </w:rPr>
        <w:t>639</w:t>
      </w:r>
      <w:r w:rsidRPr="00D228D9">
        <w:rPr>
          <w:rFonts w:cs="Arial"/>
          <w:szCs w:val="22"/>
        </w:rPr>
        <w:t>% ARfD)</w:t>
      </w:r>
      <w:r>
        <w:rPr>
          <w:rFonts w:cs="Arial"/>
          <w:szCs w:val="22"/>
        </w:rPr>
        <w:t xml:space="preserve"> (Table 13)</w:t>
      </w:r>
      <w:r w:rsidRPr="00D228D9">
        <w:rPr>
          <w:rFonts w:cs="Arial"/>
          <w:szCs w:val="22"/>
        </w:rPr>
        <w:t xml:space="preserve">. </w:t>
      </w:r>
    </w:p>
    <w:p w:rsidR="002B32A7" w:rsidRDefault="002B32A7" w:rsidP="002B32A7">
      <w:pPr>
        <w:rPr>
          <w:rFonts w:cs="Arial"/>
          <w:szCs w:val="22"/>
        </w:rPr>
      </w:pPr>
    </w:p>
    <w:p w:rsidR="002B32A7" w:rsidRDefault="002B32A7" w:rsidP="002B32A7">
      <w:pPr>
        <w:rPr>
          <w:rFonts w:cs="Arial"/>
          <w:szCs w:val="22"/>
        </w:rPr>
      </w:pPr>
      <w:r w:rsidRPr="00D228D9">
        <w:rPr>
          <w:rFonts w:cs="Arial"/>
          <w:szCs w:val="22"/>
        </w:rPr>
        <w:t xml:space="preserve">The consumption data for this food </w:t>
      </w:r>
      <w:r w:rsidR="00E56958">
        <w:rPr>
          <w:rFonts w:cs="Arial"/>
          <w:szCs w:val="22"/>
        </w:rPr>
        <w:t>are</w:t>
      </w:r>
      <w:r w:rsidRPr="00D228D9">
        <w:rPr>
          <w:rFonts w:cs="Arial"/>
          <w:szCs w:val="22"/>
        </w:rPr>
        <w:t xml:space="preserve"> robust, with high number</w:t>
      </w:r>
      <w:r>
        <w:rPr>
          <w:rFonts w:cs="Arial"/>
          <w:szCs w:val="22"/>
        </w:rPr>
        <w:t>s</w:t>
      </w:r>
      <w:r w:rsidRPr="00D228D9">
        <w:rPr>
          <w:rFonts w:cs="Arial"/>
          <w:szCs w:val="22"/>
        </w:rPr>
        <w:t xml:space="preserve"> of consumers in most cases</w:t>
      </w:r>
      <w:r>
        <w:rPr>
          <w:rFonts w:cs="Arial"/>
          <w:szCs w:val="22"/>
        </w:rPr>
        <w:t xml:space="preserve">. (Note that for some population groups, where specific consumption data were unavailable, </w:t>
      </w:r>
      <w:r w:rsidRPr="00DD6209">
        <w:rPr>
          <w:rFonts w:cs="Arial"/>
          <w:szCs w:val="22"/>
        </w:rPr>
        <w:t>grain and wholemeal breads were used as a proxy</w:t>
      </w:r>
      <w:r>
        <w:rPr>
          <w:rFonts w:cs="Arial"/>
          <w:szCs w:val="22"/>
        </w:rPr>
        <w:t xml:space="preserve"> for bread containing linseed as consumption amounts recorded for these are likely to be similar)</w:t>
      </w:r>
      <w:r w:rsidRPr="00D228D9">
        <w:rPr>
          <w:rFonts w:cs="Arial"/>
          <w:szCs w:val="22"/>
        </w:rPr>
        <w:t xml:space="preserve">. </w:t>
      </w:r>
      <w:r>
        <w:rPr>
          <w:rFonts w:cs="Arial"/>
          <w:szCs w:val="22"/>
        </w:rPr>
        <w:t>In terms of the analytical data, HCN concentrations are considered to be realistic as they are consistent with concentrations of HCN in linseeds themselves (as sourced/analysed in each respective country) and the stated linseed content of the bread according to label information. T</w:t>
      </w:r>
      <w:r w:rsidRPr="00D228D9">
        <w:rPr>
          <w:rFonts w:cs="Arial"/>
          <w:szCs w:val="22"/>
        </w:rPr>
        <w:t>herefore</w:t>
      </w:r>
      <w:r>
        <w:rPr>
          <w:rFonts w:cs="Arial"/>
          <w:szCs w:val="22"/>
        </w:rPr>
        <w:t xml:space="preserve">, despite the small number </w:t>
      </w:r>
      <w:r w:rsidRPr="00CB362A">
        <w:rPr>
          <w:rFonts w:cs="Arial"/>
          <w:szCs w:val="22"/>
        </w:rPr>
        <w:t xml:space="preserve">of </w:t>
      </w:r>
      <w:r w:rsidR="00DD1142" w:rsidRPr="00CB362A">
        <w:rPr>
          <w:rFonts w:cs="Arial"/>
          <w:szCs w:val="22"/>
        </w:rPr>
        <w:t xml:space="preserve">bread </w:t>
      </w:r>
      <w:r w:rsidRPr="00CB362A">
        <w:rPr>
          <w:rFonts w:cs="Arial"/>
          <w:szCs w:val="22"/>
        </w:rPr>
        <w:t>samples</w:t>
      </w:r>
      <w:r>
        <w:rPr>
          <w:rFonts w:cs="Arial"/>
          <w:szCs w:val="22"/>
        </w:rPr>
        <w:t xml:space="preserve"> (</w:t>
      </w:r>
      <w:r w:rsidRPr="002F4F99">
        <w:rPr>
          <w:rFonts w:cs="Arial"/>
          <w:i/>
          <w:szCs w:val="22"/>
        </w:rPr>
        <w:t>n</w:t>
      </w:r>
      <w:r>
        <w:rPr>
          <w:rFonts w:cs="Arial"/>
          <w:szCs w:val="22"/>
        </w:rPr>
        <w:t>=6), it is reasonable to assume that</w:t>
      </w:r>
      <w:r w:rsidRPr="00D228D9">
        <w:rPr>
          <w:rFonts w:cs="Arial"/>
          <w:szCs w:val="22"/>
        </w:rPr>
        <w:t xml:space="preserve"> the </w:t>
      </w:r>
      <w:r>
        <w:rPr>
          <w:rFonts w:cs="Arial"/>
          <w:szCs w:val="22"/>
        </w:rPr>
        <w:t xml:space="preserve">dietary exposure </w:t>
      </w:r>
      <w:r w:rsidRPr="00D228D9">
        <w:rPr>
          <w:rFonts w:cs="Arial"/>
          <w:szCs w:val="22"/>
        </w:rPr>
        <w:t xml:space="preserve">estimates </w:t>
      </w:r>
      <w:r>
        <w:rPr>
          <w:rFonts w:cs="Arial"/>
          <w:szCs w:val="22"/>
        </w:rPr>
        <w:t xml:space="preserve">are </w:t>
      </w:r>
      <w:r w:rsidRPr="00D228D9">
        <w:rPr>
          <w:rFonts w:cs="Arial"/>
          <w:szCs w:val="22"/>
        </w:rPr>
        <w:t xml:space="preserve">realistic. </w:t>
      </w:r>
    </w:p>
    <w:p w:rsidR="002B32A7" w:rsidRPr="00D228D9" w:rsidRDefault="002B32A7" w:rsidP="002B32A7">
      <w:pPr>
        <w:rPr>
          <w:rFonts w:cs="Arial"/>
          <w:szCs w:val="22"/>
        </w:rPr>
      </w:pPr>
    </w:p>
    <w:p w:rsidR="002B32A7" w:rsidRDefault="002D318A" w:rsidP="002B32A7">
      <w:pPr>
        <w:rPr>
          <w:rFonts w:cs="Arial"/>
          <w:szCs w:val="22"/>
        </w:rPr>
      </w:pPr>
      <w:r w:rsidRPr="00065A5C">
        <w:rPr>
          <w:rFonts w:cs="Arial"/>
          <w:szCs w:val="22"/>
        </w:rPr>
        <w:t>There are no reports in the scientific literature for human poisonings following linseed consumption. S</w:t>
      </w:r>
      <w:r w:rsidR="00E56958" w:rsidRPr="00065A5C">
        <w:rPr>
          <w:rFonts w:cs="Arial"/>
          <w:szCs w:val="22"/>
        </w:rPr>
        <w:t>tudies of</w:t>
      </w:r>
      <w:r w:rsidR="002B32A7" w:rsidRPr="00065A5C">
        <w:rPr>
          <w:rFonts w:cs="Arial"/>
          <w:szCs w:val="22"/>
        </w:rPr>
        <w:t xml:space="preserve"> the toxicokinetic profile of cyanide following consumption of 100 g of ground linseed </w:t>
      </w:r>
      <w:r w:rsidRPr="00065A5C">
        <w:rPr>
          <w:rFonts w:cs="Arial"/>
          <w:szCs w:val="22"/>
        </w:rPr>
        <w:t xml:space="preserve">show </w:t>
      </w:r>
      <w:r w:rsidR="002B32A7" w:rsidRPr="00065A5C">
        <w:rPr>
          <w:rFonts w:cs="Arial"/>
          <w:szCs w:val="22"/>
        </w:rPr>
        <w:t>an undetectable amount of cyanide in the blood of human volunteers (Schilcher et al, 1986). Th</w:t>
      </w:r>
      <w:r w:rsidRPr="00065A5C">
        <w:rPr>
          <w:rFonts w:cs="Arial"/>
          <w:szCs w:val="22"/>
        </w:rPr>
        <w:t>ese data</w:t>
      </w:r>
      <w:r w:rsidR="002B32A7" w:rsidRPr="00065A5C">
        <w:rPr>
          <w:rFonts w:cs="Arial"/>
          <w:szCs w:val="22"/>
        </w:rPr>
        <w:t xml:space="preserve"> suggest that there </w:t>
      </w:r>
      <w:r w:rsidR="007E1A53" w:rsidRPr="00065A5C">
        <w:rPr>
          <w:rFonts w:cs="Arial"/>
          <w:szCs w:val="22"/>
        </w:rPr>
        <w:t xml:space="preserve">is </w:t>
      </w:r>
      <w:r w:rsidR="006630D0" w:rsidRPr="00065A5C">
        <w:rPr>
          <w:rFonts w:cs="Arial"/>
          <w:szCs w:val="22"/>
        </w:rPr>
        <w:t>unlikely to be an</w:t>
      </w:r>
      <w:r w:rsidR="002B32A7" w:rsidRPr="00065A5C">
        <w:rPr>
          <w:rFonts w:cs="Arial"/>
          <w:szCs w:val="22"/>
        </w:rPr>
        <w:t xml:space="preserve"> acute public health and safety risk associated with the consumption of bread containing linseed. </w:t>
      </w:r>
    </w:p>
    <w:p w:rsidR="00062AB2" w:rsidRPr="00062AB2" w:rsidRDefault="005A253D" w:rsidP="009973CE">
      <w:pPr>
        <w:pStyle w:val="Heading4"/>
        <w:ind w:left="851" w:hanging="851"/>
      </w:pPr>
      <w:r>
        <w:t>5.4.2.2</w:t>
      </w:r>
      <w:r w:rsidR="00062AB2" w:rsidRPr="00062AB2">
        <w:tab/>
        <w:t xml:space="preserve">Maximum possible consumption before exceeding the acute reference dose for specific foods </w:t>
      </w:r>
      <w:r w:rsidR="00AB1E7F">
        <w:t>(no NNS data)</w:t>
      </w:r>
    </w:p>
    <w:p w:rsidR="00062AB2" w:rsidRPr="00062AB2" w:rsidRDefault="00062AB2" w:rsidP="00062AB2">
      <w:pPr>
        <w:rPr>
          <w:rFonts w:cs="Arial"/>
          <w:szCs w:val="22"/>
        </w:rPr>
      </w:pPr>
      <w:r w:rsidRPr="00062AB2">
        <w:rPr>
          <w:rFonts w:cs="Arial"/>
          <w:szCs w:val="22"/>
        </w:rPr>
        <w:t xml:space="preserve">For some foods and population groups, there were no consumers to enable a deterministic acute dietary exposure to be calculated. These were indicated by the use of ‘NC’ (not consumed) in Table </w:t>
      </w:r>
      <w:r w:rsidR="0054174C" w:rsidRPr="0054174C">
        <w:rPr>
          <w:rFonts w:cs="Arial"/>
          <w:szCs w:val="22"/>
        </w:rPr>
        <w:t>A10.2</w:t>
      </w:r>
      <w:r w:rsidR="0054174C">
        <w:rPr>
          <w:rFonts w:cs="Arial"/>
          <w:szCs w:val="22"/>
        </w:rPr>
        <w:t xml:space="preserve"> </w:t>
      </w:r>
      <w:r w:rsidRPr="00062AB2">
        <w:rPr>
          <w:rFonts w:cs="Arial"/>
          <w:szCs w:val="22"/>
        </w:rPr>
        <w:t xml:space="preserve">to </w:t>
      </w:r>
      <w:r w:rsidR="0054174C">
        <w:rPr>
          <w:rFonts w:cs="Arial"/>
          <w:szCs w:val="22"/>
        </w:rPr>
        <w:t xml:space="preserve">A10.7 in Appendix 10 </w:t>
      </w:r>
      <w:r w:rsidRPr="00062AB2">
        <w:rPr>
          <w:rFonts w:cs="Arial"/>
          <w:szCs w:val="22"/>
        </w:rPr>
        <w:t>in the column ‘Number of consumers’</w:t>
      </w:r>
      <w:r w:rsidR="00856618">
        <w:rPr>
          <w:rFonts w:cs="Arial"/>
          <w:szCs w:val="22"/>
        </w:rPr>
        <w:t xml:space="preserve">. </w:t>
      </w:r>
      <w:r w:rsidRPr="00062AB2">
        <w:rPr>
          <w:rFonts w:cs="Arial"/>
          <w:szCs w:val="22"/>
        </w:rPr>
        <w:t xml:space="preserve">Therefore, a </w:t>
      </w:r>
      <w:r w:rsidR="00D2456F">
        <w:rPr>
          <w:rFonts w:cs="Arial"/>
          <w:szCs w:val="22"/>
        </w:rPr>
        <w:t xml:space="preserve">calculation was done using the maximum concentration of HCN in the food from the available ISFR survey data and the mean body weight of the population group, </w:t>
      </w:r>
      <w:r w:rsidRPr="00062AB2">
        <w:rPr>
          <w:rFonts w:cs="Arial"/>
          <w:szCs w:val="22"/>
        </w:rPr>
        <w:t xml:space="preserve">to determine the maximum amount of the food that could be consumed before the ARfD is exceeded. </w:t>
      </w:r>
      <w:r w:rsidR="008F5465">
        <w:rPr>
          <w:rFonts w:cs="Arial"/>
          <w:szCs w:val="22"/>
        </w:rPr>
        <w:t xml:space="preserve">This calculation was also done for raw apricot kernels and biscuits containing apricot kernels, in addition to the deterministic acute dietary exposure </w:t>
      </w:r>
      <w:r w:rsidR="00BA246F">
        <w:rPr>
          <w:rFonts w:cs="Arial"/>
          <w:szCs w:val="22"/>
        </w:rPr>
        <w:t>estimates discussed above</w:t>
      </w:r>
      <w:r w:rsidR="008F5465">
        <w:rPr>
          <w:rFonts w:cs="Arial"/>
          <w:szCs w:val="22"/>
        </w:rPr>
        <w:t xml:space="preserve">. </w:t>
      </w:r>
      <w:r w:rsidRPr="00062AB2">
        <w:rPr>
          <w:rFonts w:cs="Arial"/>
          <w:szCs w:val="22"/>
        </w:rPr>
        <w:t>The results are shown in</w:t>
      </w:r>
      <w:r w:rsidR="002F7ADF">
        <w:rPr>
          <w:rFonts w:cs="Arial"/>
          <w:szCs w:val="22"/>
        </w:rPr>
        <w:t xml:space="preserve"> Table</w:t>
      </w:r>
      <w:r w:rsidR="00833F45">
        <w:rPr>
          <w:rFonts w:cs="Arial"/>
          <w:szCs w:val="22"/>
        </w:rPr>
        <w:t> </w:t>
      </w:r>
      <w:r w:rsidR="00D75B52">
        <w:rPr>
          <w:rFonts w:cs="Arial"/>
          <w:szCs w:val="22"/>
        </w:rPr>
        <w:t>15</w:t>
      </w:r>
      <w:r w:rsidR="002F7ADF">
        <w:rPr>
          <w:rFonts w:cs="Arial"/>
          <w:szCs w:val="22"/>
        </w:rPr>
        <w:t xml:space="preserve">. </w:t>
      </w:r>
    </w:p>
    <w:p w:rsidR="00062AB2" w:rsidRPr="00062AB2" w:rsidRDefault="00062AB2" w:rsidP="00062AB2">
      <w:pPr>
        <w:rPr>
          <w:rFonts w:cs="Arial"/>
          <w:szCs w:val="22"/>
        </w:rPr>
      </w:pPr>
    </w:p>
    <w:p w:rsidR="00D75B52" w:rsidRDefault="00062AB2" w:rsidP="00AC771E">
      <w:pPr>
        <w:rPr>
          <w:rFonts w:cs="Arial"/>
          <w:szCs w:val="22"/>
        </w:rPr>
      </w:pPr>
      <w:r w:rsidRPr="00062AB2">
        <w:rPr>
          <w:rFonts w:cs="Arial"/>
          <w:szCs w:val="22"/>
        </w:rPr>
        <w:t>The resulting consumption values were evaluated to determine whether these levels of consumption were likely. With the exception of raw apricot kernels</w:t>
      </w:r>
      <w:r w:rsidR="00A0174A">
        <w:rPr>
          <w:rFonts w:cs="Arial"/>
          <w:szCs w:val="22"/>
        </w:rPr>
        <w:t xml:space="preserve"> and linseeds</w:t>
      </w:r>
      <w:r w:rsidRPr="00062AB2">
        <w:rPr>
          <w:rFonts w:cs="Arial"/>
          <w:szCs w:val="22"/>
        </w:rPr>
        <w:t xml:space="preserve">, for the majority of the </w:t>
      </w:r>
      <w:r w:rsidRPr="00062AB2" w:rsidDel="00546A8E">
        <w:rPr>
          <w:rFonts w:cs="Arial"/>
          <w:szCs w:val="22"/>
        </w:rPr>
        <w:t>foods</w:t>
      </w:r>
      <w:r w:rsidRPr="00062AB2">
        <w:rPr>
          <w:rFonts w:cs="Arial"/>
          <w:szCs w:val="22"/>
        </w:rPr>
        <w:t xml:space="preserve"> assessed</w:t>
      </w:r>
      <w:r w:rsidRPr="00062AB2" w:rsidDel="00546A8E">
        <w:rPr>
          <w:rFonts w:cs="Arial"/>
          <w:szCs w:val="22"/>
        </w:rPr>
        <w:t xml:space="preserve">, the amount </w:t>
      </w:r>
      <w:r w:rsidRPr="00062AB2">
        <w:rPr>
          <w:rFonts w:cs="Arial"/>
          <w:szCs w:val="22"/>
        </w:rPr>
        <w:t xml:space="preserve">that would need to be consumed to exceed the ARfD </w:t>
      </w:r>
      <w:r w:rsidRPr="00062AB2" w:rsidDel="00546A8E">
        <w:rPr>
          <w:rFonts w:cs="Arial"/>
          <w:szCs w:val="22"/>
        </w:rPr>
        <w:t xml:space="preserve">seems unrealistic for the types of foods </w:t>
      </w:r>
      <w:r w:rsidRPr="00062AB2">
        <w:rPr>
          <w:rFonts w:cs="Arial"/>
          <w:szCs w:val="22"/>
        </w:rPr>
        <w:t>in question and the manner in which they would normally be consumed</w:t>
      </w:r>
      <w:r w:rsidRPr="00062AB2" w:rsidDel="00546A8E">
        <w:rPr>
          <w:rFonts w:cs="Arial"/>
          <w:szCs w:val="22"/>
        </w:rPr>
        <w:t>.</w:t>
      </w:r>
      <w:r w:rsidRPr="00062AB2">
        <w:rPr>
          <w:rFonts w:cs="Arial"/>
          <w:szCs w:val="22"/>
        </w:rPr>
        <w:t xml:space="preserve"> Further comments regarding raw apricot kernels </w:t>
      </w:r>
      <w:r w:rsidR="00BF154C">
        <w:rPr>
          <w:rFonts w:cs="Arial"/>
          <w:szCs w:val="22"/>
        </w:rPr>
        <w:t>and other foods of interest</w:t>
      </w:r>
      <w:r w:rsidRPr="00062AB2">
        <w:rPr>
          <w:rFonts w:cs="Arial"/>
          <w:szCs w:val="22"/>
        </w:rPr>
        <w:t xml:space="preserve"> are provided below.</w:t>
      </w:r>
      <w:r w:rsidR="00D75B52">
        <w:rPr>
          <w:rFonts w:cs="Arial"/>
          <w:szCs w:val="22"/>
        </w:rPr>
        <w:br w:type="page"/>
      </w:r>
    </w:p>
    <w:p w:rsidR="00D75B52" w:rsidRPr="00062AB2" w:rsidRDefault="00D75B52" w:rsidP="00D75B52">
      <w:pPr>
        <w:pStyle w:val="Heading3LT"/>
      </w:pPr>
      <w:bookmarkStart w:id="163" w:name="_Toc384293561"/>
      <w:r w:rsidRPr="00062AB2">
        <w:lastRenderedPageBreak/>
        <w:t xml:space="preserve">Table </w:t>
      </w:r>
      <w:r>
        <w:t>15</w:t>
      </w:r>
      <w:r w:rsidRPr="00062AB2">
        <w:t>: Maximum amount of food that can be consumed (g/day) based on the ISFR survey concentrations, before the acute reference dose (ARfD) is exceeded</w:t>
      </w:r>
      <w:bookmarkEnd w:id="163"/>
    </w:p>
    <w:tbl>
      <w:tblPr>
        <w:tblStyle w:val="MediumShading1-Accent1"/>
        <w:tblW w:w="9747" w:type="dxa"/>
        <w:tblBorders>
          <w:insideV w:val="single" w:sz="8" w:space="0" w:color="7BA0CD" w:themeColor="accent1" w:themeTint="BF"/>
        </w:tblBorders>
        <w:tblLayout w:type="fixed"/>
        <w:tblLook w:val="04A0" w:firstRow="1" w:lastRow="0" w:firstColumn="1" w:lastColumn="0" w:noHBand="0" w:noVBand="1"/>
      </w:tblPr>
      <w:tblGrid>
        <w:gridCol w:w="2000"/>
        <w:gridCol w:w="1701"/>
        <w:gridCol w:w="943"/>
        <w:gridCol w:w="993"/>
        <w:gridCol w:w="992"/>
        <w:gridCol w:w="992"/>
        <w:gridCol w:w="992"/>
        <w:gridCol w:w="1134"/>
      </w:tblGrid>
      <w:tr w:rsidR="00D75B52" w:rsidRPr="00921BA5" w:rsidTr="00A3335E">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000" w:type="dxa"/>
            <w:vMerge w:val="restart"/>
            <w:tcBorders>
              <w:top w:val="none" w:sz="0" w:space="0" w:color="auto"/>
              <w:left w:val="none" w:sz="0" w:space="0" w:color="auto"/>
              <w:bottom w:val="none" w:sz="0" w:space="0" w:color="auto"/>
              <w:right w:val="none" w:sz="0" w:space="0" w:color="auto"/>
            </w:tcBorders>
            <w:noWrap/>
          </w:tcPr>
          <w:p w:rsidR="00D75B52" w:rsidRPr="00921BA5" w:rsidRDefault="00D75B52" w:rsidP="00A3335E">
            <w:pPr>
              <w:rPr>
                <w:rFonts w:cs="Arial"/>
                <w:sz w:val="20"/>
                <w:szCs w:val="20"/>
              </w:rPr>
            </w:pPr>
            <w:r w:rsidRPr="00921BA5">
              <w:rPr>
                <w:rFonts w:cs="Arial"/>
                <w:sz w:val="20"/>
                <w:szCs w:val="20"/>
              </w:rPr>
              <w:t>Food</w:t>
            </w:r>
          </w:p>
        </w:tc>
        <w:tc>
          <w:tcPr>
            <w:tcW w:w="1701" w:type="dxa"/>
            <w:vMerge w:val="restart"/>
            <w:tcBorders>
              <w:top w:val="none" w:sz="0" w:space="0" w:color="auto"/>
              <w:left w:val="none" w:sz="0" w:space="0" w:color="auto"/>
              <w:bottom w:val="none" w:sz="0" w:space="0" w:color="auto"/>
              <w:right w:val="none" w:sz="0" w:space="0" w:color="auto"/>
            </w:tcBorders>
            <w:noWrap/>
          </w:tcPr>
          <w:p w:rsidR="00D75B52" w:rsidRPr="00921BA5" w:rsidRDefault="00D75B52" w:rsidP="00A3335E">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921BA5">
              <w:rPr>
                <w:rFonts w:cs="Arial"/>
                <w:sz w:val="20"/>
                <w:szCs w:val="20"/>
              </w:rPr>
              <w:t>Concentration</w:t>
            </w:r>
          </w:p>
          <w:p w:rsidR="00D75B52" w:rsidRPr="00921BA5" w:rsidRDefault="00D75B52" w:rsidP="00A3335E">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921BA5">
              <w:rPr>
                <w:rFonts w:cs="Arial"/>
                <w:sz w:val="20"/>
                <w:szCs w:val="20"/>
              </w:rPr>
              <w:t>(mg HCN/kg)</w:t>
            </w:r>
          </w:p>
        </w:tc>
        <w:tc>
          <w:tcPr>
            <w:tcW w:w="6046" w:type="dxa"/>
            <w:gridSpan w:val="6"/>
            <w:tcBorders>
              <w:top w:val="none" w:sz="0" w:space="0" w:color="auto"/>
              <w:left w:val="none" w:sz="0" w:space="0" w:color="auto"/>
              <w:bottom w:val="none" w:sz="0" w:space="0" w:color="auto"/>
              <w:right w:val="none" w:sz="0" w:space="0" w:color="auto"/>
            </w:tcBorders>
          </w:tcPr>
          <w:p w:rsidR="00D75B52" w:rsidRPr="00921BA5" w:rsidRDefault="00D75B52" w:rsidP="00A3335E">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921BA5">
              <w:rPr>
                <w:rFonts w:cs="Arial"/>
                <w:sz w:val="20"/>
                <w:szCs w:val="20"/>
              </w:rPr>
              <w:t>Maximum consumption (g/day)</w:t>
            </w:r>
          </w:p>
        </w:tc>
      </w:tr>
      <w:tr w:rsidR="00D75B52" w:rsidRPr="00921BA5" w:rsidTr="00A3335E">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000" w:type="dxa"/>
            <w:vMerge/>
            <w:tcBorders>
              <w:right w:val="none" w:sz="0" w:space="0" w:color="auto"/>
            </w:tcBorders>
            <w:noWrap/>
            <w:hideMark/>
          </w:tcPr>
          <w:p w:rsidR="00D75B52" w:rsidRPr="00921BA5" w:rsidRDefault="00D75B52" w:rsidP="00A3335E">
            <w:pPr>
              <w:rPr>
                <w:rFonts w:cs="Arial"/>
                <w:color w:val="FFFFFF" w:themeColor="background1"/>
                <w:sz w:val="20"/>
                <w:szCs w:val="20"/>
              </w:rPr>
            </w:pPr>
          </w:p>
        </w:tc>
        <w:tc>
          <w:tcPr>
            <w:tcW w:w="1701" w:type="dxa"/>
            <w:vMerge/>
            <w:tcBorders>
              <w:left w:val="none" w:sz="0" w:space="0" w:color="auto"/>
              <w:right w:val="none" w:sz="0" w:space="0" w:color="auto"/>
            </w:tcBorders>
            <w:noWrap/>
            <w:hideMark/>
          </w:tcPr>
          <w:p w:rsidR="00D75B52" w:rsidRPr="00921BA5" w:rsidRDefault="00D75B52" w:rsidP="00A3335E">
            <w:pPr>
              <w:jc w:val="center"/>
              <w:cnfStyle w:val="000000100000" w:firstRow="0" w:lastRow="0" w:firstColumn="0" w:lastColumn="0" w:oddVBand="0" w:evenVBand="0" w:oddHBand="1" w:evenHBand="0" w:firstRowFirstColumn="0" w:firstRowLastColumn="0" w:lastRowFirstColumn="0" w:lastRowLastColumn="0"/>
              <w:rPr>
                <w:rFonts w:cs="Arial"/>
                <w:b/>
                <w:color w:val="FFFFFF" w:themeColor="background1"/>
                <w:sz w:val="20"/>
                <w:szCs w:val="20"/>
              </w:rPr>
            </w:pPr>
          </w:p>
        </w:tc>
        <w:tc>
          <w:tcPr>
            <w:tcW w:w="2928" w:type="dxa"/>
            <w:gridSpan w:val="3"/>
            <w:tcBorders>
              <w:left w:val="none" w:sz="0" w:space="0" w:color="auto"/>
              <w:bottom w:val="single" w:sz="8" w:space="0" w:color="7BA0CD" w:themeColor="accent1" w:themeTint="BF"/>
              <w:right w:val="none" w:sz="0" w:space="0" w:color="auto"/>
            </w:tcBorders>
            <w:shd w:val="clear" w:color="auto" w:fill="4F81BD" w:themeFill="accent1"/>
          </w:tcPr>
          <w:p w:rsidR="00D75B52" w:rsidRPr="00921BA5" w:rsidRDefault="00D75B52" w:rsidP="00A3335E">
            <w:pPr>
              <w:jc w:val="center"/>
              <w:cnfStyle w:val="000000100000" w:firstRow="0" w:lastRow="0" w:firstColumn="0" w:lastColumn="0" w:oddVBand="0" w:evenVBand="0" w:oddHBand="1" w:evenHBand="0" w:firstRowFirstColumn="0" w:firstRowLastColumn="0" w:lastRowFirstColumn="0" w:lastRowLastColumn="0"/>
              <w:rPr>
                <w:rFonts w:cs="Arial"/>
                <w:b/>
                <w:color w:val="FFFFFF" w:themeColor="background1"/>
                <w:sz w:val="20"/>
                <w:szCs w:val="20"/>
              </w:rPr>
            </w:pPr>
            <w:r w:rsidRPr="00921BA5">
              <w:rPr>
                <w:rFonts w:cs="Arial"/>
                <w:b/>
                <w:color w:val="FFFFFF" w:themeColor="background1"/>
                <w:sz w:val="20"/>
                <w:szCs w:val="20"/>
              </w:rPr>
              <w:t>Australia</w:t>
            </w:r>
          </w:p>
        </w:tc>
        <w:tc>
          <w:tcPr>
            <w:tcW w:w="3118" w:type="dxa"/>
            <w:gridSpan w:val="3"/>
            <w:tcBorders>
              <w:left w:val="none" w:sz="0" w:space="0" w:color="auto"/>
              <w:bottom w:val="single" w:sz="8" w:space="0" w:color="7BA0CD" w:themeColor="accent1" w:themeTint="BF"/>
            </w:tcBorders>
            <w:shd w:val="clear" w:color="auto" w:fill="4F81BD" w:themeFill="accent1"/>
          </w:tcPr>
          <w:p w:rsidR="00D75B52" w:rsidRPr="00921BA5" w:rsidRDefault="00D75B52" w:rsidP="00A3335E">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21BA5">
              <w:rPr>
                <w:rFonts w:cs="Arial"/>
                <w:b/>
                <w:color w:val="FFFFFF" w:themeColor="background1"/>
                <w:sz w:val="20"/>
                <w:szCs w:val="20"/>
              </w:rPr>
              <w:t>New Zealand</w:t>
            </w:r>
          </w:p>
        </w:tc>
      </w:tr>
      <w:tr w:rsidR="00D75B52" w:rsidRPr="00921BA5" w:rsidTr="00A3335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0" w:type="dxa"/>
            <w:vMerge/>
            <w:tcBorders>
              <w:right w:val="single" w:sz="8" w:space="0" w:color="7BA0CD" w:themeColor="accent1" w:themeTint="BF"/>
            </w:tcBorders>
            <w:noWrap/>
            <w:hideMark/>
          </w:tcPr>
          <w:p w:rsidR="00D75B52" w:rsidRPr="00921BA5" w:rsidRDefault="00D75B52" w:rsidP="00A3335E">
            <w:pPr>
              <w:rPr>
                <w:rFonts w:cs="Arial"/>
                <w:bCs w:val="0"/>
                <w:color w:val="FFFFFF" w:themeColor="background1"/>
                <w:sz w:val="20"/>
                <w:szCs w:val="20"/>
              </w:rPr>
            </w:pPr>
          </w:p>
        </w:tc>
        <w:tc>
          <w:tcPr>
            <w:tcW w:w="1701" w:type="dxa"/>
            <w:vMerge/>
            <w:tcBorders>
              <w:left w:val="single" w:sz="8" w:space="0" w:color="7BA0CD" w:themeColor="accent1" w:themeTint="BF"/>
              <w:right w:val="single" w:sz="8" w:space="0" w:color="7BA0CD" w:themeColor="accent1" w:themeTint="BF"/>
            </w:tcBorders>
            <w:noWrap/>
            <w:hideMark/>
          </w:tcPr>
          <w:p w:rsidR="00D75B52" w:rsidRPr="00921BA5" w:rsidRDefault="00D75B52" w:rsidP="00A3335E">
            <w:pPr>
              <w:cnfStyle w:val="000000010000" w:firstRow="0" w:lastRow="0" w:firstColumn="0" w:lastColumn="0" w:oddVBand="0" w:evenVBand="0" w:oddHBand="0" w:evenHBand="1" w:firstRowFirstColumn="0" w:firstRowLastColumn="0" w:lastRowFirstColumn="0" w:lastRowLastColumn="0"/>
              <w:rPr>
                <w:rFonts w:cs="Arial"/>
                <w:b/>
                <w:bCs/>
                <w:color w:val="FFFFFF" w:themeColor="background1"/>
                <w:sz w:val="20"/>
                <w:szCs w:val="20"/>
              </w:rPr>
            </w:pPr>
          </w:p>
        </w:tc>
        <w:tc>
          <w:tcPr>
            <w:tcW w:w="943" w:type="dxa"/>
            <w:tcBorders>
              <w:left w:val="single" w:sz="8" w:space="0" w:color="7BA0CD" w:themeColor="accent1" w:themeTint="BF"/>
              <w:right w:val="single" w:sz="8" w:space="0" w:color="7BA0CD" w:themeColor="accent1" w:themeTint="BF"/>
            </w:tcBorders>
            <w:shd w:val="clear" w:color="auto" w:fill="4F81BD" w:themeFill="accent1"/>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b/>
                <w:color w:val="FFFFFF" w:themeColor="background1"/>
                <w:sz w:val="20"/>
                <w:szCs w:val="20"/>
              </w:rPr>
            </w:pPr>
            <w:r w:rsidRPr="00921BA5">
              <w:rPr>
                <w:rFonts w:cs="Arial"/>
                <w:b/>
                <w:color w:val="FFFFFF" w:themeColor="background1"/>
                <w:sz w:val="20"/>
                <w:szCs w:val="20"/>
              </w:rPr>
              <w:t>2-6 years</w:t>
            </w:r>
          </w:p>
        </w:tc>
        <w:tc>
          <w:tcPr>
            <w:tcW w:w="993" w:type="dxa"/>
            <w:tcBorders>
              <w:left w:val="single" w:sz="8" w:space="0" w:color="7BA0CD" w:themeColor="accent1" w:themeTint="BF"/>
              <w:right w:val="single" w:sz="8" w:space="0" w:color="7BA0CD" w:themeColor="accent1" w:themeTint="BF"/>
            </w:tcBorders>
            <w:shd w:val="clear" w:color="auto" w:fill="4F81BD" w:themeFill="accent1"/>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b/>
                <w:color w:val="FFFFFF" w:themeColor="background1"/>
                <w:sz w:val="20"/>
                <w:szCs w:val="20"/>
              </w:rPr>
            </w:pPr>
            <w:r w:rsidRPr="00921BA5">
              <w:rPr>
                <w:rFonts w:cs="Arial"/>
                <w:b/>
                <w:color w:val="FFFFFF" w:themeColor="background1"/>
                <w:sz w:val="20"/>
                <w:szCs w:val="20"/>
              </w:rPr>
              <w:t>2-16 years</w:t>
            </w:r>
          </w:p>
        </w:tc>
        <w:tc>
          <w:tcPr>
            <w:tcW w:w="992" w:type="dxa"/>
            <w:tcBorders>
              <w:left w:val="single" w:sz="8" w:space="0" w:color="7BA0CD" w:themeColor="accent1" w:themeTint="BF"/>
              <w:right w:val="single" w:sz="8" w:space="0" w:color="7BA0CD" w:themeColor="accent1" w:themeTint="BF"/>
            </w:tcBorders>
            <w:shd w:val="clear" w:color="auto" w:fill="4F81BD" w:themeFill="accent1"/>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b/>
                <w:color w:val="FFFFFF" w:themeColor="background1"/>
                <w:sz w:val="20"/>
                <w:szCs w:val="20"/>
              </w:rPr>
            </w:pPr>
            <w:r w:rsidRPr="00921BA5">
              <w:rPr>
                <w:rFonts w:cs="Arial"/>
                <w:b/>
                <w:color w:val="FFFFFF" w:themeColor="background1"/>
                <w:sz w:val="20"/>
                <w:szCs w:val="20"/>
              </w:rPr>
              <w:t>17 years and above</w:t>
            </w:r>
          </w:p>
        </w:tc>
        <w:tc>
          <w:tcPr>
            <w:tcW w:w="992" w:type="dxa"/>
            <w:tcBorders>
              <w:left w:val="single" w:sz="8" w:space="0" w:color="7BA0CD" w:themeColor="accent1" w:themeTint="BF"/>
              <w:right w:val="single" w:sz="8" w:space="0" w:color="7BA0CD" w:themeColor="accent1" w:themeTint="BF"/>
            </w:tcBorders>
            <w:shd w:val="clear" w:color="auto" w:fill="4F81BD" w:themeFill="accent1"/>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b/>
                <w:color w:val="FFFFFF" w:themeColor="background1"/>
                <w:sz w:val="20"/>
                <w:szCs w:val="20"/>
              </w:rPr>
            </w:pPr>
            <w:r w:rsidRPr="00921BA5">
              <w:rPr>
                <w:rFonts w:cs="Arial"/>
                <w:b/>
                <w:color w:val="FFFFFF" w:themeColor="background1"/>
                <w:sz w:val="20"/>
                <w:szCs w:val="20"/>
              </w:rPr>
              <w:t>5-6 years</w:t>
            </w:r>
          </w:p>
        </w:tc>
        <w:tc>
          <w:tcPr>
            <w:tcW w:w="992" w:type="dxa"/>
            <w:tcBorders>
              <w:left w:val="single" w:sz="8" w:space="0" w:color="7BA0CD" w:themeColor="accent1" w:themeTint="BF"/>
              <w:right w:val="single" w:sz="8" w:space="0" w:color="7BA0CD" w:themeColor="accent1" w:themeTint="BF"/>
            </w:tcBorders>
            <w:shd w:val="clear" w:color="auto" w:fill="4F81BD" w:themeFill="accent1"/>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b/>
                <w:color w:val="FFFFFF" w:themeColor="background1"/>
                <w:sz w:val="20"/>
                <w:szCs w:val="20"/>
              </w:rPr>
            </w:pPr>
            <w:r w:rsidRPr="00921BA5">
              <w:rPr>
                <w:rFonts w:cs="Arial"/>
                <w:b/>
                <w:color w:val="FFFFFF" w:themeColor="background1"/>
                <w:sz w:val="20"/>
                <w:szCs w:val="20"/>
              </w:rPr>
              <w:t>5-14 years</w:t>
            </w:r>
          </w:p>
        </w:tc>
        <w:tc>
          <w:tcPr>
            <w:tcW w:w="1134" w:type="dxa"/>
            <w:tcBorders>
              <w:left w:val="single" w:sz="8" w:space="0" w:color="7BA0CD" w:themeColor="accent1" w:themeTint="BF"/>
            </w:tcBorders>
            <w:shd w:val="clear" w:color="auto" w:fill="4F81BD" w:themeFill="accent1"/>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b/>
                <w:color w:val="FFFFFF" w:themeColor="background1"/>
                <w:sz w:val="20"/>
                <w:szCs w:val="20"/>
              </w:rPr>
            </w:pPr>
            <w:r w:rsidRPr="00921BA5">
              <w:rPr>
                <w:rFonts w:cs="Arial"/>
                <w:b/>
                <w:color w:val="FFFFFF" w:themeColor="background1"/>
                <w:sz w:val="20"/>
                <w:szCs w:val="20"/>
              </w:rPr>
              <w:t>15 years and above</w:t>
            </w:r>
          </w:p>
        </w:tc>
      </w:tr>
      <w:tr w:rsidR="00D75B52" w:rsidRPr="00921BA5" w:rsidTr="00A333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0" w:type="dxa"/>
            <w:tcBorders>
              <w:right w:val="none" w:sz="0" w:space="0" w:color="auto"/>
            </w:tcBorders>
            <w:noWrap/>
            <w:hideMark/>
          </w:tcPr>
          <w:p w:rsidR="00D75B52" w:rsidRPr="00921BA5" w:rsidRDefault="00D75B52" w:rsidP="00A3335E">
            <w:pPr>
              <w:rPr>
                <w:rFonts w:cs="Arial"/>
                <w:sz w:val="20"/>
                <w:szCs w:val="20"/>
              </w:rPr>
            </w:pPr>
            <w:r w:rsidRPr="00921BA5">
              <w:rPr>
                <w:rFonts w:cs="Arial"/>
                <w:sz w:val="20"/>
                <w:szCs w:val="20"/>
              </w:rPr>
              <w:t>Almond oil</w:t>
            </w:r>
          </w:p>
        </w:tc>
        <w:tc>
          <w:tcPr>
            <w:tcW w:w="1701" w:type="dxa"/>
            <w:tcBorders>
              <w:left w:val="none" w:sz="0" w:space="0" w:color="auto"/>
              <w:right w:val="none" w:sz="0" w:space="0" w:color="auto"/>
            </w:tcBorders>
            <w:noWrap/>
            <w:hideMark/>
          </w:tcPr>
          <w:p w:rsidR="00D75B52" w:rsidRPr="00921BA5" w:rsidRDefault="00D75B52" w:rsidP="00A3335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4</w:t>
            </w:r>
          </w:p>
        </w:tc>
        <w:tc>
          <w:tcPr>
            <w:tcW w:w="943" w:type="dxa"/>
            <w:tcBorders>
              <w:left w:val="none" w:sz="0" w:space="0" w:color="auto"/>
              <w:right w:val="none" w:sz="0" w:space="0" w:color="auto"/>
            </w:tcBorders>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380</w:t>
            </w:r>
          </w:p>
        </w:tc>
        <w:tc>
          <w:tcPr>
            <w:tcW w:w="993" w:type="dxa"/>
            <w:tcBorders>
              <w:left w:val="none" w:sz="0" w:space="0" w:color="auto"/>
              <w:right w:val="none" w:sz="0" w:space="0" w:color="auto"/>
            </w:tcBorders>
            <w:noWrap/>
            <w:hideMark/>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760</w:t>
            </w:r>
          </w:p>
        </w:tc>
        <w:tc>
          <w:tcPr>
            <w:tcW w:w="992" w:type="dxa"/>
            <w:tcBorders>
              <w:left w:val="none" w:sz="0" w:space="0" w:color="auto"/>
              <w:right w:val="none" w:sz="0" w:space="0" w:color="auto"/>
            </w:tcBorders>
            <w:noWrap/>
            <w:hideMark/>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1480</w:t>
            </w:r>
          </w:p>
        </w:tc>
        <w:tc>
          <w:tcPr>
            <w:tcW w:w="992" w:type="dxa"/>
            <w:tcBorders>
              <w:left w:val="none" w:sz="0" w:space="0" w:color="auto"/>
              <w:right w:val="none" w:sz="0" w:space="0" w:color="auto"/>
            </w:tcBorders>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460</w:t>
            </w:r>
          </w:p>
        </w:tc>
        <w:tc>
          <w:tcPr>
            <w:tcW w:w="992" w:type="dxa"/>
            <w:tcBorders>
              <w:left w:val="none" w:sz="0" w:space="0" w:color="auto"/>
              <w:right w:val="none" w:sz="0" w:space="0" w:color="auto"/>
            </w:tcBorders>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840</w:t>
            </w:r>
          </w:p>
        </w:tc>
        <w:tc>
          <w:tcPr>
            <w:tcW w:w="1134" w:type="dxa"/>
            <w:tcBorders>
              <w:left w:val="none" w:sz="0" w:space="0" w:color="auto"/>
            </w:tcBorders>
            <w:noWrap/>
            <w:hideMark/>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1420</w:t>
            </w:r>
          </w:p>
        </w:tc>
      </w:tr>
      <w:tr w:rsidR="00D75B52" w:rsidRPr="00921BA5" w:rsidTr="00A3335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0" w:type="dxa"/>
            <w:tcBorders>
              <w:right w:val="none" w:sz="0" w:space="0" w:color="auto"/>
            </w:tcBorders>
            <w:noWrap/>
            <w:hideMark/>
          </w:tcPr>
          <w:p w:rsidR="00D75B52" w:rsidRPr="00921BA5" w:rsidRDefault="00D75B52" w:rsidP="00A3335E">
            <w:pPr>
              <w:rPr>
                <w:rFonts w:cs="Arial"/>
                <w:sz w:val="20"/>
                <w:szCs w:val="20"/>
              </w:rPr>
            </w:pPr>
            <w:r w:rsidRPr="00921BA5">
              <w:rPr>
                <w:rFonts w:cs="Arial"/>
                <w:sz w:val="20"/>
                <w:szCs w:val="20"/>
              </w:rPr>
              <w:t>Apple sauce</w:t>
            </w:r>
          </w:p>
        </w:tc>
        <w:tc>
          <w:tcPr>
            <w:tcW w:w="1701" w:type="dxa"/>
            <w:tcBorders>
              <w:left w:val="none" w:sz="0" w:space="0" w:color="auto"/>
              <w:right w:val="none" w:sz="0" w:space="0" w:color="auto"/>
            </w:tcBorders>
            <w:noWrap/>
            <w:hideMark/>
          </w:tcPr>
          <w:p w:rsidR="00D75B52" w:rsidRPr="00921BA5" w:rsidRDefault="00D75B52" w:rsidP="00A3335E">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4</w:t>
            </w:r>
          </w:p>
        </w:tc>
        <w:tc>
          <w:tcPr>
            <w:tcW w:w="943" w:type="dxa"/>
            <w:tcBorders>
              <w:left w:val="none" w:sz="0" w:space="0" w:color="auto"/>
              <w:right w:val="none" w:sz="0" w:space="0" w:color="auto"/>
            </w:tcBorders>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371</w:t>
            </w:r>
          </w:p>
        </w:tc>
        <w:tc>
          <w:tcPr>
            <w:tcW w:w="993" w:type="dxa"/>
            <w:tcBorders>
              <w:left w:val="none" w:sz="0" w:space="0" w:color="auto"/>
              <w:right w:val="none" w:sz="0" w:space="0" w:color="auto"/>
            </w:tcBorders>
            <w:noWrap/>
            <w:hideMark/>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741</w:t>
            </w:r>
          </w:p>
        </w:tc>
        <w:tc>
          <w:tcPr>
            <w:tcW w:w="992" w:type="dxa"/>
            <w:tcBorders>
              <w:left w:val="none" w:sz="0" w:space="0" w:color="auto"/>
              <w:right w:val="none" w:sz="0" w:space="0" w:color="auto"/>
            </w:tcBorders>
            <w:noWrap/>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992" w:type="dxa"/>
            <w:tcBorders>
              <w:left w:val="none" w:sz="0" w:space="0" w:color="auto"/>
              <w:right w:val="none" w:sz="0" w:space="0" w:color="auto"/>
            </w:tcBorders>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992" w:type="dxa"/>
            <w:tcBorders>
              <w:left w:val="none" w:sz="0" w:space="0" w:color="auto"/>
              <w:right w:val="none" w:sz="0" w:space="0" w:color="auto"/>
            </w:tcBorders>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1134" w:type="dxa"/>
            <w:tcBorders>
              <w:left w:val="none" w:sz="0" w:space="0" w:color="auto"/>
            </w:tcBorders>
            <w:noWrap/>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D75B52" w:rsidRPr="00921BA5" w:rsidTr="00A333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0" w:type="dxa"/>
            <w:tcBorders>
              <w:right w:val="none" w:sz="0" w:space="0" w:color="auto"/>
            </w:tcBorders>
            <w:noWrap/>
          </w:tcPr>
          <w:p w:rsidR="00D75B52" w:rsidRPr="00921BA5" w:rsidRDefault="00D75B52" w:rsidP="00A3335E">
            <w:pPr>
              <w:rPr>
                <w:rFonts w:cs="Arial"/>
                <w:sz w:val="20"/>
                <w:szCs w:val="20"/>
              </w:rPr>
            </w:pPr>
            <w:r w:rsidRPr="00921BA5">
              <w:rPr>
                <w:rFonts w:cs="Arial"/>
                <w:sz w:val="20"/>
                <w:szCs w:val="20"/>
              </w:rPr>
              <w:t>Apricot jam</w:t>
            </w:r>
          </w:p>
        </w:tc>
        <w:tc>
          <w:tcPr>
            <w:tcW w:w="1701" w:type="dxa"/>
            <w:tcBorders>
              <w:left w:val="none" w:sz="0" w:space="0" w:color="auto"/>
              <w:right w:val="none" w:sz="0" w:space="0" w:color="auto"/>
            </w:tcBorders>
            <w:noWrap/>
          </w:tcPr>
          <w:p w:rsidR="00D75B52" w:rsidRPr="00921BA5" w:rsidRDefault="00D75B52" w:rsidP="00A3335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4</w:t>
            </w:r>
          </w:p>
        </w:tc>
        <w:tc>
          <w:tcPr>
            <w:tcW w:w="943" w:type="dxa"/>
            <w:tcBorders>
              <w:left w:val="none" w:sz="0" w:space="0" w:color="auto"/>
              <w:right w:val="none" w:sz="0" w:space="0" w:color="auto"/>
            </w:tcBorders>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3" w:type="dxa"/>
            <w:tcBorders>
              <w:left w:val="none" w:sz="0" w:space="0" w:color="auto"/>
              <w:right w:val="none" w:sz="0" w:space="0" w:color="auto"/>
            </w:tcBorders>
            <w:noWrap/>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Borders>
              <w:left w:val="none" w:sz="0" w:space="0" w:color="auto"/>
              <w:right w:val="none" w:sz="0" w:space="0" w:color="auto"/>
            </w:tcBorders>
            <w:noWrap/>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Borders>
              <w:left w:val="none" w:sz="0" w:space="0" w:color="auto"/>
              <w:right w:val="none" w:sz="0" w:space="0" w:color="auto"/>
            </w:tcBorders>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460</w:t>
            </w:r>
          </w:p>
        </w:tc>
        <w:tc>
          <w:tcPr>
            <w:tcW w:w="992" w:type="dxa"/>
            <w:tcBorders>
              <w:left w:val="none" w:sz="0" w:space="0" w:color="auto"/>
              <w:right w:val="none" w:sz="0" w:space="0" w:color="auto"/>
            </w:tcBorders>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134" w:type="dxa"/>
            <w:tcBorders>
              <w:left w:val="none" w:sz="0" w:space="0" w:color="auto"/>
            </w:tcBorders>
            <w:noWrap/>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75B52" w:rsidRPr="00921BA5" w:rsidTr="00A3335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0" w:type="dxa"/>
            <w:tcBorders>
              <w:right w:val="none" w:sz="0" w:space="0" w:color="auto"/>
            </w:tcBorders>
            <w:noWrap/>
          </w:tcPr>
          <w:p w:rsidR="00D75B52" w:rsidRPr="00921BA5" w:rsidRDefault="00D75B52" w:rsidP="00A3335E">
            <w:pPr>
              <w:rPr>
                <w:rFonts w:cs="Arial"/>
                <w:sz w:val="20"/>
                <w:szCs w:val="20"/>
              </w:rPr>
            </w:pPr>
            <w:r w:rsidRPr="00921BA5">
              <w:rPr>
                <w:rFonts w:cs="Arial"/>
                <w:sz w:val="20"/>
                <w:szCs w:val="20"/>
              </w:rPr>
              <w:t>Apricot kernels (with skin)</w:t>
            </w:r>
          </w:p>
        </w:tc>
        <w:tc>
          <w:tcPr>
            <w:tcW w:w="1701" w:type="dxa"/>
            <w:tcBorders>
              <w:left w:val="none" w:sz="0" w:space="0" w:color="auto"/>
              <w:right w:val="none" w:sz="0" w:space="0" w:color="auto"/>
            </w:tcBorders>
            <w:noWrap/>
          </w:tcPr>
          <w:p w:rsidR="00D75B52" w:rsidRPr="00921BA5" w:rsidRDefault="00D75B52" w:rsidP="00A3335E">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2820</w:t>
            </w:r>
          </w:p>
        </w:tc>
        <w:tc>
          <w:tcPr>
            <w:tcW w:w="943" w:type="dxa"/>
            <w:tcBorders>
              <w:left w:val="none" w:sz="0" w:space="0" w:color="auto"/>
              <w:right w:val="none" w:sz="0" w:space="0" w:color="auto"/>
            </w:tcBorders>
          </w:tcPr>
          <w:p w:rsidR="00D75B52"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0.5</w:t>
            </w:r>
          </w:p>
          <w:p w:rsidR="00D75B52" w:rsidRPr="00F906F7"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18"/>
                <w:szCs w:val="18"/>
              </w:rPr>
            </w:pPr>
            <w:r w:rsidRPr="00F906F7">
              <w:rPr>
                <w:rFonts w:cs="Arial"/>
                <w:sz w:val="18"/>
                <w:szCs w:val="18"/>
              </w:rPr>
              <w:t>(&lt;1 kernel*)</w:t>
            </w:r>
          </w:p>
        </w:tc>
        <w:tc>
          <w:tcPr>
            <w:tcW w:w="993" w:type="dxa"/>
            <w:tcBorders>
              <w:left w:val="none" w:sz="0" w:space="0" w:color="auto"/>
              <w:right w:val="none" w:sz="0" w:space="0" w:color="auto"/>
            </w:tcBorders>
            <w:noWrap/>
          </w:tcPr>
          <w:p w:rsidR="00D75B52"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 xml:space="preserve">1.1 </w:t>
            </w:r>
          </w:p>
          <w:p w:rsidR="00D75B52" w:rsidRPr="007822E8"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18"/>
                <w:szCs w:val="18"/>
              </w:rPr>
            </w:pPr>
            <w:r w:rsidRPr="007822E8">
              <w:rPr>
                <w:rFonts w:cs="Arial"/>
                <w:sz w:val="18"/>
                <w:szCs w:val="18"/>
              </w:rPr>
              <w:t>(1 kernel*)</w:t>
            </w:r>
          </w:p>
        </w:tc>
        <w:tc>
          <w:tcPr>
            <w:tcW w:w="992" w:type="dxa"/>
            <w:tcBorders>
              <w:left w:val="none" w:sz="0" w:space="0" w:color="auto"/>
              <w:right w:val="none" w:sz="0" w:space="0" w:color="auto"/>
            </w:tcBorders>
            <w:noWrap/>
          </w:tcPr>
          <w:p w:rsidR="00D75B52"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2.1</w:t>
            </w:r>
            <w:r>
              <w:rPr>
                <w:rFonts w:cs="Arial"/>
                <w:sz w:val="20"/>
                <w:szCs w:val="20"/>
              </w:rPr>
              <w:t xml:space="preserve"> </w:t>
            </w:r>
          </w:p>
          <w:p w:rsidR="00D75B52" w:rsidRPr="007822E8"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18"/>
                <w:szCs w:val="18"/>
              </w:rPr>
            </w:pPr>
            <w:r w:rsidRPr="007822E8">
              <w:rPr>
                <w:rFonts w:cs="Arial"/>
                <w:sz w:val="18"/>
                <w:szCs w:val="18"/>
              </w:rPr>
              <w:t>(3 kernels*)</w:t>
            </w:r>
          </w:p>
        </w:tc>
        <w:tc>
          <w:tcPr>
            <w:tcW w:w="992" w:type="dxa"/>
            <w:tcBorders>
              <w:left w:val="none" w:sz="0" w:space="0" w:color="auto"/>
              <w:right w:val="none" w:sz="0" w:space="0" w:color="auto"/>
            </w:tcBorders>
          </w:tcPr>
          <w:p w:rsidR="00D75B52"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0.7</w:t>
            </w:r>
          </w:p>
          <w:p w:rsidR="00D75B52" w:rsidRPr="007822E8"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18"/>
                <w:szCs w:val="18"/>
              </w:rPr>
            </w:pPr>
            <w:r w:rsidRPr="007822E8">
              <w:rPr>
                <w:rFonts w:cs="Arial"/>
                <w:sz w:val="18"/>
                <w:szCs w:val="18"/>
              </w:rPr>
              <w:t>(1 kernel*)</w:t>
            </w:r>
          </w:p>
        </w:tc>
        <w:tc>
          <w:tcPr>
            <w:tcW w:w="992" w:type="dxa"/>
            <w:tcBorders>
              <w:left w:val="none" w:sz="0" w:space="0" w:color="auto"/>
              <w:right w:val="none" w:sz="0" w:space="0" w:color="auto"/>
            </w:tcBorders>
          </w:tcPr>
          <w:p w:rsidR="00D75B52"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 xml:space="preserve">1.2 </w:t>
            </w:r>
          </w:p>
          <w:p w:rsidR="00D75B52" w:rsidRPr="007822E8"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18"/>
                <w:szCs w:val="18"/>
              </w:rPr>
            </w:pPr>
            <w:r w:rsidRPr="007822E8">
              <w:rPr>
                <w:rFonts w:cs="Arial"/>
                <w:sz w:val="18"/>
                <w:szCs w:val="18"/>
              </w:rPr>
              <w:t>(1 kernel*)</w:t>
            </w:r>
          </w:p>
        </w:tc>
        <w:tc>
          <w:tcPr>
            <w:tcW w:w="1134" w:type="dxa"/>
            <w:tcBorders>
              <w:left w:val="none" w:sz="0" w:space="0" w:color="auto"/>
            </w:tcBorders>
            <w:noWrap/>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2.0</w:t>
            </w:r>
          </w:p>
          <w:p w:rsidR="00D75B52" w:rsidRPr="00F906F7"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18"/>
                <w:szCs w:val="18"/>
              </w:rPr>
            </w:pPr>
            <w:r w:rsidRPr="00F906F7">
              <w:rPr>
                <w:rFonts w:cs="Arial"/>
                <w:sz w:val="18"/>
                <w:szCs w:val="18"/>
              </w:rPr>
              <w:t>(3 kernels*)</w:t>
            </w:r>
          </w:p>
        </w:tc>
      </w:tr>
      <w:tr w:rsidR="00D75B52" w:rsidRPr="00921BA5" w:rsidTr="00A333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0" w:type="dxa"/>
            <w:tcBorders>
              <w:right w:val="none" w:sz="0" w:space="0" w:color="auto"/>
            </w:tcBorders>
            <w:noWrap/>
          </w:tcPr>
          <w:p w:rsidR="00D75B52" w:rsidRPr="00921BA5" w:rsidRDefault="00D75B52" w:rsidP="00A3335E">
            <w:pPr>
              <w:rPr>
                <w:rFonts w:cs="Arial"/>
                <w:sz w:val="20"/>
                <w:szCs w:val="20"/>
              </w:rPr>
            </w:pPr>
            <w:r w:rsidRPr="00921BA5">
              <w:rPr>
                <w:rFonts w:cs="Arial"/>
                <w:sz w:val="20"/>
                <w:szCs w:val="20"/>
              </w:rPr>
              <w:t>Apricot kernels (without skin)</w:t>
            </w:r>
          </w:p>
        </w:tc>
        <w:tc>
          <w:tcPr>
            <w:tcW w:w="1701" w:type="dxa"/>
            <w:tcBorders>
              <w:left w:val="none" w:sz="0" w:space="0" w:color="auto"/>
              <w:right w:val="none" w:sz="0" w:space="0" w:color="auto"/>
            </w:tcBorders>
            <w:noWrap/>
          </w:tcPr>
          <w:p w:rsidR="00D75B52" w:rsidRPr="00921BA5" w:rsidRDefault="00D75B52" w:rsidP="00A3335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440</w:t>
            </w:r>
          </w:p>
        </w:tc>
        <w:tc>
          <w:tcPr>
            <w:tcW w:w="943" w:type="dxa"/>
            <w:tcBorders>
              <w:left w:val="none" w:sz="0" w:space="0" w:color="auto"/>
              <w:right w:val="none" w:sz="0" w:space="0" w:color="auto"/>
            </w:tcBorders>
          </w:tcPr>
          <w:p w:rsidR="00D75B52"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6.9</w:t>
            </w:r>
          </w:p>
          <w:p w:rsidR="00D75B52" w:rsidRPr="00F906F7"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F906F7">
              <w:rPr>
                <w:rFonts w:cs="Arial"/>
                <w:sz w:val="18"/>
                <w:szCs w:val="18"/>
              </w:rPr>
              <w:t>(11 kernels*)</w:t>
            </w:r>
          </w:p>
        </w:tc>
        <w:tc>
          <w:tcPr>
            <w:tcW w:w="993" w:type="dxa"/>
            <w:tcBorders>
              <w:left w:val="none" w:sz="0" w:space="0" w:color="auto"/>
              <w:right w:val="none" w:sz="0" w:space="0" w:color="auto"/>
            </w:tcBorders>
            <w:noWrap/>
          </w:tcPr>
          <w:p w:rsidR="00D75B52"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13.5</w:t>
            </w:r>
          </w:p>
          <w:p w:rsidR="00D75B52" w:rsidRPr="007822E8"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7822E8">
              <w:rPr>
                <w:rFonts w:cs="Arial"/>
                <w:sz w:val="18"/>
                <w:szCs w:val="18"/>
              </w:rPr>
              <w:t>(22 kernels*)</w:t>
            </w:r>
          </w:p>
        </w:tc>
        <w:tc>
          <w:tcPr>
            <w:tcW w:w="992" w:type="dxa"/>
            <w:tcBorders>
              <w:left w:val="none" w:sz="0" w:space="0" w:color="auto"/>
              <w:right w:val="none" w:sz="0" w:space="0" w:color="auto"/>
            </w:tcBorders>
            <w:noWrap/>
          </w:tcPr>
          <w:p w:rsidR="00D75B52"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 xml:space="preserve">13.5 </w:t>
            </w:r>
          </w:p>
          <w:p w:rsidR="00D75B52" w:rsidRPr="007822E8"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7822E8">
              <w:rPr>
                <w:rFonts w:cs="Arial"/>
                <w:sz w:val="18"/>
                <w:szCs w:val="18"/>
              </w:rPr>
              <w:t>(22 kernels*)</w:t>
            </w:r>
          </w:p>
        </w:tc>
        <w:tc>
          <w:tcPr>
            <w:tcW w:w="992" w:type="dxa"/>
            <w:tcBorders>
              <w:left w:val="none" w:sz="0" w:space="0" w:color="auto"/>
              <w:right w:val="none" w:sz="0" w:space="0" w:color="auto"/>
            </w:tcBorders>
          </w:tcPr>
          <w:p w:rsidR="00D75B52"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4.2</w:t>
            </w:r>
          </w:p>
          <w:p w:rsidR="00D75B52" w:rsidRPr="007822E8"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7822E8">
              <w:rPr>
                <w:rFonts w:cs="Arial"/>
                <w:sz w:val="18"/>
                <w:szCs w:val="18"/>
              </w:rPr>
              <w:t>(6 kernels*)</w:t>
            </w:r>
          </w:p>
        </w:tc>
        <w:tc>
          <w:tcPr>
            <w:tcW w:w="992" w:type="dxa"/>
            <w:tcBorders>
              <w:left w:val="none" w:sz="0" w:space="0" w:color="auto"/>
              <w:right w:val="none" w:sz="0" w:space="0" w:color="auto"/>
            </w:tcBorders>
          </w:tcPr>
          <w:p w:rsidR="00D75B52"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7.6</w:t>
            </w:r>
          </w:p>
          <w:p w:rsidR="00D75B52" w:rsidRPr="007822E8"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7822E8">
              <w:rPr>
                <w:rFonts w:cs="Arial"/>
                <w:sz w:val="18"/>
                <w:szCs w:val="18"/>
              </w:rPr>
              <w:t>(12 kernels*)</w:t>
            </w:r>
          </w:p>
        </w:tc>
        <w:tc>
          <w:tcPr>
            <w:tcW w:w="1134" w:type="dxa"/>
            <w:tcBorders>
              <w:left w:val="none" w:sz="0" w:space="0" w:color="auto"/>
            </w:tcBorders>
            <w:noWrap/>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12.9</w:t>
            </w:r>
          </w:p>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(21 kernels*)</w:t>
            </w:r>
          </w:p>
        </w:tc>
      </w:tr>
      <w:tr w:rsidR="00D75B52" w:rsidRPr="00921BA5" w:rsidTr="00A3335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0" w:type="dxa"/>
            <w:tcBorders>
              <w:right w:val="none" w:sz="0" w:space="0" w:color="auto"/>
            </w:tcBorders>
            <w:noWrap/>
          </w:tcPr>
          <w:p w:rsidR="00D75B52" w:rsidRPr="00921BA5" w:rsidRDefault="00D75B52" w:rsidP="00A3335E">
            <w:pPr>
              <w:rPr>
                <w:rFonts w:cs="Arial"/>
                <w:sz w:val="20"/>
                <w:szCs w:val="20"/>
              </w:rPr>
            </w:pPr>
            <w:r w:rsidRPr="00921BA5">
              <w:rPr>
                <w:rFonts w:cs="Arial"/>
                <w:sz w:val="20"/>
                <w:szCs w:val="20"/>
              </w:rPr>
              <w:t>Apricot nectar</w:t>
            </w:r>
          </w:p>
        </w:tc>
        <w:tc>
          <w:tcPr>
            <w:tcW w:w="1701" w:type="dxa"/>
            <w:tcBorders>
              <w:left w:val="none" w:sz="0" w:space="0" w:color="auto"/>
              <w:right w:val="none" w:sz="0" w:space="0" w:color="auto"/>
            </w:tcBorders>
            <w:noWrap/>
          </w:tcPr>
          <w:p w:rsidR="00D75B52" w:rsidRPr="00921BA5" w:rsidRDefault="00BA246F" w:rsidP="00A3335E">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-5</w:t>
            </w:r>
          </w:p>
        </w:tc>
        <w:tc>
          <w:tcPr>
            <w:tcW w:w="943" w:type="dxa"/>
            <w:tcBorders>
              <w:left w:val="none" w:sz="0" w:space="0" w:color="auto"/>
              <w:right w:val="none" w:sz="0" w:space="0" w:color="auto"/>
            </w:tcBorders>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993" w:type="dxa"/>
            <w:tcBorders>
              <w:left w:val="none" w:sz="0" w:space="0" w:color="auto"/>
              <w:right w:val="none" w:sz="0" w:space="0" w:color="auto"/>
            </w:tcBorders>
            <w:noWrap/>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992" w:type="dxa"/>
            <w:tcBorders>
              <w:left w:val="none" w:sz="0" w:space="0" w:color="auto"/>
              <w:right w:val="none" w:sz="0" w:space="0" w:color="auto"/>
            </w:tcBorders>
            <w:noWrap/>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992" w:type="dxa"/>
            <w:tcBorders>
              <w:left w:val="none" w:sz="0" w:space="0" w:color="auto"/>
              <w:right w:val="none" w:sz="0" w:space="0" w:color="auto"/>
            </w:tcBorders>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992" w:type="dxa"/>
            <w:tcBorders>
              <w:left w:val="none" w:sz="0" w:space="0" w:color="auto"/>
              <w:right w:val="none" w:sz="0" w:space="0" w:color="auto"/>
            </w:tcBorders>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1134" w:type="dxa"/>
            <w:tcBorders>
              <w:left w:val="none" w:sz="0" w:space="0" w:color="auto"/>
            </w:tcBorders>
            <w:noWrap/>
          </w:tcPr>
          <w:p w:rsidR="00D75B52" w:rsidRPr="00921BA5" w:rsidRDefault="000146CE"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1136</w:t>
            </w:r>
          </w:p>
        </w:tc>
      </w:tr>
      <w:tr w:rsidR="00D75B52" w:rsidRPr="00921BA5" w:rsidTr="00A333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0" w:type="dxa"/>
            <w:tcBorders>
              <w:right w:val="none" w:sz="0" w:space="0" w:color="auto"/>
            </w:tcBorders>
            <w:noWrap/>
          </w:tcPr>
          <w:p w:rsidR="00D75B52" w:rsidRPr="00921BA5" w:rsidRDefault="00D75B52" w:rsidP="00A3335E">
            <w:pPr>
              <w:rPr>
                <w:rFonts w:cs="Arial"/>
                <w:sz w:val="20"/>
                <w:szCs w:val="20"/>
              </w:rPr>
            </w:pPr>
            <w:r w:rsidRPr="00921BA5">
              <w:rPr>
                <w:rFonts w:cs="Arial"/>
                <w:sz w:val="20"/>
                <w:szCs w:val="20"/>
              </w:rPr>
              <w:t>Biscuits, amaretti</w:t>
            </w:r>
          </w:p>
        </w:tc>
        <w:tc>
          <w:tcPr>
            <w:tcW w:w="1701" w:type="dxa"/>
            <w:tcBorders>
              <w:left w:val="none" w:sz="0" w:space="0" w:color="auto"/>
              <w:right w:val="none" w:sz="0" w:space="0" w:color="auto"/>
            </w:tcBorders>
            <w:noWrap/>
          </w:tcPr>
          <w:p w:rsidR="00D75B52" w:rsidRPr="00921BA5" w:rsidRDefault="00D75B52" w:rsidP="00A3335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34</w:t>
            </w:r>
          </w:p>
        </w:tc>
        <w:tc>
          <w:tcPr>
            <w:tcW w:w="943" w:type="dxa"/>
            <w:tcBorders>
              <w:left w:val="none" w:sz="0" w:space="0" w:color="auto"/>
              <w:right w:val="none" w:sz="0" w:space="0" w:color="auto"/>
            </w:tcBorders>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44</w:t>
            </w:r>
          </w:p>
        </w:tc>
        <w:tc>
          <w:tcPr>
            <w:tcW w:w="993" w:type="dxa"/>
            <w:tcBorders>
              <w:left w:val="none" w:sz="0" w:space="0" w:color="auto"/>
              <w:right w:val="none" w:sz="0" w:space="0" w:color="auto"/>
            </w:tcBorders>
            <w:noWrap/>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89</w:t>
            </w:r>
          </w:p>
        </w:tc>
        <w:tc>
          <w:tcPr>
            <w:tcW w:w="992" w:type="dxa"/>
            <w:tcBorders>
              <w:left w:val="none" w:sz="0" w:space="0" w:color="auto"/>
              <w:right w:val="none" w:sz="0" w:space="0" w:color="auto"/>
            </w:tcBorders>
            <w:noWrap/>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174</w:t>
            </w:r>
          </w:p>
        </w:tc>
        <w:tc>
          <w:tcPr>
            <w:tcW w:w="992" w:type="dxa"/>
            <w:tcBorders>
              <w:left w:val="none" w:sz="0" w:space="0" w:color="auto"/>
              <w:right w:val="none" w:sz="0" w:space="0" w:color="auto"/>
            </w:tcBorders>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54</w:t>
            </w:r>
          </w:p>
        </w:tc>
        <w:tc>
          <w:tcPr>
            <w:tcW w:w="992" w:type="dxa"/>
            <w:tcBorders>
              <w:left w:val="none" w:sz="0" w:space="0" w:color="auto"/>
              <w:right w:val="none" w:sz="0" w:space="0" w:color="auto"/>
            </w:tcBorders>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94</w:t>
            </w:r>
          </w:p>
        </w:tc>
        <w:tc>
          <w:tcPr>
            <w:tcW w:w="1134" w:type="dxa"/>
            <w:tcBorders>
              <w:left w:val="none" w:sz="0" w:space="0" w:color="auto"/>
            </w:tcBorders>
            <w:noWrap/>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167</w:t>
            </w:r>
          </w:p>
        </w:tc>
      </w:tr>
      <w:tr w:rsidR="00D75B52" w:rsidRPr="00921BA5" w:rsidTr="00A3335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0" w:type="dxa"/>
            <w:tcBorders>
              <w:right w:val="none" w:sz="0" w:space="0" w:color="auto"/>
            </w:tcBorders>
            <w:noWrap/>
          </w:tcPr>
          <w:p w:rsidR="00D75B52" w:rsidRPr="00921BA5" w:rsidRDefault="00D75B52" w:rsidP="00A3335E">
            <w:pPr>
              <w:rPr>
                <w:rFonts w:cs="Arial"/>
                <w:sz w:val="20"/>
                <w:szCs w:val="20"/>
              </w:rPr>
            </w:pPr>
            <w:r w:rsidRPr="00921BA5">
              <w:rPr>
                <w:rFonts w:cs="Arial"/>
                <w:sz w:val="20"/>
                <w:szCs w:val="20"/>
              </w:rPr>
              <w:t>Biscuits, almond fingers/apple fingers</w:t>
            </w:r>
          </w:p>
        </w:tc>
        <w:tc>
          <w:tcPr>
            <w:tcW w:w="1701" w:type="dxa"/>
            <w:tcBorders>
              <w:left w:val="none" w:sz="0" w:space="0" w:color="auto"/>
              <w:right w:val="none" w:sz="0" w:space="0" w:color="auto"/>
            </w:tcBorders>
            <w:noWrap/>
          </w:tcPr>
          <w:p w:rsidR="00D75B52" w:rsidRPr="00921BA5" w:rsidRDefault="00D75B52" w:rsidP="00A3335E">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13</w:t>
            </w:r>
          </w:p>
        </w:tc>
        <w:tc>
          <w:tcPr>
            <w:tcW w:w="943" w:type="dxa"/>
            <w:tcBorders>
              <w:left w:val="none" w:sz="0" w:space="0" w:color="auto"/>
              <w:right w:val="none" w:sz="0" w:space="0" w:color="auto"/>
            </w:tcBorders>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116</w:t>
            </w:r>
          </w:p>
        </w:tc>
        <w:tc>
          <w:tcPr>
            <w:tcW w:w="993" w:type="dxa"/>
            <w:tcBorders>
              <w:left w:val="none" w:sz="0" w:space="0" w:color="auto"/>
              <w:right w:val="none" w:sz="0" w:space="0" w:color="auto"/>
            </w:tcBorders>
            <w:noWrap/>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233</w:t>
            </w:r>
          </w:p>
        </w:tc>
        <w:tc>
          <w:tcPr>
            <w:tcW w:w="992" w:type="dxa"/>
            <w:tcBorders>
              <w:left w:val="none" w:sz="0" w:space="0" w:color="auto"/>
              <w:right w:val="none" w:sz="0" w:space="0" w:color="auto"/>
            </w:tcBorders>
            <w:noWrap/>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455</w:t>
            </w:r>
          </w:p>
        </w:tc>
        <w:tc>
          <w:tcPr>
            <w:tcW w:w="992" w:type="dxa"/>
            <w:tcBorders>
              <w:left w:val="none" w:sz="0" w:space="0" w:color="auto"/>
              <w:right w:val="none" w:sz="0" w:space="0" w:color="auto"/>
            </w:tcBorders>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141</w:t>
            </w:r>
          </w:p>
        </w:tc>
        <w:tc>
          <w:tcPr>
            <w:tcW w:w="992" w:type="dxa"/>
            <w:tcBorders>
              <w:left w:val="none" w:sz="0" w:space="0" w:color="auto"/>
              <w:right w:val="none" w:sz="0" w:space="0" w:color="auto"/>
            </w:tcBorders>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246</w:t>
            </w:r>
          </w:p>
        </w:tc>
        <w:tc>
          <w:tcPr>
            <w:tcW w:w="1134" w:type="dxa"/>
            <w:tcBorders>
              <w:left w:val="none" w:sz="0" w:space="0" w:color="auto"/>
            </w:tcBorders>
            <w:noWrap/>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436</w:t>
            </w:r>
          </w:p>
        </w:tc>
      </w:tr>
      <w:tr w:rsidR="00D75B52" w:rsidRPr="00921BA5" w:rsidTr="00A333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0" w:type="dxa"/>
            <w:tcBorders>
              <w:right w:val="none" w:sz="0" w:space="0" w:color="auto"/>
            </w:tcBorders>
            <w:noWrap/>
            <w:hideMark/>
          </w:tcPr>
          <w:p w:rsidR="00D75B52" w:rsidRPr="00921BA5" w:rsidRDefault="00D75B52" w:rsidP="00A3335E">
            <w:pPr>
              <w:rPr>
                <w:rFonts w:cs="Arial"/>
                <w:sz w:val="20"/>
                <w:szCs w:val="20"/>
              </w:rPr>
            </w:pPr>
            <w:r w:rsidRPr="00921BA5">
              <w:rPr>
                <w:rFonts w:cs="Arial"/>
                <w:sz w:val="20"/>
                <w:szCs w:val="20"/>
              </w:rPr>
              <w:t>Butter beans</w:t>
            </w:r>
          </w:p>
        </w:tc>
        <w:tc>
          <w:tcPr>
            <w:tcW w:w="1701" w:type="dxa"/>
            <w:tcBorders>
              <w:left w:val="none" w:sz="0" w:space="0" w:color="auto"/>
              <w:right w:val="none" w:sz="0" w:space="0" w:color="auto"/>
            </w:tcBorders>
            <w:noWrap/>
            <w:hideMark/>
          </w:tcPr>
          <w:p w:rsidR="00D75B52" w:rsidRPr="00921BA5" w:rsidRDefault="00D75B52" w:rsidP="00A3335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7</w:t>
            </w:r>
          </w:p>
        </w:tc>
        <w:tc>
          <w:tcPr>
            <w:tcW w:w="943" w:type="dxa"/>
            <w:tcBorders>
              <w:left w:val="none" w:sz="0" w:space="0" w:color="auto"/>
              <w:right w:val="none" w:sz="0" w:space="0" w:color="auto"/>
            </w:tcBorders>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3" w:type="dxa"/>
            <w:tcBorders>
              <w:left w:val="none" w:sz="0" w:space="0" w:color="auto"/>
              <w:right w:val="none" w:sz="0" w:space="0" w:color="auto"/>
            </w:tcBorders>
            <w:noWrap/>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Borders>
              <w:left w:val="none" w:sz="0" w:space="0" w:color="auto"/>
              <w:right w:val="none" w:sz="0" w:space="0" w:color="auto"/>
            </w:tcBorders>
            <w:noWrap/>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Borders>
              <w:left w:val="none" w:sz="0" w:space="0" w:color="auto"/>
              <w:right w:val="none" w:sz="0" w:space="0" w:color="auto"/>
            </w:tcBorders>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Borders>
              <w:left w:val="none" w:sz="0" w:space="0" w:color="auto"/>
              <w:right w:val="none" w:sz="0" w:space="0" w:color="auto"/>
            </w:tcBorders>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134" w:type="dxa"/>
            <w:tcBorders>
              <w:left w:val="none" w:sz="0" w:space="0" w:color="auto"/>
            </w:tcBorders>
            <w:noWrap/>
            <w:hideMark/>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835</w:t>
            </w:r>
          </w:p>
        </w:tc>
      </w:tr>
      <w:tr w:rsidR="00D75B52" w:rsidRPr="00921BA5" w:rsidTr="00A3335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0" w:type="dxa"/>
            <w:tcBorders>
              <w:right w:val="none" w:sz="0" w:space="0" w:color="auto"/>
            </w:tcBorders>
            <w:noWrap/>
            <w:hideMark/>
          </w:tcPr>
          <w:p w:rsidR="00D75B52" w:rsidRPr="00921BA5" w:rsidRDefault="00D75B52" w:rsidP="00A3335E">
            <w:pPr>
              <w:rPr>
                <w:rFonts w:cs="Arial"/>
                <w:sz w:val="20"/>
                <w:szCs w:val="20"/>
              </w:rPr>
            </w:pPr>
            <w:r w:rsidRPr="00921BA5">
              <w:rPr>
                <w:rFonts w:cs="Arial"/>
                <w:sz w:val="20"/>
                <w:szCs w:val="20"/>
              </w:rPr>
              <w:t>Lima beans</w:t>
            </w:r>
          </w:p>
        </w:tc>
        <w:tc>
          <w:tcPr>
            <w:tcW w:w="1701" w:type="dxa"/>
            <w:tcBorders>
              <w:left w:val="none" w:sz="0" w:space="0" w:color="auto"/>
              <w:right w:val="none" w:sz="0" w:space="0" w:color="auto"/>
            </w:tcBorders>
            <w:noWrap/>
            <w:hideMark/>
          </w:tcPr>
          <w:p w:rsidR="00D75B52" w:rsidRPr="00921BA5" w:rsidRDefault="00D75B52" w:rsidP="00A3335E">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32</w:t>
            </w:r>
          </w:p>
        </w:tc>
        <w:tc>
          <w:tcPr>
            <w:tcW w:w="943" w:type="dxa"/>
            <w:tcBorders>
              <w:left w:val="none" w:sz="0" w:space="0" w:color="auto"/>
              <w:right w:val="none" w:sz="0" w:space="0" w:color="auto"/>
            </w:tcBorders>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993" w:type="dxa"/>
            <w:tcBorders>
              <w:left w:val="none" w:sz="0" w:space="0" w:color="auto"/>
              <w:right w:val="none" w:sz="0" w:space="0" w:color="auto"/>
            </w:tcBorders>
            <w:noWrap/>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992" w:type="dxa"/>
            <w:tcBorders>
              <w:left w:val="none" w:sz="0" w:space="0" w:color="auto"/>
              <w:right w:val="none" w:sz="0" w:space="0" w:color="auto"/>
            </w:tcBorders>
            <w:noWrap/>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992" w:type="dxa"/>
            <w:tcBorders>
              <w:left w:val="none" w:sz="0" w:space="0" w:color="auto"/>
              <w:right w:val="none" w:sz="0" w:space="0" w:color="auto"/>
            </w:tcBorders>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57</w:t>
            </w:r>
          </w:p>
        </w:tc>
        <w:tc>
          <w:tcPr>
            <w:tcW w:w="992" w:type="dxa"/>
            <w:tcBorders>
              <w:left w:val="none" w:sz="0" w:space="0" w:color="auto"/>
              <w:right w:val="none" w:sz="0" w:space="0" w:color="auto"/>
            </w:tcBorders>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104</w:t>
            </w:r>
          </w:p>
        </w:tc>
        <w:tc>
          <w:tcPr>
            <w:tcW w:w="1134" w:type="dxa"/>
            <w:tcBorders>
              <w:left w:val="none" w:sz="0" w:space="0" w:color="auto"/>
            </w:tcBorders>
            <w:noWrap/>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D75B52" w:rsidRPr="00921BA5" w:rsidTr="00A333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0" w:type="dxa"/>
            <w:tcBorders>
              <w:right w:val="none" w:sz="0" w:space="0" w:color="auto"/>
            </w:tcBorders>
            <w:noWrap/>
            <w:hideMark/>
          </w:tcPr>
          <w:p w:rsidR="00D75B52" w:rsidRPr="00921BA5" w:rsidRDefault="00D75B52" w:rsidP="00A3335E">
            <w:pPr>
              <w:rPr>
                <w:rFonts w:cs="Arial"/>
                <w:sz w:val="20"/>
                <w:szCs w:val="20"/>
              </w:rPr>
            </w:pPr>
            <w:r w:rsidRPr="00921BA5">
              <w:rPr>
                <w:rFonts w:cs="Arial"/>
                <w:sz w:val="20"/>
                <w:szCs w:val="20"/>
              </w:rPr>
              <w:t>Linseeds</w:t>
            </w:r>
          </w:p>
        </w:tc>
        <w:tc>
          <w:tcPr>
            <w:tcW w:w="1701" w:type="dxa"/>
            <w:tcBorders>
              <w:left w:val="none" w:sz="0" w:space="0" w:color="auto"/>
              <w:right w:val="none" w:sz="0" w:space="0" w:color="auto"/>
            </w:tcBorders>
            <w:noWrap/>
            <w:hideMark/>
          </w:tcPr>
          <w:p w:rsidR="00D75B52" w:rsidRPr="00921BA5" w:rsidRDefault="00D75B52" w:rsidP="00A3335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178</w:t>
            </w:r>
          </w:p>
        </w:tc>
        <w:tc>
          <w:tcPr>
            <w:tcW w:w="943" w:type="dxa"/>
            <w:tcBorders>
              <w:left w:val="none" w:sz="0" w:space="0" w:color="auto"/>
              <w:right w:val="none" w:sz="0" w:space="0" w:color="auto"/>
            </w:tcBorders>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3" w:type="dxa"/>
            <w:tcBorders>
              <w:left w:val="none" w:sz="0" w:space="0" w:color="auto"/>
              <w:right w:val="none" w:sz="0" w:space="0" w:color="auto"/>
            </w:tcBorders>
            <w:noWrap/>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Borders>
              <w:left w:val="none" w:sz="0" w:space="0" w:color="auto"/>
              <w:right w:val="none" w:sz="0" w:space="0" w:color="auto"/>
            </w:tcBorders>
            <w:noWrap/>
            <w:hideMark/>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33</w:t>
            </w:r>
          </w:p>
        </w:tc>
        <w:tc>
          <w:tcPr>
            <w:tcW w:w="992" w:type="dxa"/>
            <w:tcBorders>
              <w:left w:val="none" w:sz="0" w:space="0" w:color="auto"/>
              <w:right w:val="none" w:sz="0" w:space="0" w:color="auto"/>
            </w:tcBorders>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Borders>
              <w:left w:val="none" w:sz="0" w:space="0" w:color="auto"/>
              <w:right w:val="none" w:sz="0" w:space="0" w:color="auto"/>
            </w:tcBorders>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134" w:type="dxa"/>
            <w:tcBorders>
              <w:left w:val="none" w:sz="0" w:space="0" w:color="auto"/>
            </w:tcBorders>
            <w:noWrap/>
            <w:hideMark/>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32</w:t>
            </w:r>
          </w:p>
        </w:tc>
      </w:tr>
      <w:tr w:rsidR="00D75B52" w:rsidRPr="00921BA5" w:rsidTr="00A3335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0" w:type="dxa"/>
            <w:tcBorders>
              <w:right w:val="none" w:sz="0" w:space="0" w:color="auto"/>
            </w:tcBorders>
            <w:noWrap/>
            <w:hideMark/>
          </w:tcPr>
          <w:p w:rsidR="00D75B52" w:rsidRPr="00921BA5" w:rsidRDefault="00D75B52" w:rsidP="00A3335E">
            <w:pPr>
              <w:rPr>
                <w:rFonts w:cs="Arial"/>
                <w:sz w:val="20"/>
                <w:szCs w:val="20"/>
              </w:rPr>
            </w:pPr>
            <w:r w:rsidRPr="00921BA5">
              <w:rPr>
                <w:rFonts w:cs="Arial"/>
                <w:sz w:val="20"/>
                <w:szCs w:val="20"/>
              </w:rPr>
              <w:t>Linseed oil</w:t>
            </w:r>
          </w:p>
        </w:tc>
        <w:tc>
          <w:tcPr>
            <w:tcW w:w="1701" w:type="dxa"/>
            <w:tcBorders>
              <w:left w:val="none" w:sz="0" w:space="0" w:color="auto"/>
              <w:right w:val="none" w:sz="0" w:space="0" w:color="auto"/>
            </w:tcBorders>
            <w:noWrap/>
            <w:hideMark/>
          </w:tcPr>
          <w:p w:rsidR="00D75B52" w:rsidRPr="00921BA5" w:rsidRDefault="00D75B52" w:rsidP="00A3335E">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4</w:t>
            </w:r>
          </w:p>
        </w:tc>
        <w:tc>
          <w:tcPr>
            <w:tcW w:w="943" w:type="dxa"/>
            <w:tcBorders>
              <w:left w:val="none" w:sz="0" w:space="0" w:color="auto"/>
              <w:right w:val="none" w:sz="0" w:space="0" w:color="auto"/>
            </w:tcBorders>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993" w:type="dxa"/>
            <w:tcBorders>
              <w:left w:val="none" w:sz="0" w:space="0" w:color="auto"/>
              <w:right w:val="none" w:sz="0" w:space="0" w:color="auto"/>
            </w:tcBorders>
            <w:noWrap/>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992" w:type="dxa"/>
            <w:tcBorders>
              <w:left w:val="none" w:sz="0" w:space="0" w:color="auto"/>
              <w:right w:val="none" w:sz="0" w:space="0" w:color="auto"/>
            </w:tcBorders>
            <w:noWrap/>
            <w:hideMark/>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1480</w:t>
            </w:r>
          </w:p>
        </w:tc>
        <w:tc>
          <w:tcPr>
            <w:tcW w:w="992" w:type="dxa"/>
            <w:tcBorders>
              <w:left w:val="none" w:sz="0" w:space="0" w:color="auto"/>
              <w:right w:val="none" w:sz="0" w:space="0" w:color="auto"/>
            </w:tcBorders>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460</w:t>
            </w:r>
          </w:p>
        </w:tc>
        <w:tc>
          <w:tcPr>
            <w:tcW w:w="992" w:type="dxa"/>
            <w:tcBorders>
              <w:left w:val="none" w:sz="0" w:space="0" w:color="auto"/>
              <w:right w:val="none" w:sz="0" w:space="0" w:color="auto"/>
            </w:tcBorders>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840</w:t>
            </w:r>
          </w:p>
        </w:tc>
        <w:tc>
          <w:tcPr>
            <w:tcW w:w="1134" w:type="dxa"/>
            <w:tcBorders>
              <w:left w:val="none" w:sz="0" w:space="0" w:color="auto"/>
            </w:tcBorders>
            <w:noWrap/>
            <w:hideMark/>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1420</w:t>
            </w:r>
          </w:p>
        </w:tc>
      </w:tr>
      <w:tr w:rsidR="00D75B52" w:rsidRPr="00921BA5" w:rsidTr="00A333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0" w:type="dxa"/>
            <w:tcBorders>
              <w:right w:val="none" w:sz="0" w:space="0" w:color="auto"/>
            </w:tcBorders>
            <w:noWrap/>
            <w:hideMark/>
          </w:tcPr>
          <w:p w:rsidR="00D75B52" w:rsidRPr="00921BA5" w:rsidRDefault="00D75B52" w:rsidP="00A3335E">
            <w:pPr>
              <w:rPr>
                <w:rFonts w:cs="Arial"/>
                <w:sz w:val="20"/>
                <w:szCs w:val="20"/>
              </w:rPr>
            </w:pPr>
            <w:r w:rsidRPr="00921BA5">
              <w:rPr>
                <w:rFonts w:cs="Arial"/>
                <w:sz w:val="20"/>
                <w:szCs w:val="20"/>
              </w:rPr>
              <w:t>LSA mix</w:t>
            </w:r>
          </w:p>
        </w:tc>
        <w:tc>
          <w:tcPr>
            <w:tcW w:w="1701" w:type="dxa"/>
            <w:tcBorders>
              <w:left w:val="none" w:sz="0" w:space="0" w:color="auto"/>
              <w:right w:val="none" w:sz="0" w:space="0" w:color="auto"/>
            </w:tcBorders>
            <w:noWrap/>
            <w:hideMark/>
          </w:tcPr>
          <w:p w:rsidR="00D75B52" w:rsidRPr="00921BA5" w:rsidRDefault="00D75B52" w:rsidP="00A3335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60</w:t>
            </w:r>
          </w:p>
        </w:tc>
        <w:tc>
          <w:tcPr>
            <w:tcW w:w="943" w:type="dxa"/>
            <w:tcBorders>
              <w:left w:val="none" w:sz="0" w:space="0" w:color="auto"/>
              <w:right w:val="none" w:sz="0" w:space="0" w:color="auto"/>
            </w:tcBorders>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3" w:type="dxa"/>
            <w:tcBorders>
              <w:left w:val="none" w:sz="0" w:space="0" w:color="auto"/>
              <w:right w:val="none" w:sz="0" w:space="0" w:color="auto"/>
            </w:tcBorders>
            <w:noWrap/>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Borders>
              <w:left w:val="none" w:sz="0" w:space="0" w:color="auto"/>
              <w:right w:val="none" w:sz="0" w:space="0" w:color="auto"/>
            </w:tcBorders>
            <w:noWrap/>
            <w:hideMark/>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99</w:t>
            </w:r>
          </w:p>
        </w:tc>
        <w:tc>
          <w:tcPr>
            <w:tcW w:w="992" w:type="dxa"/>
            <w:tcBorders>
              <w:left w:val="none" w:sz="0" w:space="0" w:color="auto"/>
              <w:right w:val="none" w:sz="0" w:space="0" w:color="auto"/>
            </w:tcBorders>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31</w:t>
            </w:r>
          </w:p>
        </w:tc>
        <w:tc>
          <w:tcPr>
            <w:tcW w:w="992" w:type="dxa"/>
            <w:tcBorders>
              <w:left w:val="none" w:sz="0" w:space="0" w:color="auto"/>
              <w:right w:val="none" w:sz="0" w:space="0" w:color="auto"/>
            </w:tcBorders>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56</w:t>
            </w:r>
          </w:p>
        </w:tc>
        <w:tc>
          <w:tcPr>
            <w:tcW w:w="1134" w:type="dxa"/>
            <w:tcBorders>
              <w:left w:val="none" w:sz="0" w:space="0" w:color="auto"/>
            </w:tcBorders>
            <w:noWrap/>
            <w:hideMark/>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95</w:t>
            </w:r>
          </w:p>
        </w:tc>
      </w:tr>
      <w:tr w:rsidR="00D75B52" w:rsidRPr="00921BA5" w:rsidTr="00A3335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0" w:type="dxa"/>
            <w:tcBorders>
              <w:right w:val="none" w:sz="0" w:space="0" w:color="auto"/>
            </w:tcBorders>
            <w:noWrap/>
            <w:hideMark/>
          </w:tcPr>
          <w:p w:rsidR="00D75B52" w:rsidRPr="00921BA5" w:rsidRDefault="00D75B52" w:rsidP="00A3335E">
            <w:pPr>
              <w:rPr>
                <w:rFonts w:cs="Arial"/>
                <w:sz w:val="20"/>
                <w:szCs w:val="20"/>
              </w:rPr>
            </w:pPr>
            <w:r w:rsidRPr="00921BA5">
              <w:rPr>
                <w:rFonts w:cs="Arial"/>
                <w:sz w:val="20"/>
                <w:szCs w:val="20"/>
              </w:rPr>
              <w:t>Marzipan</w:t>
            </w:r>
          </w:p>
        </w:tc>
        <w:tc>
          <w:tcPr>
            <w:tcW w:w="1701" w:type="dxa"/>
            <w:tcBorders>
              <w:left w:val="none" w:sz="0" w:space="0" w:color="auto"/>
              <w:bottom w:val="single" w:sz="8" w:space="0" w:color="7BA0CD" w:themeColor="accent1" w:themeTint="BF"/>
              <w:right w:val="none" w:sz="0" w:space="0" w:color="auto"/>
            </w:tcBorders>
            <w:noWrap/>
            <w:hideMark/>
          </w:tcPr>
          <w:p w:rsidR="00D75B52" w:rsidRPr="00921BA5" w:rsidRDefault="00D75B52" w:rsidP="00A3335E">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5</w:t>
            </w:r>
          </w:p>
        </w:tc>
        <w:tc>
          <w:tcPr>
            <w:tcW w:w="943" w:type="dxa"/>
            <w:tcBorders>
              <w:left w:val="none" w:sz="0" w:space="0" w:color="auto"/>
              <w:bottom w:val="single" w:sz="8" w:space="0" w:color="7BA0CD" w:themeColor="accent1" w:themeTint="BF"/>
              <w:right w:val="none" w:sz="0" w:space="0" w:color="auto"/>
            </w:tcBorders>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287</w:t>
            </w:r>
          </w:p>
        </w:tc>
        <w:tc>
          <w:tcPr>
            <w:tcW w:w="993" w:type="dxa"/>
            <w:tcBorders>
              <w:left w:val="none" w:sz="0" w:space="0" w:color="auto"/>
              <w:bottom w:val="single" w:sz="8" w:space="0" w:color="7BA0CD" w:themeColor="accent1" w:themeTint="BF"/>
              <w:right w:val="none" w:sz="0" w:space="0" w:color="auto"/>
            </w:tcBorders>
            <w:noWrap/>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992" w:type="dxa"/>
            <w:tcBorders>
              <w:left w:val="none" w:sz="0" w:space="0" w:color="auto"/>
              <w:bottom w:val="single" w:sz="8" w:space="0" w:color="7BA0CD" w:themeColor="accent1" w:themeTint="BF"/>
              <w:right w:val="none" w:sz="0" w:space="0" w:color="auto"/>
            </w:tcBorders>
            <w:noWrap/>
            <w:hideMark/>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1117</w:t>
            </w:r>
          </w:p>
        </w:tc>
        <w:tc>
          <w:tcPr>
            <w:tcW w:w="992" w:type="dxa"/>
            <w:tcBorders>
              <w:left w:val="none" w:sz="0" w:space="0" w:color="auto"/>
              <w:bottom w:val="single" w:sz="8" w:space="0" w:color="7BA0CD" w:themeColor="accent1" w:themeTint="BF"/>
              <w:right w:val="none" w:sz="0" w:space="0" w:color="auto"/>
            </w:tcBorders>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347</w:t>
            </w:r>
          </w:p>
        </w:tc>
        <w:tc>
          <w:tcPr>
            <w:tcW w:w="992" w:type="dxa"/>
            <w:tcBorders>
              <w:left w:val="none" w:sz="0" w:space="0" w:color="auto"/>
              <w:bottom w:val="single" w:sz="8" w:space="0" w:color="7BA0CD" w:themeColor="accent1" w:themeTint="BF"/>
              <w:right w:val="none" w:sz="0" w:space="0" w:color="auto"/>
            </w:tcBorders>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634</w:t>
            </w:r>
          </w:p>
        </w:tc>
        <w:tc>
          <w:tcPr>
            <w:tcW w:w="1134" w:type="dxa"/>
            <w:tcBorders>
              <w:left w:val="none" w:sz="0" w:space="0" w:color="auto"/>
              <w:bottom w:val="single" w:sz="8" w:space="0" w:color="7BA0CD" w:themeColor="accent1" w:themeTint="BF"/>
            </w:tcBorders>
            <w:noWrap/>
            <w:hideMark/>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1072</w:t>
            </w:r>
          </w:p>
        </w:tc>
      </w:tr>
      <w:tr w:rsidR="00D75B52" w:rsidRPr="00921BA5" w:rsidTr="00A333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0" w:type="dxa"/>
            <w:tcBorders>
              <w:bottom w:val="single" w:sz="8" w:space="0" w:color="7BA0CD" w:themeColor="accent1" w:themeTint="BF"/>
              <w:right w:val="single" w:sz="8" w:space="0" w:color="7BA0CD" w:themeColor="accent1" w:themeTint="BF"/>
            </w:tcBorders>
            <w:noWrap/>
            <w:hideMark/>
          </w:tcPr>
          <w:p w:rsidR="00D75B52" w:rsidRPr="00921BA5" w:rsidRDefault="00D75B52" w:rsidP="00A3335E">
            <w:pPr>
              <w:rPr>
                <w:rFonts w:cs="Arial"/>
                <w:sz w:val="20"/>
                <w:szCs w:val="20"/>
              </w:rPr>
            </w:pPr>
            <w:r w:rsidRPr="00921BA5">
              <w:rPr>
                <w:rFonts w:cs="Arial"/>
                <w:sz w:val="20"/>
                <w:szCs w:val="20"/>
              </w:rPr>
              <w:t>Prune juice</w:t>
            </w:r>
          </w:p>
        </w:tc>
        <w:tc>
          <w:tcPr>
            <w:tcW w:w="1701" w:type="dxa"/>
            <w:tcBorders>
              <w:left w:val="single" w:sz="8" w:space="0" w:color="7BA0CD" w:themeColor="accent1" w:themeTint="BF"/>
              <w:bottom w:val="single" w:sz="8" w:space="0" w:color="7BA0CD" w:themeColor="accent1" w:themeTint="BF"/>
              <w:right w:val="single" w:sz="8" w:space="0" w:color="7BA0CD" w:themeColor="accent1" w:themeTint="BF"/>
            </w:tcBorders>
            <w:noWrap/>
            <w:hideMark/>
          </w:tcPr>
          <w:p w:rsidR="00D75B52" w:rsidRPr="00921BA5" w:rsidRDefault="00D75B52" w:rsidP="00A3335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4</w:t>
            </w:r>
          </w:p>
        </w:tc>
        <w:tc>
          <w:tcPr>
            <w:tcW w:w="943" w:type="dxa"/>
            <w:tcBorders>
              <w:left w:val="single" w:sz="8" w:space="0" w:color="7BA0CD" w:themeColor="accent1" w:themeTint="BF"/>
              <w:bottom w:val="single" w:sz="8" w:space="0" w:color="7BA0CD" w:themeColor="accent1" w:themeTint="BF"/>
              <w:right w:val="single" w:sz="8" w:space="0" w:color="7BA0CD" w:themeColor="accent1" w:themeTint="BF"/>
            </w:tcBorders>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3" w:type="dxa"/>
            <w:tcBorders>
              <w:left w:val="single" w:sz="8" w:space="0" w:color="7BA0CD" w:themeColor="accent1" w:themeTint="BF"/>
              <w:bottom w:val="single" w:sz="8" w:space="0" w:color="7BA0CD" w:themeColor="accent1" w:themeTint="BF"/>
              <w:right w:val="single" w:sz="8" w:space="0" w:color="7BA0CD" w:themeColor="accent1" w:themeTint="BF"/>
            </w:tcBorders>
            <w:noWrap/>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Borders>
              <w:left w:val="single" w:sz="8" w:space="0" w:color="7BA0CD" w:themeColor="accent1" w:themeTint="BF"/>
              <w:bottom w:val="single" w:sz="8" w:space="0" w:color="7BA0CD" w:themeColor="accent1" w:themeTint="BF"/>
              <w:right w:val="single" w:sz="8" w:space="0" w:color="7BA0CD" w:themeColor="accent1" w:themeTint="BF"/>
            </w:tcBorders>
            <w:noWrap/>
            <w:hideMark/>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Borders>
              <w:left w:val="single" w:sz="8" w:space="0" w:color="7BA0CD" w:themeColor="accent1" w:themeTint="BF"/>
              <w:bottom w:val="single" w:sz="8" w:space="0" w:color="7BA0CD" w:themeColor="accent1" w:themeTint="BF"/>
              <w:right w:val="single" w:sz="8" w:space="0" w:color="7BA0CD" w:themeColor="accent1" w:themeTint="BF"/>
            </w:tcBorders>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460</w:t>
            </w:r>
          </w:p>
        </w:tc>
        <w:tc>
          <w:tcPr>
            <w:tcW w:w="992" w:type="dxa"/>
            <w:tcBorders>
              <w:left w:val="single" w:sz="8" w:space="0" w:color="7BA0CD" w:themeColor="accent1" w:themeTint="BF"/>
              <w:bottom w:val="single" w:sz="8" w:space="0" w:color="7BA0CD" w:themeColor="accent1" w:themeTint="BF"/>
              <w:right w:val="single" w:sz="8" w:space="0" w:color="7BA0CD" w:themeColor="accent1" w:themeTint="BF"/>
            </w:tcBorders>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840</w:t>
            </w:r>
          </w:p>
        </w:tc>
        <w:tc>
          <w:tcPr>
            <w:tcW w:w="1134" w:type="dxa"/>
            <w:tcBorders>
              <w:left w:val="single" w:sz="8" w:space="0" w:color="7BA0CD" w:themeColor="accent1" w:themeTint="BF"/>
              <w:bottom w:val="single" w:sz="8" w:space="0" w:color="7BA0CD" w:themeColor="accent1" w:themeTint="BF"/>
            </w:tcBorders>
            <w:noWrap/>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75B52" w:rsidRPr="00921BA5" w:rsidTr="00A3335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0" w:type="dxa"/>
            <w:tcBorders>
              <w:right w:val="none" w:sz="0" w:space="0" w:color="auto"/>
            </w:tcBorders>
            <w:noWrap/>
            <w:hideMark/>
          </w:tcPr>
          <w:p w:rsidR="00D75B52" w:rsidRPr="00921BA5" w:rsidRDefault="00D75B52" w:rsidP="00A3335E">
            <w:pPr>
              <w:rPr>
                <w:rFonts w:cs="Arial"/>
                <w:sz w:val="20"/>
                <w:szCs w:val="20"/>
              </w:rPr>
            </w:pPr>
            <w:r w:rsidRPr="00921BA5">
              <w:rPr>
                <w:rFonts w:cs="Arial"/>
                <w:sz w:val="20"/>
                <w:szCs w:val="20"/>
              </w:rPr>
              <w:t>Pumpkin seeds</w:t>
            </w:r>
          </w:p>
        </w:tc>
        <w:tc>
          <w:tcPr>
            <w:tcW w:w="1701" w:type="dxa"/>
            <w:tcBorders>
              <w:left w:val="none" w:sz="0" w:space="0" w:color="auto"/>
              <w:right w:val="none" w:sz="0" w:space="0" w:color="auto"/>
            </w:tcBorders>
            <w:noWrap/>
            <w:hideMark/>
          </w:tcPr>
          <w:p w:rsidR="00D75B52" w:rsidRPr="00921BA5" w:rsidRDefault="00D75B52" w:rsidP="00A3335E">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4</w:t>
            </w:r>
          </w:p>
        </w:tc>
        <w:tc>
          <w:tcPr>
            <w:tcW w:w="943" w:type="dxa"/>
            <w:tcBorders>
              <w:left w:val="none" w:sz="0" w:space="0" w:color="auto"/>
              <w:right w:val="none" w:sz="0" w:space="0" w:color="auto"/>
            </w:tcBorders>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993" w:type="dxa"/>
            <w:tcBorders>
              <w:left w:val="none" w:sz="0" w:space="0" w:color="auto"/>
              <w:right w:val="none" w:sz="0" w:space="0" w:color="auto"/>
            </w:tcBorders>
            <w:noWrap/>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992" w:type="dxa"/>
            <w:tcBorders>
              <w:left w:val="none" w:sz="0" w:space="0" w:color="auto"/>
              <w:right w:val="none" w:sz="0" w:space="0" w:color="auto"/>
            </w:tcBorders>
            <w:noWrap/>
            <w:hideMark/>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1480</w:t>
            </w:r>
          </w:p>
        </w:tc>
        <w:tc>
          <w:tcPr>
            <w:tcW w:w="992" w:type="dxa"/>
            <w:tcBorders>
              <w:left w:val="none" w:sz="0" w:space="0" w:color="auto"/>
              <w:right w:val="none" w:sz="0" w:space="0" w:color="auto"/>
            </w:tcBorders>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992" w:type="dxa"/>
            <w:tcBorders>
              <w:left w:val="none" w:sz="0" w:space="0" w:color="auto"/>
              <w:right w:val="none" w:sz="0" w:space="0" w:color="auto"/>
            </w:tcBorders>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1134" w:type="dxa"/>
            <w:tcBorders>
              <w:left w:val="none" w:sz="0" w:space="0" w:color="auto"/>
            </w:tcBorders>
            <w:noWrap/>
            <w:hideMark/>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1420</w:t>
            </w:r>
          </w:p>
        </w:tc>
      </w:tr>
      <w:tr w:rsidR="00D75B52" w:rsidRPr="00921BA5" w:rsidTr="00A333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0" w:type="dxa"/>
            <w:tcBorders>
              <w:bottom w:val="single" w:sz="8" w:space="0" w:color="7BA0CD" w:themeColor="accent1" w:themeTint="BF"/>
              <w:right w:val="single" w:sz="8" w:space="0" w:color="7BA0CD" w:themeColor="accent1" w:themeTint="BF"/>
            </w:tcBorders>
            <w:noWrap/>
            <w:hideMark/>
          </w:tcPr>
          <w:p w:rsidR="00D75B52" w:rsidRPr="00921BA5" w:rsidRDefault="00D75B52" w:rsidP="00A3335E">
            <w:pPr>
              <w:rPr>
                <w:rFonts w:cs="Arial"/>
                <w:sz w:val="20"/>
                <w:szCs w:val="20"/>
              </w:rPr>
            </w:pPr>
            <w:r w:rsidRPr="00921BA5">
              <w:rPr>
                <w:rFonts w:cs="Arial"/>
                <w:sz w:val="20"/>
                <w:szCs w:val="20"/>
              </w:rPr>
              <w:t>Taro, in mixed foods</w:t>
            </w:r>
          </w:p>
        </w:tc>
        <w:tc>
          <w:tcPr>
            <w:tcW w:w="1701" w:type="dxa"/>
            <w:tcBorders>
              <w:left w:val="single" w:sz="8" w:space="0" w:color="7BA0CD" w:themeColor="accent1" w:themeTint="BF"/>
              <w:bottom w:val="single" w:sz="8" w:space="0" w:color="7BA0CD" w:themeColor="accent1" w:themeTint="BF"/>
              <w:right w:val="single" w:sz="8" w:space="0" w:color="7BA0CD" w:themeColor="accent1" w:themeTint="BF"/>
            </w:tcBorders>
            <w:noWrap/>
            <w:hideMark/>
          </w:tcPr>
          <w:p w:rsidR="00D75B52" w:rsidRPr="00921BA5" w:rsidRDefault="00D75B52" w:rsidP="00A3335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4</w:t>
            </w:r>
          </w:p>
        </w:tc>
        <w:tc>
          <w:tcPr>
            <w:tcW w:w="943" w:type="dxa"/>
            <w:tcBorders>
              <w:left w:val="single" w:sz="8" w:space="0" w:color="7BA0CD" w:themeColor="accent1" w:themeTint="BF"/>
              <w:bottom w:val="single" w:sz="8" w:space="0" w:color="7BA0CD" w:themeColor="accent1" w:themeTint="BF"/>
              <w:right w:val="single" w:sz="8" w:space="0" w:color="7BA0CD" w:themeColor="accent1" w:themeTint="BF"/>
            </w:tcBorders>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380</w:t>
            </w:r>
          </w:p>
        </w:tc>
        <w:tc>
          <w:tcPr>
            <w:tcW w:w="993" w:type="dxa"/>
            <w:tcBorders>
              <w:left w:val="single" w:sz="8" w:space="0" w:color="7BA0CD" w:themeColor="accent1" w:themeTint="BF"/>
              <w:bottom w:val="single" w:sz="8" w:space="0" w:color="7BA0CD" w:themeColor="accent1" w:themeTint="BF"/>
              <w:right w:val="single" w:sz="8" w:space="0" w:color="7BA0CD" w:themeColor="accent1" w:themeTint="BF"/>
            </w:tcBorders>
            <w:noWrap/>
            <w:hideMark/>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760</w:t>
            </w:r>
          </w:p>
        </w:tc>
        <w:tc>
          <w:tcPr>
            <w:tcW w:w="992" w:type="dxa"/>
            <w:tcBorders>
              <w:left w:val="single" w:sz="8" w:space="0" w:color="7BA0CD" w:themeColor="accent1" w:themeTint="BF"/>
              <w:bottom w:val="single" w:sz="8" w:space="0" w:color="7BA0CD" w:themeColor="accent1" w:themeTint="BF"/>
              <w:right w:val="single" w:sz="8" w:space="0" w:color="7BA0CD" w:themeColor="accent1" w:themeTint="BF"/>
            </w:tcBorders>
            <w:noWrap/>
            <w:hideMark/>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1480</w:t>
            </w:r>
          </w:p>
        </w:tc>
        <w:tc>
          <w:tcPr>
            <w:tcW w:w="992" w:type="dxa"/>
            <w:tcBorders>
              <w:left w:val="single" w:sz="8" w:space="0" w:color="7BA0CD" w:themeColor="accent1" w:themeTint="BF"/>
              <w:bottom w:val="single" w:sz="8" w:space="0" w:color="7BA0CD" w:themeColor="accent1" w:themeTint="BF"/>
              <w:right w:val="single" w:sz="8" w:space="0" w:color="7BA0CD" w:themeColor="accent1" w:themeTint="BF"/>
            </w:tcBorders>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Borders>
              <w:left w:val="single" w:sz="8" w:space="0" w:color="7BA0CD" w:themeColor="accent1" w:themeTint="BF"/>
              <w:bottom w:val="single" w:sz="8" w:space="0" w:color="7BA0CD" w:themeColor="accent1" w:themeTint="BF"/>
              <w:right w:val="single" w:sz="8" w:space="0" w:color="7BA0CD" w:themeColor="accent1" w:themeTint="BF"/>
            </w:tcBorders>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134" w:type="dxa"/>
            <w:tcBorders>
              <w:left w:val="single" w:sz="8" w:space="0" w:color="7BA0CD" w:themeColor="accent1" w:themeTint="BF"/>
              <w:bottom w:val="single" w:sz="8" w:space="0" w:color="7BA0CD" w:themeColor="accent1" w:themeTint="BF"/>
            </w:tcBorders>
            <w:noWrap/>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75B52" w:rsidRPr="00921BA5" w:rsidTr="00A3335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0" w:type="dxa"/>
            <w:tcBorders>
              <w:right w:val="single" w:sz="8" w:space="0" w:color="7BA0CD" w:themeColor="accent1" w:themeTint="BF"/>
            </w:tcBorders>
            <w:noWrap/>
            <w:hideMark/>
          </w:tcPr>
          <w:p w:rsidR="00D75B52" w:rsidRPr="00921BA5" w:rsidRDefault="00D75B52" w:rsidP="00A3335E">
            <w:pPr>
              <w:rPr>
                <w:rFonts w:cs="Arial"/>
                <w:sz w:val="20"/>
                <w:szCs w:val="20"/>
              </w:rPr>
            </w:pPr>
            <w:r w:rsidRPr="00921BA5">
              <w:rPr>
                <w:rFonts w:cs="Arial"/>
                <w:sz w:val="20"/>
                <w:szCs w:val="20"/>
              </w:rPr>
              <w:t>Taro, leaves only</w:t>
            </w:r>
          </w:p>
        </w:tc>
        <w:tc>
          <w:tcPr>
            <w:tcW w:w="1701" w:type="dxa"/>
            <w:tcBorders>
              <w:left w:val="single" w:sz="8" w:space="0" w:color="7BA0CD" w:themeColor="accent1" w:themeTint="BF"/>
              <w:right w:val="single" w:sz="8" w:space="0" w:color="7BA0CD" w:themeColor="accent1" w:themeTint="BF"/>
            </w:tcBorders>
            <w:noWrap/>
            <w:hideMark/>
          </w:tcPr>
          <w:p w:rsidR="00D75B52" w:rsidRPr="00921BA5" w:rsidRDefault="00D75B52" w:rsidP="00A3335E">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4</w:t>
            </w:r>
          </w:p>
        </w:tc>
        <w:tc>
          <w:tcPr>
            <w:tcW w:w="943" w:type="dxa"/>
            <w:tcBorders>
              <w:left w:val="single" w:sz="8" w:space="0" w:color="7BA0CD" w:themeColor="accent1" w:themeTint="BF"/>
              <w:right w:val="single" w:sz="8" w:space="0" w:color="7BA0CD" w:themeColor="accent1" w:themeTint="BF"/>
            </w:tcBorders>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380</w:t>
            </w:r>
          </w:p>
        </w:tc>
        <w:tc>
          <w:tcPr>
            <w:tcW w:w="993" w:type="dxa"/>
            <w:tcBorders>
              <w:left w:val="single" w:sz="8" w:space="0" w:color="7BA0CD" w:themeColor="accent1" w:themeTint="BF"/>
              <w:right w:val="single" w:sz="8" w:space="0" w:color="7BA0CD" w:themeColor="accent1" w:themeTint="BF"/>
            </w:tcBorders>
            <w:noWrap/>
            <w:hideMark/>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760</w:t>
            </w:r>
          </w:p>
        </w:tc>
        <w:tc>
          <w:tcPr>
            <w:tcW w:w="992" w:type="dxa"/>
            <w:tcBorders>
              <w:left w:val="single" w:sz="8" w:space="0" w:color="7BA0CD" w:themeColor="accent1" w:themeTint="BF"/>
              <w:right w:val="single" w:sz="8" w:space="0" w:color="7BA0CD" w:themeColor="accent1" w:themeTint="BF"/>
            </w:tcBorders>
            <w:noWrap/>
            <w:hideMark/>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921BA5">
              <w:rPr>
                <w:rFonts w:cs="Arial"/>
                <w:sz w:val="20"/>
                <w:szCs w:val="20"/>
              </w:rPr>
              <w:t>1480</w:t>
            </w:r>
          </w:p>
        </w:tc>
        <w:tc>
          <w:tcPr>
            <w:tcW w:w="992" w:type="dxa"/>
            <w:tcBorders>
              <w:left w:val="single" w:sz="8" w:space="0" w:color="7BA0CD" w:themeColor="accent1" w:themeTint="BF"/>
              <w:right w:val="single" w:sz="8" w:space="0" w:color="7BA0CD" w:themeColor="accent1" w:themeTint="BF"/>
            </w:tcBorders>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992" w:type="dxa"/>
            <w:tcBorders>
              <w:left w:val="single" w:sz="8" w:space="0" w:color="7BA0CD" w:themeColor="accent1" w:themeTint="BF"/>
              <w:right w:val="single" w:sz="8" w:space="0" w:color="7BA0CD" w:themeColor="accent1" w:themeTint="BF"/>
            </w:tcBorders>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1134" w:type="dxa"/>
            <w:tcBorders>
              <w:left w:val="single" w:sz="8" w:space="0" w:color="7BA0CD" w:themeColor="accent1" w:themeTint="BF"/>
            </w:tcBorders>
            <w:noWrap/>
          </w:tcPr>
          <w:p w:rsidR="00D75B52" w:rsidRPr="00921BA5" w:rsidRDefault="00D75B52" w:rsidP="00A3335E">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D75B52" w:rsidRPr="00921BA5" w:rsidTr="00A333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0" w:type="dxa"/>
            <w:tcBorders>
              <w:right w:val="single" w:sz="8" w:space="0" w:color="7BA0CD" w:themeColor="accent1" w:themeTint="BF"/>
            </w:tcBorders>
            <w:noWrap/>
            <w:hideMark/>
          </w:tcPr>
          <w:p w:rsidR="00D75B52" w:rsidRPr="00921BA5" w:rsidRDefault="00D75B52" w:rsidP="00A3335E">
            <w:pPr>
              <w:rPr>
                <w:rFonts w:cs="Arial"/>
                <w:sz w:val="20"/>
                <w:szCs w:val="20"/>
              </w:rPr>
            </w:pPr>
            <w:r w:rsidRPr="00921BA5">
              <w:rPr>
                <w:rFonts w:cs="Arial"/>
                <w:sz w:val="20"/>
                <w:szCs w:val="20"/>
              </w:rPr>
              <w:t>Vine leaves, stuffed, canned</w:t>
            </w:r>
          </w:p>
        </w:tc>
        <w:tc>
          <w:tcPr>
            <w:tcW w:w="1701" w:type="dxa"/>
            <w:tcBorders>
              <w:left w:val="single" w:sz="8" w:space="0" w:color="7BA0CD" w:themeColor="accent1" w:themeTint="BF"/>
              <w:right w:val="single" w:sz="8" w:space="0" w:color="7BA0CD" w:themeColor="accent1" w:themeTint="BF"/>
            </w:tcBorders>
            <w:noWrap/>
            <w:hideMark/>
          </w:tcPr>
          <w:p w:rsidR="00D75B52" w:rsidRPr="00921BA5" w:rsidRDefault="00D75B52" w:rsidP="00A3335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4</w:t>
            </w:r>
          </w:p>
        </w:tc>
        <w:tc>
          <w:tcPr>
            <w:tcW w:w="943" w:type="dxa"/>
            <w:tcBorders>
              <w:left w:val="single" w:sz="8" w:space="0" w:color="7BA0CD" w:themeColor="accent1" w:themeTint="BF"/>
              <w:right w:val="single" w:sz="8" w:space="0" w:color="7BA0CD" w:themeColor="accent1" w:themeTint="BF"/>
            </w:tcBorders>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3" w:type="dxa"/>
            <w:tcBorders>
              <w:left w:val="single" w:sz="8" w:space="0" w:color="7BA0CD" w:themeColor="accent1" w:themeTint="BF"/>
              <w:right w:val="single" w:sz="8" w:space="0" w:color="7BA0CD" w:themeColor="accent1" w:themeTint="BF"/>
            </w:tcBorders>
            <w:noWrap/>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Borders>
              <w:left w:val="single" w:sz="8" w:space="0" w:color="7BA0CD" w:themeColor="accent1" w:themeTint="BF"/>
              <w:right w:val="single" w:sz="8" w:space="0" w:color="7BA0CD" w:themeColor="accent1" w:themeTint="BF"/>
            </w:tcBorders>
            <w:noWrap/>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Borders>
              <w:left w:val="single" w:sz="8" w:space="0" w:color="7BA0CD" w:themeColor="accent1" w:themeTint="BF"/>
              <w:right w:val="single" w:sz="8" w:space="0" w:color="7BA0CD" w:themeColor="accent1" w:themeTint="BF"/>
            </w:tcBorders>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460</w:t>
            </w:r>
          </w:p>
        </w:tc>
        <w:tc>
          <w:tcPr>
            <w:tcW w:w="992" w:type="dxa"/>
            <w:tcBorders>
              <w:left w:val="single" w:sz="8" w:space="0" w:color="7BA0CD" w:themeColor="accent1" w:themeTint="BF"/>
              <w:right w:val="single" w:sz="8" w:space="0" w:color="7BA0CD" w:themeColor="accent1" w:themeTint="BF"/>
            </w:tcBorders>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840</w:t>
            </w:r>
          </w:p>
        </w:tc>
        <w:tc>
          <w:tcPr>
            <w:tcW w:w="1134" w:type="dxa"/>
            <w:tcBorders>
              <w:left w:val="single" w:sz="8" w:space="0" w:color="7BA0CD" w:themeColor="accent1" w:themeTint="BF"/>
            </w:tcBorders>
            <w:noWrap/>
            <w:hideMark/>
          </w:tcPr>
          <w:p w:rsidR="00D75B52" w:rsidRPr="00921BA5" w:rsidRDefault="00D75B52" w:rsidP="00A3335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921BA5">
              <w:rPr>
                <w:rFonts w:cs="Arial"/>
                <w:sz w:val="20"/>
                <w:szCs w:val="20"/>
              </w:rPr>
              <w:t>1420</w:t>
            </w:r>
          </w:p>
        </w:tc>
      </w:tr>
    </w:tbl>
    <w:p w:rsidR="00D75B52" w:rsidRPr="00921BA5" w:rsidRDefault="00D75B52" w:rsidP="00D75B52">
      <w:pPr>
        <w:rPr>
          <w:rFonts w:cs="Arial"/>
          <w:sz w:val="18"/>
          <w:szCs w:val="18"/>
        </w:rPr>
      </w:pPr>
      <w:r w:rsidRPr="00921BA5">
        <w:rPr>
          <w:rFonts w:cs="Arial"/>
          <w:sz w:val="18"/>
          <w:szCs w:val="18"/>
        </w:rPr>
        <w:t>Acute reference dose = 80 µg HCN/kg bw.</w:t>
      </w:r>
    </w:p>
    <w:p w:rsidR="00D75B52" w:rsidRPr="00921BA5" w:rsidRDefault="00D75B52" w:rsidP="00D75B52">
      <w:pPr>
        <w:rPr>
          <w:rFonts w:cs="Arial"/>
          <w:sz w:val="18"/>
          <w:szCs w:val="18"/>
        </w:rPr>
      </w:pPr>
      <w:r w:rsidRPr="00921BA5">
        <w:rPr>
          <w:rFonts w:cs="Arial"/>
          <w:sz w:val="18"/>
          <w:szCs w:val="18"/>
        </w:rPr>
        <w:t xml:space="preserve">Blank cells: </w:t>
      </w:r>
      <w:r>
        <w:rPr>
          <w:rFonts w:cs="Arial"/>
          <w:sz w:val="18"/>
          <w:szCs w:val="18"/>
        </w:rPr>
        <w:t>A</w:t>
      </w:r>
      <w:r w:rsidRPr="00921BA5">
        <w:rPr>
          <w:rFonts w:cs="Arial"/>
          <w:sz w:val="18"/>
          <w:szCs w:val="18"/>
        </w:rPr>
        <w:t xml:space="preserve"> deterministic acute dietary exposure was able to be done for this population group therefore this calculation was not required.</w:t>
      </w:r>
    </w:p>
    <w:p w:rsidR="00D75B52" w:rsidRDefault="00D75B52" w:rsidP="00D75B52">
      <w:pPr>
        <w:rPr>
          <w:rFonts w:cs="Arial"/>
          <w:sz w:val="18"/>
          <w:szCs w:val="18"/>
        </w:rPr>
      </w:pPr>
      <w:r w:rsidRPr="00921BA5">
        <w:rPr>
          <w:rFonts w:cs="Arial"/>
          <w:sz w:val="18"/>
          <w:szCs w:val="18"/>
        </w:rPr>
        <w:t>* Weight of 1 kernel = 0.6 grams, rounded down to nearest whole kernel.</w:t>
      </w:r>
    </w:p>
    <w:p w:rsidR="00062AB2" w:rsidRPr="00062AB2" w:rsidRDefault="00062AB2" w:rsidP="00062AB2">
      <w:pPr>
        <w:rPr>
          <w:rFonts w:cs="Arial"/>
          <w:szCs w:val="22"/>
        </w:rPr>
      </w:pPr>
    </w:p>
    <w:p w:rsidR="00E352E7" w:rsidRDefault="00062AB2" w:rsidP="00E352E7">
      <w:pPr>
        <w:rPr>
          <w:rFonts w:cs="Arial"/>
          <w:szCs w:val="22"/>
          <w:lang w:val="en-GB"/>
        </w:rPr>
      </w:pPr>
      <w:r w:rsidRPr="00E352E7">
        <w:rPr>
          <w:rFonts w:cs="Arial"/>
          <w:i/>
          <w:szCs w:val="22"/>
          <w:lang w:val="en-GB"/>
        </w:rPr>
        <w:t>Apricot kernels</w:t>
      </w:r>
      <w:r w:rsidRPr="009C19E9">
        <w:rPr>
          <w:rFonts w:cs="Arial"/>
          <w:szCs w:val="22"/>
          <w:lang w:val="en-GB"/>
        </w:rPr>
        <w:t xml:space="preserve"> </w:t>
      </w:r>
    </w:p>
    <w:p w:rsidR="00E352E7" w:rsidRDefault="00E352E7" w:rsidP="00E352E7">
      <w:pPr>
        <w:rPr>
          <w:rFonts w:cs="Arial"/>
          <w:szCs w:val="22"/>
          <w:lang w:val="en-GB"/>
        </w:rPr>
      </w:pPr>
    </w:p>
    <w:p w:rsidR="001E0CB0" w:rsidRDefault="00E352E7" w:rsidP="001E0CB0">
      <w:pPr>
        <w:rPr>
          <w:rFonts w:cs="Arial"/>
          <w:szCs w:val="22"/>
        </w:rPr>
      </w:pPr>
      <w:r>
        <w:rPr>
          <w:rFonts w:cs="Arial"/>
          <w:szCs w:val="22"/>
          <w:lang w:val="en-GB"/>
        </w:rPr>
        <w:t>A</w:t>
      </w:r>
      <w:r w:rsidR="00062AB2" w:rsidRPr="009C19E9">
        <w:rPr>
          <w:rFonts w:cs="Arial"/>
          <w:szCs w:val="22"/>
          <w:lang w:val="en-GB"/>
        </w:rPr>
        <w:t xml:space="preserve"> deterministic calculation of acute dietary exposure was conducted for raw apricot kernels</w:t>
      </w:r>
      <w:r w:rsidR="00BF7BD6" w:rsidRPr="009C19E9">
        <w:rPr>
          <w:rFonts w:cs="Arial"/>
          <w:szCs w:val="22"/>
          <w:lang w:val="en-GB"/>
        </w:rPr>
        <w:t xml:space="preserve"> for adult</w:t>
      </w:r>
      <w:r w:rsidR="00A10AF6" w:rsidRPr="009C19E9">
        <w:rPr>
          <w:rFonts w:cs="Arial"/>
          <w:szCs w:val="22"/>
          <w:lang w:val="en-GB"/>
        </w:rPr>
        <w:t>s only</w:t>
      </w:r>
      <w:r w:rsidR="001E0CB0">
        <w:rPr>
          <w:rFonts w:cs="Arial"/>
          <w:szCs w:val="22"/>
          <w:lang w:val="en-GB"/>
        </w:rPr>
        <w:t xml:space="preserve"> </w:t>
      </w:r>
      <w:r w:rsidR="001E0CB0">
        <w:rPr>
          <w:rFonts w:cs="Arial"/>
          <w:szCs w:val="22"/>
        </w:rPr>
        <w:t>(see Table 13)</w:t>
      </w:r>
      <w:r w:rsidR="00936E18" w:rsidRPr="009C19E9">
        <w:rPr>
          <w:rFonts w:cs="Arial"/>
          <w:szCs w:val="22"/>
          <w:lang w:val="en-GB"/>
        </w:rPr>
        <w:t>. H</w:t>
      </w:r>
      <w:r w:rsidR="00062AB2" w:rsidRPr="009C19E9">
        <w:rPr>
          <w:rFonts w:cs="Arial"/>
          <w:szCs w:val="22"/>
          <w:lang w:val="en-GB"/>
        </w:rPr>
        <w:t xml:space="preserve">owever, as no nutrition survey data were available for this product, the assessment was based on estimated consumption </w:t>
      </w:r>
      <w:r w:rsidR="00BD3BF6">
        <w:rPr>
          <w:rFonts w:cs="Arial"/>
          <w:szCs w:val="22"/>
          <w:lang w:val="en-GB"/>
        </w:rPr>
        <w:t>of</w:t>
      </w:r>
      <w:r w:rsidR="00062AB2" w:rsidRPr="009C19E9">
        <w:rPr>
          <w:rFonts w:cs="Arial"/>
          <w:szCs w:val="22"/>
          <w:lang w:val="en-GB"/>
        </w:rPr>
        <w:t xml:space="preserve"> recommended serve sizes as provided </w:t>
      </w:r>
      <w:r w:rsidR="00906015" w:rsidRPr="009C19E9">
        <w:rPr>
          <w:rFonts w:cs="Arial"/>
          <w:szCs w:val="22"/>
          <w:lang w:val="en-GB"/>
        </w:rPr>
        <w:t xml:space="preserve">by </w:t>
      </w:r>
      <w:r w:rsidR="00062AB2" w:rsidRPr="009C19E9">
        <w:rPr>
          <w:rFonts w:cs="Arial"/>
          <w:szCs w:val="22"/>
          <w:lang w:val="en-GB"/>
        </w:rPr>
        <w:t>websites associated with the product</w:t>
      </w:r>
      <w:r w:rsidR="00906015" w:rsidRPr="009C19E9">
        <w:rPr>
          <w:rFonts w:cs="Arial"/>
          <w:szCs w:val="22"/>
          <w:lang w:val="en-GB"/>
        </w:rPr>
        <w:t xml:space="preserve"> and </w:t>
      </w:r>
      <w:r w:rsidR="00A9192A" w:rsidRPr="009C19E9">
        <w:rPr>
          <w:rFonts w:cs="Arial"/>
          <w:szCs w:val="22"/>
          <w:lang w:val="en-GB"/>
        </w:rPr>
        <w:t xml:space="preserve">from what FSANZ had </w:t>
      </w:r>
      <w:r w:rsidR="00906015" w:rsidRPr="009C19E9">
        <w:rPr>
          <w:rFonts w:cs="Arial"/>
          <w:szCs w:val="22"/>
          <w:lang w:val="en-GB"/>
        </w:rPr>
        <w:t>previously considered to be safe</w:t>
      </w:r>
      <w:r w:rsidR="00856618">
        <w:rPr>
          <w:rFonts w:cs="Arial"/>
          <w:szCs w:val="22"/>
          <w:lang w:val="en-GB"/>
        </w:rPr>
        <w:t xml:space="preserve"> (FSANZ, 2011)</w:t>
      </w:r>
      <w:r w:rsidR="00062AB2" w:rsidRPr="009C19E9">
        <w:rPr>
          <w:rFonts w:cs="Arial"/>
          <w:szCs w:val="22"/>
          <w:lang w:val="en-GB"/>
        </w:rPr>
        <w:t>.</w:t>
      </w:r>
      <w:r w:rsidR="001E0CB0" w:rsidRPr="00B67131">
        <w:rPr>
          <w:rFonts w:cs="Arial"/>
          <w:szCs w:val="22"/>
        </w:rPr>
        <w:t xml:space="preserve"> </w:t>
      </w:r>
    </w:p>
    <w:p w:rsidR="001E0CB0" w:rsidRDefault="001E0CB0" w:rsidP="001E0CB0">
      <w:pPr>
        <w:rPr>
          <w:rFonts w:cs="Arial"/>
          <w:szCs w:val="22"/>
        </w:rPr>
      </w:pPr>
    </w:p>
    <w:p w:rsidR="00A83E0F" w:rsidRDefault="001E0CB0" w:rsidP="001E0CB0">
      <w:pPr>
        <w:rPr>
          <w:rFonts w:cs="Arial"/>
          <w:szCs w:val="22"/>
        </w:rPr>
      </w:pPr>
      <w:r>
        <w:rPr>
          <w:rFonts w:cs="Arial"/>
          <w:szCs w:val="22"/>
        </w:rPr>
        <w:t>Apricot k</w:t>
      </w:r>
      <w:r w:rsidRPr="00B67131">
        <w:rPr>
          <w:rFonts w:cs="Arial"/>
          <w:szCs w:val="22"/>
        </w:rPr>
        <w:t xml:space="preserve">ernels with skin had a much higher </w:t>
      </w:r>
      <w:r>
        <w:rPr>
          <w:rFonts w:cs="Arial"/>
          <w:szCs w:val="22"/>
        </w:rPr>
        <w:t xml:space="preserve">HCN </w:t>
      </w:r>
      <w:r w:rsidRPr="00B67131">
        <w:rPr>
          <w:rFonts w:cs="Arial"/>
          <w:szCs w:val="22"/>
        </w:rPr>
        <w:t>concentration</w:t>
      </w:r>
      <w:r>
        <w:rPr>
          <w:rFonts w:cs="Arial"/>
          <w:szCs w:val="22"/>
        </w:rPr>
        <w:t xml:space="preserve"> than those without.</w:t>
      </w:r>
      <w:r w:rsidR="00535E7F">
        <w:rPr>
          <w:rFonts w:cs="Arial"/>
          <w:szCs w:val="22"/>
        </w:rPr>
        <w:t xml:space="preserve"> </w:t>
      </w:r>
      <w:r>
        <w:rPr>
          <w:rFonts w:cs="Arial"/>
          <w:szCs w:val="22"/>
        </w:rPr>
        <w:t xml:space="preserve">Based on </w:t>
      </w:r>
      <w:r w:rsidRPr="00B67131">
        <w:rPr>
          <w:rFonts w:cs="Arial"/>
          <w:szCs w:val="22"/>
        </w:rPr>
        <w:t xml:space="preserve">recommended </w:t>
      </w:r>
      <w:r>
        <w:rPr>
          <w:rFonts w:cs="Arial"/>
          <w:szCs w:val="22"/>
        </w:rPr>
        <w:t xml:space="preserve">serve sizes as provided </w:t>
      </w:r>
      <w:r w:rsidRPr="00B67131">
        <w:rPr>
          <w:rFonts w:cs="Arial"/>
          <w:szCs w:val="22"/>
        </w:rPr>
        <w:t xml:space="preserve">on </w:t>
      </w:r>
      <w:r>
        <w:rPr>
          <w:rFonts w:cs="Arial"/>
          <w:szCs w:val="22"/>
        </w:rPr>
        <w:t xml:space="preserve">various websites </w:t>
      </w:r>
      <w:r w:rsidRPr="00B67131">
        <w:rPr>
          <w:rFonts w:cs="Arial"/>
          <w:szCs w:val="22"/>
        </w:rPr>
        <w:t xml:space="preserve">(32 kernels/day), estimated dietary exposures ranged between 910-940% ARfD for kernels with skin and 140-150% ARfD for kernels without skin. Based on the </w:t>
      </w:r>
      <w:r>
        <w:rPr>
          <w:rFonts w:cs="Arial"/>
          <w:szCs w:val="22"/>
        </w:rPr>
        <w:t xml:space="preserve">available data </w:t>
      </w:r>
      <w:r w:rsidRPr="00D90D1E">
        <w:rPr>
          <w:rFonts w:cs="Arial"/>
          <w:szCs w:val="22"/>
        </w:rPr>
        <w:t>at the time</w:t>
      </w:r>
      <w:r w:rsidR="00D90D1E">
        <w:rPr>
          <w:rFonts w:cs="Arial"/>
          <w:szCs w:val="22"/>
        </w:rPr>
        <w:t xml:space="preserve">, </w:t>
      </w:r>
      <w:r>
        <w:rPr>
          <w:rFonts w:cs="Arial"/>
          <w:szCs w:val="22"/>
        </w:rPr>
        <w:t xml:space="preserve">suggesting that the maximum total HCN content of raw apricot kernels was around 2,300 mg HCN/kg, </w:t>
      </w:r>
      <w:r w:rsidRPr="00B67131">
        <w:rPr>
          <w:rFonts w:cs="Arial"/>
          <w:szCs w:val="22"/>
        </w:rPr>
        <w:t xml:space="preserve">FSANZ </w:t>
      </w:r>
      <w:r>
        <w:rPr>
          <w:rFonts w:cs="Arial"/>
          <w:szCs w:val="22"/>
        </w:rPr>
        <w:t>had advised</w:t>
      </w:r>
      <w:r w:rsidRPr="00B67131">
        <w:rPr>
          <w:rFonts w:cs="Arial"/>
          <w:szCs w:val="22"/>
        </w:rPr>
        <w:t xml:space="preserve"> </w:t>
      </w:r>
      <w:r>
        <w:rPr>
          <w:rFonts w:cs="Arial"/>
          <w:szCs w:val="22"/>
        </w:rPr>
        <w:t xml:space="preserve">that </w:t>
      </w:r>
      <w:r w:rsidRPr="00B67131">
        <w:rPr>
          <w:rFonts w:cs="Arial"/>
          <w:szCs w:val="22"/>
        </w:rPr>
        <w:t>no more than 4 kernels per day</w:t>
      </w:r>
      <w:r>
        <w:rPr>
          <w:rFonts w:cs="Arial"/>
          <w:szCs w:val="22"/>
        </w:rPr>
        <w:t xml:space="preserve"> should be consumed</w:t>
      </w:r>
      <w:r w:rsidR="00D90D1E">
        <w:rPr>
          <w:rFonts w:cs="Arial"/>
          <w:szCs w:val="22"/>
        </w:rPr>
        <w:t xml:space="preserve"> (FSANZ, 2011)</w:t>
      </w:r>
      <w:r>
        <w:rPr>
          <w:rFonts w:cs="Arial"/>
          <w:szCs w:val="22"/>
        </w:rPr>
        <w:t xml:space="preserve">. With the higher total HCN levels in </w:t>
      </w:r>
      <w:r>
        <w:rPr>
          <w:rFonts w:cs="Arial"/>
          <w:szCs w:val="22"/>
        </w:rPr>
        <w:lastRenderedPageBreak/>
        <w:t xml:space="preserve">raw apricot kernels being reported in Survey 3 </w:t>
      </w:r>
      <w:r w:rsidRPr="007145B0">
        <w:rPr>
          <w:rFonts w:cs="Arial"/>
          <w:szCs w:val="22"/>
        </w:rPr>
        <w:t>(2</w:t>
      </w:r>
      <w:r>
        <w:rPr>
          <w:rFonts w:cs="Arial"/>
          <w:szCs w:val="22"/>
        </w:rPr>
        <w:t>,</w:t>
      </w:r>
      <w:r w:rsidRPr="007145B0">
        <w:rPr>
          <w:rFonts w:cs="Arial"/>
          <w:szCs w:val="22"/>
        </w:rPr>
        <w:t>8</w:t>
      </w:r>
      <w:r>
        <w:rPr>
          <w:rFonts w:cs="Arial"/>
          <w:szCs w:val="22"/>
        </w:rPr>
        <w:t>2</w:t>
      </w:r>
      <w:r w:rsidRPr="007145B0">
        <w:rPr>
          <w:rFonts w:cs="Arial"/>
          <w:szCs w:val="22"/>
        </w:rPr>
        <w:t>0 mg</w:t>
      </w:r>
      <w:r>
        <w:rPr>
          <w:rFonts w:cs="Arial"/>
          <w:szCs w:val="22"/>
        </w:rPr>
        <w:t xml:space="preserve"> HCN</w:t>
      </w:r>
      <w:r w:rsidRPr="007145B0">
        <w:rPr>
          <w:rFonts w:cs="Arial"/>
          <w:szCs w:val="22"/>
        </w:rPr>
        <w:t>/kg)</w:t>
      </w:r>
      <w:r>
        <w:rPr>
          <w:rFonts w:cs="Arial"/>
          <w:szCs w:val="22"/>
        </w:rPr>
        <w:t xml:space="preserve">, dietary exposure from 4 kernels slightly exceeded the ARfD for </w:t>
      </w:r>
      <w:r w:rsidRPr="00B67131">
        <w:rPr>
          <w:rFonts w:cs="Arial"/>
          <w:szCs w:val="22"/>
        </w:rPr>
        <w:t>kernels with skin</w:t>
      </w:r>
      <w:r>
        <w:rPr>
          <w:rFonts w:cs="Arial"/>
          <w:szCs w:val="22"/>
        </w:rPr>
        <w:t xml:space="preserve"> </w:t>
      </w:r>
      <w:r w:rsidRPr="00B67131">
        <w:rPr>
          <w:rFonts w:cs="Arial"/>
          <w:szCs w:val="22"/>
        </w:rPr>
        <w:t xml:space="preserve">(110-120%) </w:t>
      </w:r>
      <w:r>
        <w:rPr>
          <w:rFonts w:cs="Arial"/>
          <w:szCs w:val="22"/>
        </w:rPr>
        <w:t xml:space="preserve">but not for </w:t>
      </w:r>
      <w:r w:rsidRPr="00B67131">
        <w:rPr>
          <w:rFonts w:cs="Arial"/>
          <w:szCs w:val="22"/>
        </w:rPr>
        <w:t>kernels without skin (20% ARfD)</w:t>
      </w:r>
      <w:r w:rsidR="00A83E0F">
        <w:rPr>
          <w:rFonts w:cs="Arial"/>
          <w:szCs w:val="22"/>
        </w:rPr>
        <w:t xml:space="preserve"> (see Table 13)</w:t>
      </w:r>
      <w:r w:rsidRPr="00B67131">
        <w:rPr>
          <w:rFonts w:cs="Arial"/>
          <w:szCs w:val="22"/>
        </w:rPr>
        <w:t>.</w:t>
      </w:r>
      <w:r w:rsidR="0016182E">
        <w:rPr>
          <w:rFonts w:cs="Arial"/>
          <w:szCs w:val="22"/>
        </w:rPr>
        <w:t xml:space="preserve"> </w:t>
      </w:r>
    </w:p>
    <w:p w:rsidR="008D47A1" w:rsidRDefault="008D47A1" w:rsidP="001E0CB0">
      <w:pPr>
        <w:rPr>
          <w:rFonts w:cs="Arial"/>
          <w:szCs w:val="22"/>
        </w:rPr>
      </w:pPr>
    </w:p>
    <w:p w:rsidR="001E0CB0" w:rsidRDefault="00320AAF" w:rsidP="00E352E7">
      <w:pPr>
        <w:rPr>
          <w:rFonts w:cs="Arial"/>
          <w:szCs w:val="22"/>
          <w:lang w:val="en-GB"/>
        </w:rPr>
      </w:pPr>
      <w:r w:rsidRPr="009C19E9">
        <w:rPr>
          <w:rFonts w:cs="Arial"/>
          <w:szCs w:val="22"/>
          <w:lang w:val="en-GB"/>
        </w:rPr>
        <w:t>The exceedance of the ARfD by up to nine-fold is of considerable concern for public health and safety because</w:t>
      </w:r>
      <w:r w:rsidR="001C0DE9">
        <w:rPr>
          <w:rFonts w:cs="Arial"/>
          <w:szCs w:val="22"/>
          <w:lang w:val="en-GB"/>
        </w:rPr>
        <w:t xml:space="preserve">, </w:t>
      </w:r>
      <w:r w:rsidRPr="009C19E9">
        <w:rPr>
          <w:rFonts w:cs="Arial"/>
          <w:szCs w:val="22"/>
          <w:lang w:val="en-GB"/>
        </w:rPr>
        <w:t>there are multiple published cases of adult and child cyanide poisoning resulting from eating cooked and/or ground apricot kernels (or pits). These reported cases ranged from clinical signs of mild cyanide poisoning (headache, nausea) right through to severe intoxication resulting in hypotension, coma, convulsions and death (Sayre &amp; Kaymakcalan 1964; Lasch et al 1981; Suchard et al 1998; Akyildiz et al 2010; Cigolini et al 2011; Akıl et al 2013). Almost invariably these published cases only describe presentations at hospitals necessitating clinical intervention.</w:t>
      </w:r>
      <w:r w:rsidR="009C19E9" w:rsidRPr="009C19E9">
        <w:rPr>
          <w:rFonts w:cs="Arial"/>
          <w:szCs w:val="22"/>
          <w:lang w:val="en-GB"/>
        </w:rPr>
        <w:t xml:space="preserve"> </w:t>
      </w:r>
    </w:p>
    <w:p w:rsidR="00A83E0F" w:rsidRDefault="00A83E0F" w:rsidP="00E352E7">
      <w:pPr>
        <w:rPr>
          <w:rFonts w:cs="Arial"/>
          <w:szCs w:val="22"/>
          <w:lang w:val="en-GB"/>
        </w:rPr>
      </w:pPr>
    </w:p>
    <w:p w:rsidR="003A3BE1" w:rsidRDefault="00E372B6" w:rsidP="00E352E7">
      <w:pPr>
        <w:rPr>
          <w:rFonts w:cs="Arial"/>
          <w:szCs w:val="22"/>
          <w:lang w:val="en-GB"/>
        </w:rPr>
      </w:pPr>
      <w:r>
        <w:rPr>
          <w:rFonts w:cs="Arial"/>
          <w:szCs w:val="22"/>
          <w:lang w:val="en-GB"/>
        </w:rPr>
        <w:t>A</w:t>
      </w:r>
      <w:r w:rsidR="00062AB2" w:rsidRPr="009C19E9">
        <w:rPr>
          <w:rFonts w:cs="Arial"/>
          <w:szCs w:val="22"/>
          <w:lang w:val="en-GB"/>
        </w:rPr>
        <w:t xml:space="preserve">n estimation of the maximum number of raw apricot kernels that could be consumed before exceeding the ARfD was </w:t>
      </w:r>
      <w:r w:rsidR="002B5904">
        <w:rPr>
          <w:rFonts w:cs="Arial"/>
          <w:szCs w:val="22"/>
          <w:lang w:val="en-GB"/>
        </w:rPr>
        <w:t>also</w:t>
      </w:r>
      <w:r w:rsidR="00062AB2" w:rsidRPr="009C19E9">
        <w:rPr>
          <w:rFonts w:cs="Arial"/>
          <w:szCs w:val="22"/>
          <w:lang w:val="en-GB"/>
        </w:rPr>
        <w:t xml:space="preserve"> undertaken for this product</w:t>
      </w:r>
      <w:r w:rsidR="0016182E">
        <w:rPr>
          <w:rFonts w:cs="Arial"/>
          <w:szCs w:val="22"/>
          <w:lang w:val="en-GB"/>
        </w:rPr>
        <w:t xml:space="preserve"> </w:t>
      </w:r>
      <w:r w:rsidR="0016182E" w:rsidRPr="00065A5C">
        <w:rPr>
          <w:rFonts w:cs="Arial"/>
          <w:szCs w:val="22"/>
          <w:lang w:val="en-GB"/>
        </w:rPr>
        <w:t xml:space="preserve">using </w:t>
      </w:r>
      <w:r w:rsidR="003A7F01" w:rsidRPr="00065A5C">
        <w:rPr>
          <w:rFonts w:cs="Arial"/>
          <w:szCs w:val="22"/>
          <w:lang w:val="en-GB"/>
        </w:rPr>
        <w:t xml:space="preserve">maximum mean levels derived from </w:t>
      </w:r>
      <w:r w:rsidR="0016182E" w:rsidRPr="00065A5C">
        <w:rPr>
          <w:rFonts w:cs="Arial"/>
          <w:szCs w:val="22"/>
          <w:lang w:val="en-GB"/>
        </w:rPr>
        <w:t>the analytical data from Survey 3</w:t>
      </w:r>
      <w:r w:rsidR="00A10AF6" w:rsidRPr="00065A5C">
        <w:rPr>
          <w:rFonts w:cs="Arial"/>
          <w:szCs w:val="22"/>
          <w:lang w:val="en-GB"/>
        </w:rPr>
        <w:t>,</w:t>
      </w:r>
      <w:r w:rsidR="00A10AF6" w:rsidRPr="009C19E9">
        <w:rPr>
          <w:rFonts w:cs="Arial"/>
          <w:szCs w:val="22"/>
          <w:lang w:val="en-GB"/>
        </w:rPr>
        <w:t xml:space="preserve"> for both adults and children</w:t>
      </w:r>
      <w:r w:rsidR="00AB1E7F">
        <w:rPr>
          <w:rFonts w:cs="Arial"/>
          <w:szCs w:val="22"/>
          <w:lang w:val="en-GB"/>
        </w:rPr>
        <w:t xml:space="preserve"> (Table 1</w:t>
      </w:r>
      <w:r w:rsidR="00DD1142">
        <w:rPr>
          <w:rFonts w:cs="Arial"/>
          <w:szCs w:val="22"/>
          <w:lang w:val="en-GB"/>
        </w:rPr>
        <w:t>5</w:t>
      </w:r>
      <w:r w:rsidR="00AB1E7F">
        <w:rPr>
          <w:rFonts w:cs="Arial"/>
          <w:szCs w:val="22"/>
          <w:lang w:val="en-GB"/>
        </w:rPr>
        <w:t>)</w:t>
      </w:r>
      <w:r w:rsidR="00062AB2" w:rsidRPr="009C19E9">
        <w:rPr>
          <w:rFonts w:cs="Arial"/>
          <w:szCs w:val="22"/>
          <w:lang w:val="en-GB"/>
        </w:rPr>
        <w:t xml:space="preserve">. For apricot kernels with skin, it was estimated that adults </w:t>
      </w:r>
      <w:r w:rsidR="003D184F" w:rsidRPr="009C19E9">
        <w:rPr>
          <w:rFonts w:cs="Arial"/>
          <w:szCs w:val="22"/>
          <w:lang w:val="en-GB"/>
        </w:rPr>
        <w:t>could</w:t>
      </w:r>
      <w:r w:rsidR="00062AB2" w:rsidRPr="009C19E9">
        <w:rPr>
          <w:rFonts w:cs="Arial"/>
          <w:szCs w:val="22"/>
          <w:lang w:val="en-GB"/>
        </w:rPr>
        <w:t xml:space="preserve"> consume </w:t>
      </w:r>
      <w:r w:rsidR="0057793E" w:rsidRPr="009C19E9">
        <w:rPr>
          <w:rFonts w:cs="Arial"/>
          <w:szCs w:val="22"/>
          <w:lang w:val="en-GB"/>
        </w:rPr>
        <w:t xml:space="preserve">3 </w:t>
      </w:r>
      <w:r w:rsidR="00062AB2" w:rsidRPr="009C19E9">
        <w:rPr>
          <w:rFonts w:cs="Arial"/>
          <w:szCs w:val="22"/>
          <w:lang w:val="en-GB"/>
        </w:rPr>
        <w:t xml:space="preserve">kernels </w:t>
      </w:r>
      <w:r w:rsidR="007822E8" w:rsidRPr="009C19E9">
        <w:rPr>
          <w:rFonts w:cs="Arial"/>
          <w:szCs w:val="22"/>
          <w:lang w:val="en-GB"/>
        </w:rPr>
        <w:t xml:space="preserve">and children could </w:t>
      </w:r>
      <w:r w:rsidR="00936E18" w:rsidRPr="009C19E9">
        <w:rPr>
          <w:rFonts w:cs="Arial"/>
          <w:szCs w:val="22"/>
          <w:lang w:val="en-GB"/>
        </w:rPr>
        <w:t xml:space="preserve">not even </w:t>
      </w:r>
      <w:r w:rsidR="007822E8" w:rsidRPr="009C19E9">
        <w:rPr>
          <w:rFonts w:cs="Arial"/>
          <w:szCs w:val="22"/>
          <w:lang w:val="en-GB"/>
        </w:rPr>
        <w:t xml:space="preserve">consume </w:t>
      </w:r>
      <w:r w:rsidR="0057793E" w:rsidRPr="009C19E9">
        <w:rPr>
          <w:rFonts w:cs="Arial"/>
          <w:szCs w:val="22"/>
          <w:lang w:val="en-GB"/>
        </w:rPr>
        <w:t>1</w:t>
      </w:r>
      <w:r w:rsidR="007822E8" w:rsidRPr="009C19E9">
        <w:rPr>
          <w:rFonts w:cs="Arial"/>
          <w:szCs w:val="22"/>
          <w:lang w:val="en-GB"/>
        </w:rPr>
        <w:t xml:space="preserve"> </w:t>
      </w:r>
      <w:r w:rsidR="0057793E" w:rsidRPr="009C19E9">
        <w:rPr>
          <w:rFonts w:cs="Arial"/>
          <w:szCs w:val="22"/>
          <w:lang w:val="en-GB"/>
        </w:rPr>
        <w:t xml:space="preserve">kernel/day </w:t>
      </w:r>
      <w:r w:rsidR="00062AB2" w:rsidRPr="009C19E9">
        <w:rPr>
          <w:rFonts w:cs="Arial"/>
          <w:szCs w:val="22"/>
          <w:lang w:val="en-GB"/>
        </w:rPr>
        <w:t xml:space="preserve">before the ARfD is exceeded. For apricot kernels without skin, adults </w:t>
      </w:r>
      <w:r w:rsidR="00936E18" w:rsidRPr="009C19E9">
        <w:rPr>
          <w:rFonts w:cs="Arial"/>
          <w:szCs w:val="22"/>
          <w:lang w:val="en-GB"/>
        </w:rPr>
        <w:t>could</w:t>
      </w:r>
      <w:r w:rsidR="00062AB2" w:rsidRPr="009C19E9">
        <w:rPr>
          <w:rFonts w:cs="Arial"/>
          <w:szCs w:val="22"/>
          <w:lang w:val="en-GB"/>
        </w:rPr>
        <w:t xml:space="preserve"> consume 21 kernels </w:t>
      </w:r>
      <w:r w:rsidR="007822E8" w:rsidRPr="009C19E9">
        <w:rPr>
          <w:rFonts w:cs="Arial"/>
          <w:szCs w:val="22"/>
          <w:lang w:val="en-GB"/>
        </w:rPr>
        <w:t xml:space="preserve">and children </w:t>
      </w:r>
      <w:r w:rsidR="00936E18" w:rsidRPr="009C19E9">
        <w:rPr>
          <w:rFonts w:cs="Arial"/>
          <w:szCs w:val="22"/>
          <w:lang w:val="en-GB"/>
        </w:rPr>
        <w:t>could</w:t>
      </w:r>
      <w:r w:rsidR="007822E8" w:rsidRPr="009C19E9">
        <w:rPr>
          <w:rFonts w:cs="Arial"/>
          <w:szCs w:val="22"/>
          <w:lang w:val="en-GB"/>
        </w:rPr>
        <w:t xml:space="preserve"> consume </w:t>
      </w:r>
      <w:r w:rsidR="0057793E" w:rsidRPr="009C19E9">
        <w:rPr>
          <w:rFonts w:cs="Arial"/>
          <w:szCs w:val="22"/>
          <w:lang w:val="en-GB"/>
        </w:rPr>
        <w:t>6</w:t>
      </w:r>
      <w:r w:rsidR="007822E8" w:rsidRPr="009C19E9">
        <w:rPr>
          <w:rFonts w:cs="Arial"/>
          <w:szCs w:val="22"/>
          <w:lang w:val="en-GB"/>
        </w:rPr>
        <w:t xml:space="preserve"> </w:t>
      </w:r>
      <w:r w:rsidR="0057793E" w:rsidRPr="009C19E9">
        <w:rPr>
          <w:rFonts w:cs="Arial"/>
          <w:szCs w:val="22"/>
          <w:lang w:val="en-GB"/>
        </w:rPr>
        <w:t xml:space="preserve">kernels/day </w:t>
      </w:r>
      <w:r w:rsidR="00062AB2" w:rsidRPr="009C19E9">
        <w:rPr>
          <w:rFonts w:cs="Arial"/>
          <w:szCs w:val="22"/>
          <w:lang w:val="en-GB"/>
        </w:rPr>
        <w:t xml:space="preserve">before the ARfD is exceeded. </w:t>
      </w:r>
    </w:p>
    <w:p w:rsidR="003A3BE1" w:rsidRDefault="003A3BE1" w:rsidP="00E352E7">
      <w:pPr>
        <w:rPr>
          <w:rFonts w:cs="Arial"/>
          <w:szCs w:val="22"/>
          <w:lang w:val="en-GB"/>
        </w:rPr>
      </w:pPr>
    </w:p>
    <w:p w:rsidR="00A804B1" w:rsidRPr="00065A5C" w:rsidRDefault="008B5671" w:rsidP="00B94CCA">
      <w:pPr>
        <w:rPr>
          <w:rFonts w:cs="Arial"/>
          <w:szCs w:val="22"/>
          <w:lang w:val="en-GB"/>
        </w:rPr>
      </w:pPr>
      <w:r w:rsidRPr="00065A5C">
        <w:rPr>
          <w:rFonts w:cs="Arial"/>
          <w:szCs w:val="22"/>
          <w:lang w:val="en-GB"/>
        </w:rPr>
        <w:t>It is recognised</w:t>
      </w:r>
      <w:r w:rsidR="003A7F01" w:rsidRPr="00065A5C">
        <w:rPr>
          <w:rFonts w:cs="Arial"/>
          <w:szCs w:val="22"/>
          <w:lang w:val="en-GB"/>
        </w:rPr>
        <w:t xml:space="preserve"> this survey analysed a relatively small sample</w:t>
      </w:r>
      <w:r w:rsidRPr="00065A5C">
        <w:rPr>
          <w:rFonts w:cs="Arial"/>
          <w:szCs w:val="22"/>
          <w:lang w:val="en-GB"/>
        </w:rPr>
        <w:t xml:space="preserve"> of raw apricot kernels and that the levels of HCN/kg may be more variable</w:t>
      </w:r>
      <w:r w:rsidR="003A3BE1" w:rsidRPr="00065A5C">
        <w:rPr>
          <w:rFonts w:cs="Arial"/>
          <w:szCs w:val="22"/>
          <w:lang w:val="en-GB"/>
        </w:rPr>
        <w:t>. H</w:t>
      </w:r>
      <w:r w:rsidR="003A7F01" w:rsidRPr="00065A5C">
        <w:rPr>
          <w:rFonts w:cs="Arial"/>
          <w:szCs w:val="22"/>
          <w:lang w:val="en-GB"/>
        </w:rPr>
        <w:t xml:space="preserve">owever it is noted that literature </w:t>
      </w:r>
      <w:r w:rsidR="003A3BE1" w:rsidRPr="00065A5C">
        <w:rPr>
          <w:rFonts w:cs="Arial"/>
          <w:szCs w:val="22"/>
          <w:lang w:val="en-GB"/>
        </w:rPr>
        <w:t xml:space="preserve">reports </w:t>
      </w:r>
      <w:r w:rsidR="003A7F01" w:rsidRPr="00065A5C">
        <w:rPr>
          <w:rFonts w:cs="Arial"/>
          <w:szCs w:val="22"/>
          <w:lang w:val="en-GB"/>
        </w:rPr>
        <w:t>suggest the mean range of HCN/kg found in kernels from a variety of different apricot cultivars can be up to 4,090 mg/kg (e.g. Holzbecher et al, 1984).</w:t>
      </w:r>
      <w:r w:rsidR="003A3BE1" w:rsidRPr="00065A5C">
        <w:rPr>
          <w:rFonts w:cs="Arial"/>
          <w:szCs w:val="22"/>
          <w:lang w:val="en-GB"/>
        </w:rPr>
        <w:t xml:space="preserve"> </w:t>
      </w:r>
      <w:r w:rsidR="00B94CCA" w:rsidRPr="00065A5C">
        <w:rPr>
          <w:rFonts w:cs="Arial"/>
          <w:szCs w:val="22"/>
          <w:lang w:val="en-GB"/>
        </w:rPr>
        <w:t xml:space="preserve">A random </w:t>
      </w:r>
      <w:r w:rsidR="00037C12" w:rsidRPr="00065A5C">
        <w:rPr>
          <w:rFonts w:cs="Arial"/>
          <w:szCs w:val="22"/>
          <w:lang w:val="en-GB"/>
        </w:rPr>
        <w:t xml:space="preserve">chance </w:t>
      </w:r>
      <w:r w:rsidR="00B94CCA" w:rsidRPr="00065A5C">
        <w:rPr>
          <w:rFonts w:cs="Arial"/>
          <w:szCs w:val="22"/>
          <w:lang w:val="en-GB"/>
        </w:rPr>
        <w:t xml:space="preserve">selection of kernels with a higher </w:t>
      </w:r>
      <w:r w:rsidR="00037C12" w:rsidRPr="00065A5C">
        <w:rPr>
          <w:rFonts w:cs="Arial"/>
          <w:szCs w:val="22"/>
          <w:lang w:val="en-GB"/>
        </w:rPr>
        <w:t xml:space="preserve">HCN content </w:t>
      </w:r>
      <w:r w:rsidR="00E14E29" w:rsidRPr="00065A5C">
        <w:rPr>
          <w:rFonts w:cs="Arial"/>
          <w:szCs w:val="22"/>
          <w:lang w:val="en-GB"/>
        </w:rPr>
        <w:t xml:space="preserve">would </w:t>
      </w:r>
      <w:r w:rsidR="003F0225" w:rsidRPr="00065A5C">
        <w:rPr>
          <w:rFonts w:cs="Arial"/>
          <w:szCs w:val="22"/>
          <w:lang w:val="en-GB"/>
        </w:rPr>
        <w:t>increase</w:t>
      </w:r>
      <w:r w:rsidR="003C4499" w:rsidRPr="00065A5C">
        <w:rPr>
          <w:rFonts w:cs="Arial"/>
          <w:szCs w:val="22"/>
          <w:lang w:val="en-GB"/>
        </w:rPr>
        <w:t xml:space="preserve"> the </w:t>
      </w:r>
      <w:r w:rsidR="00E14E29" w:rsidRPr="00065A5C">
        <w:rPr>
          <w:rFonts w:cs="Arial"/>
          <w:szCs w:val="22"/>
          <w:lang w:val="en-GB"/>
        </w:rPr>
        <w:t xml:space="preserve">potential health </w:t>
      </w:r>
      <w:r w:rsidR="003C4499" w:rsidRPr="00065A5C">
        <w:rPr>
          <w:rFonts w:cs="Arial"/>
          <w:szCs w:val="22"/>
          <w:lang w:val="en-GB"/>
        </w:rPr>
        <w:t>risk</w:t>
      </w:r>
      <w:r w:rsidR="001F6C9B" w:rsidRPr="00065A5C">
        <w:rPr>
          <w:rFonts w:cs="Arial"/>
          <w:szCs w:val="22"/>
          <w:lang w:val="en-GB"/>
        </w:rPr>
        <w:t xml:space="preserve">. </w:t>
      </w:r>
    </w:p>
    <w:p w:rsidR="00535E7F" w:rsidRPr="008D47A1" w:rsidRDefault="00535E7F" w:rsidP="00B94CCA">
      <w:pPr>
        <w:rPr>
          <w:rFonts w:cs="Arial"/>
          <w:highlight w:val="yellow"/>
        </w:rPr>
      </w:pPr>
    </w:p>
    <w:p w:rsidR="00E05374" w:rsidRPr="00E05374" w:rsidRDefault="00E05374" w:rsidP="00E05374">
      <w:pPr>
        <w:rPr>
          <w:rFonts w:cs="Arial"/>
          <w:i/>
          <w:szCs w:val="22"/>
          <w:lang w:val="en-GB"/>
        </w:rPr>
      </w:pPr>
      <w:r w:rsidRPr="00E05374">
        <w:rPr>
          <w:rFonts w:cs="Arial"/>
          <w:i/>
          <w:szCs w:val="22"/>
          <w:lang w:val="en-GB"/>
        </w:rPr>
        <w:t xml:space="preserve">Apricot nectar </w:t>
      </w:r>
    </w:p>
    <w:p w:rsidR="00E05374" w:rsidRPr="00E05374" w:rsidRDefault="00E05374" w:rsidP="00E05374">
      <w:pPr>
        <w:ind w:left="720"/>
        <w:rPr>
          <w:rFonts w:cs="Arial"/>
          <w:szCs w:val="22"/>
          <w:lang w:val="en-GB"/>
        </w:rPr>
      </w:pPr>
    </w:p>
    <w:p w:rsidR="00E05374" w:rsidRPr="00E05374" w:rsidRDefault="00E05374" w:rsidP="00E05374">
      <w:pPr>
        <w:rPr>
          <w:rFonts w:cs="Arial"/>
          <w:szCs w:val="22"/>
          <w:lang w:val="en-GB"/>
        </w:rPr>
      </w:pPr>
      <w:r w:rsidRPr="00E05374">
        <w:rPr>
          <w:rFonts w:cs="Arial"/>
          <w:szCs w:val="22"/>
          <w:lang w:val="en-GB"/>
        </w:rPr>
        <w:t xml:space="preserve">There were no consumption data for New Zealand adults and so a back calculation was done for this group to determine the maximum amount of </w:t>
      </w:r>
      <w:r>
        <w:rPr>
          <w:rFonts w:cs="Arial"/>
          <w:szCs w:val="22"/>
          <w:lang w:val="en-GB"/>
        </w:rPr>
        <w:t xml:space="preserve">apricot nectar </w:t>
      </w:r>
      <w:r w:rsidRPr="00E05374">
        <w:rPr>
          <w:rFonts w:cs="Arial"/>
          <w:szCs w:val="22"/>
          <w:lang w:val="en-GB"/>
        </w:rPr>
        <w:t>that could be consum</w:t>
      </w:r>
      <w:r>
        <w:rPr>
          <w:rFonts w:cs="Arial"/>
          <w:szCs w:val="22"/>
          <w:lang w:val="en-GB"/>
        </w:rPr>
        <w:t>ed before the ARfD is exceeded</w:t>
      </w:r>
      <w:r w:rsidRPr="00E05374">
        <w:rPr>
          <w:rFonts w:cs="Arial"/>
          <w:szCs w:val="22"/>
          <w:lang w:val="en-GB"/>
        </w:rPr>
        <w:t xml:space="preserve">. The maximum amount of </w:t>
      </w:r>
      <w:r>
        <w:rPr>
          <w:rFonts w:cs="Arial"/>
          <w:szCs w:val="22"/>
          <w:lang w:val="en-GB"/>
        </w:rPr>
        <w:t>this food</w:t>
      </w:r>
      <w:r w:rsidRPr="00E05374">
        <w:rPr>
          <w:rFonts w:cs="Arial"/>
          <w:szCs w:val="22"/>
          <w:lang w:val="en-GB"/>
        </w:rPr>
        <w:t xml:space="preserve"> that could be consumed before exceeding the ARfD is </w:t>
      </w:r>
      <w:r w:rsidR="000146CE">
        <w:rPr>
          <w:rFonts w:cs="Arial"/>
          <w:szCs w:val="22"/>
          <w:lang w:val="en-GB"/>
        </w:rPr>
        <w:t>1</w:t>
      </w:r>
      <w:r w:rsidR="00953A30">
        <w:rPr>
          <w:rFonts w:cs="Arial"/>
          <w:szCs w:val="22"/>
          <w:lang w:val="en-GB"/>
        </w:rPr>
        <w:t>,</w:t>
      </w:r>
      <w:r w:rsidR="000146CE">
        <w:rPr>
          <w:rFonts w:cs="Arial"/>
          <w:szCs w:val="22"/>
          <w:lang w:val="en-GB"/>
        </w:rPr>
        <w:t>136</w:t>
      </w:r>
      <w:r w:rsidRPr="00E05374">
        <w:rPr>
          <w:rFonts w:cs="Arial"/>
          <w:szCs w:val="22"/>
          <w:lang w:val="en-GB"/>
        </w:rPr>
        <w:t xml:space="preserve"> g/day</w:t>
      </w:r>
      <w:r w:rsidR="00770F58">
        <w:rPr>
          <w:rFonts w:cs="Arial"/>
          <w:szCs w:val="22"/>
          <w:lang w:val="en-GB"/>
        </w:rPr>
        <w:t xml:space="preserve">, assuming HCN </w:t>
      </w:r>
      <w:r w:rsidR="007B162C">
        <w:rPr>
          <w:rFonts w:cs="Arial"/>
          <w:szCs w:val="22"/>
          <w:lang w:val="en-GB"/>
        </w:rPr>
        <w:t xml:space="preserve">is </w:t>
      </w:r>
      <w:r w:rsidR="00770F58">
        <w:rPr>
          <w:rFonts w:cs="Arial"/>
          <w:szCs w:val="22"/>
          <w:lang w:val="en-GB"/>
        </w:rPr>
        <w:t xml:space="preserve">present at the ML of 5 mg/kg </w:t>
      </w:r>
      <w:r w:rsidRPr="00E05374">
        <w:rPr>
          <w:rFonts w:cs="Arial"/>
          <w:szCs w:val="22"/>
          <w:lang w:val="en-GB"/>
        </w:rPr>
        <w:t>(Table 15). Based on 50</w:t>
      </w:r>
      <w:r w:rsidRPr="00432E51">
        <w:rPr>
          <w:rFonts w:cs="Arial"/>
          <w:szCs w:val="22"/>
          <w:vertAlign w:val="superscript"/>
          <w:lang w:val="en-GB"/>
        </w:rPr>
        <w:t>th</w:t>
      </w:r>
      <w:r w:rsidRPr="00E05374">
        <w:rPr>
          <w:rFonts w:cs="Arial"/>
          <w:szCs w:val="22"/>
          <w:lang w:val="en-GB"/>
        </w:rPr>
        <w:t xml:space="preserve"> percentile consumption levels recorded for Australian adults (223 g) (Table A10.4), this level of consumption is unlikely to occur. </w:t>
      </w:r>
    </w:p>
    <w:p w:rsidR="00E05374" w:rsidRDefault="00E05374" w:rsidP="00E352E7">
      <w:pPr>
        <w:rPr>
          <w:rFonts w:cs="Arial"/>
          <w:i/>
          <w:szCs w:val="22"/>
          <w:lang w:val="en-GB"/>
        </w:rPr>
      </w:pPr>
    </w:p>
    <w:p w:rsidR="00E352E7" w:rsidRPr="00E352E7" w:rsidRDefault="00944DBE" w:rsidP="00E352E7">
      <w:pPr>
        <w:rPr>
          <w:rFonts w:cs="Arial"/>
          <w:i/>
          <w:szCs w:val="22"/>
          <w:lang w:val="en-GB"/>
        </w:rPr>
      </w:pPr>
      <w:r w:rsidRPr="00E352E7">
        <w:rPr>
          <w:rFonts w:cs="Arial"/>
          <w:i/>
          <w:szCs w:val="22"/>
          <w:lang w:val="en-GB"/>
        </w:rPr>
        <w:t>Amaretti biscuits</w:t>
      </w:r>
    </w:p>
    <w:p w:rsidR="00E352E7" w:rsidRDefault="00E352E7" w:rsidP="00E352E7">
      <w:pPr>
        <w:rPr>
          <w:rFonts w:cs="Arial"/>
          <w:szCs w:val="22"/>
          <w:lang w:val="en-GB"/>
        </w:rPr>
      </w:pPr>
    </w:p>
    <w:p w:rsidR="00944DBE" w:rsidRDefault="00E352E7" w:rsidP="00E352E7">
      <w:pPr>
        <w:rPr>
          <w:rFonts w:cs="Arial"/>
          <w:szCs w:val="22"/>
          <w:lang w:val="en-GB"/>
        </w:rPr>
      </w:pPr>
      <w:r>
        <w:rPr>
          <w:rFonts w:cs="Arial"/>
          <w:szCs w:val="22"/>
          <w:lang w:val="en-GB"/>
        </w:rPr>
        <w:t>A</w:t>
      </w:r>
      <w:r w:rsidR="00944DBE" w:rsidRPr="00062AB2">
        <w:rPr>
          <w:rFonts w:cs="Arial"/>
          <w:szCs w:val="22"/>
          <w:lang w:val="en-GB"/>
        </w:rPr>
        <w:t xml:space="preserve"> deterministic calculation of acute dietary exposure was conducted, however, it was based on estimated consumption amounts from serve sizes on the product label as no food consumption data were available. Therefore, an estimation of the maximum amount that could be consumed before exceeding the ARfD was also undertaken</w:t>
      </w:r>
      <w:r w:rsidR="00AB1E7F">
        <w:rPr>
          <w:rFonts w:cs="Arial"/>
          <w:szCs w:val="22"/>
          <w:lang w:val="en-GB"/>
        </w:rPr>
        <w:t xml:space="preserve"> (Table </w:t>
      </w:r>
      <w:r w:rsidR="00A83E0F">
        <w:rPr>
          <w:rFonts w:cs="Arial"/>
          <w:szCs w:val="22"/>
          <w:lang w:val="en-GB"/>
        </w:rPr>
        <w:t>15</w:t>
      </w:r>
      <w:r w:rsidR="00AB1E7F">
        <w:rPr>
          <w:rFonts w:cs="Arial"/>
          <w:szCs w:val="22"/>
          <w:lang w:val="en-GB"/>
        </w:rPr>
        <w:t>)</w:t>
      </w:r>
      <w:r w:rsidR="00944DBE" w:rsidRPr="00062AB2">
        <w:rPr>
          <w:rFonts w:cs="Arial"/>
          <w:szCs w:val="22"/>
          <w:lang w:val="en-GB"/>
        </w:rPr>
        <w:t>. For children</w:t>
      </w:r>
      <w:r w:rsidR="00944DBE">
        <w:rPr>
          <w:rFonts w:cs="Arial"/>
          <w:szCs w:val="22"/>
          <w:lang w:val="en-GB"/>
        </w:rPr>
        <w:t xml:space="preserve"> aged 2-6 years</w:t>
      </w:r>
      <w:r w:rsidR="00944DBE" w:rsidRPr="00062AB2">
        <w:rPr>
          <w:rFonts w:cs="Arial"/>
          <w:szCs w:val="22"/>
          <w:lang w:val="en-GB"/>
        </w:rPr>
        <w:t xml:space="preserve">, it was estimated that the maximum amount of amaretti biscuits that could be consumed before exceeding the ARfD was only 44 g. However, this value is higher than the serve size of 30 g, as given on labels. In addition, these types of biscuits tend to have a slightly bitter taste, which are less likely to be palatable to children and, as such, they would be less likely to be consumed in large quantities. </w:t>
      </w:r>
    </w:p>
    <w:p w:rsidR="00944DBE" w:rsidRDefault="00944DBE" w:rsidP="00944DBE">
      <w:pPr>
        <w:pStyle w:val="ListParagraph"/>
        <w:rPr>
          <w:rFonts w:cs="Arial"/>
        </w:rPr>
      </w:pPr>
    </w:p>
    <w:p w:rsidR="00E352E7" w:rsidRPr="00E352E7" w:rsidRDefault="00944DBE" w:rsidP="00E352E7">
      <w:pPr>
        <w:rPr>
          <w:rFonts w:cs="Arial"/>
          <w:i/>
          <w:szCs w:val="22"/>
          <w:lang w:val="en-GB"/>
        </w:rPr>
      </w:pPr>
      <w:r w:rsidRPr="00E352E7">
        <w:rPr>
          <w:rFonts w:cs="Arial"/>
          <w:i/>
          <w:szCs w:val="22"/>
          <w:lang w:val="en-GB"/>
        </w:rPr>
        <w:t xml:space="preserve">Almond fingers/apple fingers </w:t>
      </w:r>
    </w:p>
    <w:p w:rsidR="00E352E7" w:rsidRDefault="00E352E7" w:rsidP="00E352E7">
      <w:pPr>
        <w:rPr>
          <w:rFonts w:cs="Arial"/>
          <w:szCs w:val="22"/>
          <w:lang w:val="en-GB"/>
        </w:rPr>
      </w:pPr>
    </w:p>
    <w:p w:rsidR="00944DBE" w:rsidRDefault="00E352E7" w:rsidP="00E352E7">
      <w:pPr>
        <w:rPr>
          <w:rFonts w:cs="Arial"/>
          <w:szCs w:val="22"/>
          <w:lang w:val="en-GB"/>
        </w:rPr>
      </w:pPr>
      <w:r>
        <w:rPr>
          <w:rFonts w:cs="Arial"/>
          <w:szCs w:val="22"/>
          <w:lang w:val="en-GB"/>
        </w:rPr>
        <w:t>Li</w:t>
      </w:r>
      <w:r w:rsidR="00944DBE" w:rsidRPr="00062AB2">
        <w:rPr>
          <w:rFonts w:cs="Arial"/>
          <w:szCs w:val="22"/>
          <w:lang w:val="en-GB"/>
        </w:rPr>
        <w:t xml:space="preserve">ke amaretti, </w:t>
      </w:r>
      <w:r w:rsidR="00936E18">
        <w:rPr>
          <w:rFonts w:cs="Arial"/>
          <w:szCs w:val="22"/>
          <w:lang w:val="en-GB"/>
        </w:rPr>
        <w:t xml:space="preserve">deterministic </w:t>
      </w:r>
      <w:r w:rsidR="00944DBE" w:rsidRPr="00062AB2">
        <w:rPr>
          <w:rFonts w:cs="Arial"/>
          <w:szCs w:val="22"/>
          <w:lang w:val="en-GB"/>
        </w:rPr>
        <w:t xml:space="preserve">acute dietary exposures were calculated using serve sizes </w:t>
      </w:r>
      <w:r w:rsidR="00D733EA">
        <w:rPr>
          <w:rFonts w:cs="Arial"/>
          <w:szCs w:val="22"/>
          <w:lang w:val="en-GB"/>
        </w:rPr>
        <w:t xml:space="preserve">provided on labels </w:t>
      </w:r>
      <w:r w:rsidR="00944DBE" w:rsidRPr="00062AB2">
        <w:rPr>
          <w:rFonts w:cs="Arial"/>
          <w:szCs w:val="22"/>
          <w:lang w:val="en-GB"/>
        </w:rPr>
        <w:t xml:space="preserve">as an indication of likely consumption amounts. </w:t>
      </w:r>
      <w:r w:rsidR="00D733EA">
        <w:rPr>
          <w:rFonts w:cs="Arial"/>
          <w:szCs w:val="22"/>
          <w:lang w:val="en-GB"/>
        </w:rPr>
        <w:t xml:space="preserve">In this case the serve size given was 47 g. </w:t>
      </w:r>
      <w:r w:rsidR="00944DBE" w:rsidRPr="00062AB2">
        <w:rPr>
          <w:rFonts w:cs="Arial"/>
          <w:szCs w:val="22"/>
          <w:lang w:val="en-GB"/>
        </w:rPr>
        <w:t>The maximum concentration of HCN detected in almond fingers/apple fingers was less than half that of amaretti biscuits. Therefore, the estimated maximum consumption amounts before exceeding the ARfD were calculated as being much higher than amaretti biscuits</w:t>
      </w:r>
      <w:r w:rsidR="0054174C">
        <w:rPr>
          <w:rFonts w:ascii="Times New Roman" w:hAnsi="Times New Roman"/>
          <w:szCs w:val="22"/>
          <w:lang w:val="en-GB"/>
        </w:rPr>
        <w:t>—</w:t>
      </w:r>
      <w:r w:rsidR="00944DBE" w:rsidRPr="00062AB2">
        <w:rPr>
          <w:rFonts w:cs="Arial"/>
          <w:szCs w:val="22"/>
          <w:lang w:val="en-GB"/>
        </w:rPr>
        <w:t>116 g for children</w:t>
      </w:r>
      <w:r w:rsidR="00944DBE">
        <w:rPr>
          <w:rFonts w:cs="Arial"/>
          <w:szCs w:val="22"/>
          <w:lang w:val="en-GB"/>
        </w:rPr>
        <w:t xml:space="preserve"> aged 2-6 years</w:t>
      </w:r>
      <w:r w:rsidR="00D733EA">
        <w:rPr>
          <w:rFonts w:cs="Arial"/>
          <w:szCs w:val="22"/>
          <w:lang w:val="en-GB"/>
        </w:rPr>
        <w:t>, much higher than the 47 g</w:t>
      </w:r>
      <w:r w:rsidR="00944DBE" w:rsidRPr="00062AB2">
        <w:rPr>
          <w:rFonts w:cs="Arial"/>
          <w:szCs w:val="22"/>
          <w:lang w:val="en-GB"/>
        </w:rPr>
        <w:t xml:space="preserve"> serve size</w:t>
      </w:r>
      <w:r w:rsidR="00AB1E7F">
        <w:rPr>
          <w:rFonts w:cs="Arial"/>
          <w:szCs w:val="22"/>
          <w:lang w:val="en-GB"/>
        </w:rPr>
        <w:t xml:space="preserve"> (Table 1</w:t>
      </w:r>
      <w:r w:rsidR="00A83E0F">
        <w:rPr>
          <w:rFonts w:cs="Arial"/>
          <w:szCs w:val="22"/>
          <w:lang w:val="en-GB"/>
        </w:rPr>
        <w:t>5</w:t>
      </w:r>
      <w:r w:rsidR="00AB1E7F">
        <w:rPr>
          <w:rFonts w:cs="Arial"/>
          <w:szCs w:val="22"/>
          <w:lang w:val="en-GB"/>
        </w:rPr>
        <w:t>)</w:t>
      </w:r>
      <w:r w:rsidR="00944DBE" w:rsidRPr="00062AB2">
        <w:rPr>
          <w:rFonts w:cs="Arial"/>
          <w:szCs w:val="22"/>
          <w:lang w:val="en-GB"/>
        </w:rPr>
        <w:t>.</w:t>
      </w:r>
    </w:p>
    <w:p w:rsidR="00906015" w:rsidRDefault="00906015" w:rsidP="00906015">
      <w:pPr>
        <w:ind w:left="720"/>
        <w:rPr>
          <w:rFonts w:cs="Arial"/>
          <w:szCs w:val="22"/>
          <w:lang w:val="en-GB"/>
        </w:rPr>
      </w:pPr>
    </w:p>
    <w:p w:rsidR="003A3BE1" w:rsidRDefault="003A3BE1" w:rsidP="00906015">
      <w:pPr>
        <w:ind w:left="720"/>
        <w:rPr>
          <w:rFonts w:cs="Arial"/>
          <w:szCs w:val="22"/>
          <w:lang w:val="en-GB"/>
        </w:rPr>
      </w:pPr>
    </w:p>
    <w:p w:rsidR="003A3BE1" w:rsidRPr="00062AB2" w:rsidRDefault="003A3BE1" w:rsidP="00906015">
      <w:pPr>
        <w:ind w:left="720"/>
        <w:rPr>
          <w:rFonts w:cs="Arial"/>
          <w:szCs w:val="22"/>
          <w:lang w:val="en-GB"/>
        </w:rPr>
      </w:pPr>
    </w:p>
    <w:p w:rsidR="00E352E7" w:rsidRPr="00E352E7" w:rsidRDefault="00062AB2" w:rsidP="00E352E7">
      <w:pPr>
        <w:rPr>
          <w:rFonts w:cs="Arial"/>
          <w:i/>
        </w:rPr>
      </w:pPr>
      <w:r w:rsidRPr="00E352E7">
        <w:rPr>
          <w:rFonts w:cs="Arial"/>
          <w:i/>
        </w:rPr>
        <w:lastRenderedPageBreak/>
        <w:t xml:space="preserve">Linseed </w:t>
      </w:r>
    </w:p>
    <w:p w:rsidR="00E352E7" w:rsidRDefault="00E352E7" w:rsidP="00E352E7">
      <w:pPr>
        <w:rPr>
          <w:rFonts w:cs="Arial"/>
        </w:rPr>
      </w:pPr>
    </w:p>
    <w:p w:rsidR="00FB6B88" w:rsidRDefault="00FB6B88" w:rsidP="00A0174A">
      <w:pPr>
        <w:rPr>
          <w:rFonts w:cs="Arial"/>
          <w:szCs w:val="22"/>
        </w:rPr>
      </w:pPr>
      <w:r>
        <w:rPr>
          <w:rFonts w:cs="Arial"/>
          <w:szCs w:val="22"/>
        </w:rPr>
        <w:t xml:space="preserve">There were no consumption data for New Zealand and Australian adults </w:t>
      </w:r>
      <w:r w:rsidR="00E6167E">
        <w:rPr>
          <w:rFonts w:cs="Arial"/>
          <w:szCs w:val="22"/>
        </w:rPr>
        <w:t xml:space="preserve">for linseeds consumed directly as seeds </w:t>
      </w:r>
      <w:r>
        <w:rPr>
          <w:rFonts w:cs="Arial"/>
          <w:szCs w:val="22"/>
        </w:rPr>
        <w:t xml:space="preserve">and therefore </w:t>
      </w:r>
      <w:r w:rsidR="00CB362A">
        <w:rPr>
          <w:rFonts w:cs="Arial"/>
          <w:szCs w:val="22"/>
        </w:rPr>
        <w:t>a</w:t>
      </w:r>
      <w:r>
        <w:rPr>
          <w:rFonts w:cs="Arial"/>
          <w:szCs w:val="22"/>
        </w:rPr>
        <w:t xml:space="preserve"> back calculation was done for these groups. The </w:t>
      </w:r>
      <w:r w:rsidRPr="00E352E7">
        <w:rPr>
          <w:rFonts w:cs="Arial"/>
        </w:rPr>
        <w:t>maximum amount of linseed</w:t>
      </w:r>
      <w:r>
        <w:rPr>
          <w:rFonts w:cs="Arial"/>
        </w:rPr>
        <w:t>s</w:t>
      </w:r>
      <w:r w:rsidRPr="00E352E7">
        <w:rPr>
          <w:rFonts w:cs="Arial"/>
        </w:rPr>
        <w:t xml:space="preserve"> that could be consumed before exceeding the ARfD </w:t>
      </w:r>
      <w:r>
        <w:rPr>
          <w:rFonts w:cs="Arial"/>
        </w:rPr>
        <w:t xml:space="preserve">is </w:t>
      </w:r>
      <w:r w:rsidRPr="00E352E7">
        <w:rPr>
          <w:rFonts w:cs="Arial"/>
        </w:rPr>
        <w:t>32-33 g/day</w:t>
      </w:r>
      <w:r>
        <w:rPr>
          <w:rFonts w:cs="Arial"/>
        </w:rPr>
        <w:t xml:space="preserve"> (Table 15</w:t>
      </w:r>
      <w:r w:rsidRPr="00E352E7">
        <w:rPr>
          <w:rFonts w:cs="Arial"/>
        </w:rPr>
        <w:t>).</w:t>
      </w:r>
      <w:r w:rsidR="00CB362A">
        <w:rPr>
          <w:rFonts w:cs="Arial"/>
        </w:rPr>
        <w:t xml:space="preserve"> </w:t>
      </w:r>
      <w:r w:rsidR="00A0174A">
        <w:rPr>
          <w:rFonts w:cs="Arial"/>
        </w:rPr>
        <w:t>C</w:t>
      </w:r>
      <w:r w:rsidR="00A0174A" w:rsidRPr="00CB362A">
        <w:rPr>
          <w:rFonts w:cs="Arial"/>
        </w:rPr>
        <w:t xml:space="preserve">onsumption at levels near </w:t>
      </w:r>
      <w:r w:rsidR="00A0174A">
        <w:rPr>
          <w:rFonts w:cs="Arial"/>
        </w:rPr>
        <w:t>this</w:t>
      </w:r>
      <w:r w:rsidR="00A0174A" w:rsidRPr="00CB362A">
        <w:rPr>
          <w:rFonts w:cs="Arial"/>
        </w:rPr>
        <w:t xml:space="preserve"> maximum calculated amount is</w:t>
      </w:r>
      <w:r w:rsidR="00A0174A">
        <w:rPr>
          <w:rFonts w:cs="Arial"/>
        </w:rPr>
        <w:t xml:space="preserve"> feasible, however, like bread containing linseed, the toxicokinetic profile </w:t>
      </w:r>
      <w:r w:rsidR="00A0174A" w:rsidRPr="00A0174A">
        <w:rPr>
          <w:rFonts w:cs="Arial"/>
        </w:rPr>
        <w:t xml:space="preserve">suggests that there is no acute public health and safety risk associated with the consumption </w:t>
      </w:r>
      <w:r w:rsidR="00A0174A">
        <w:rPr>
          <w:rFonts w:cs="Arial"/>
        </w:rPr>
        <w:t>of linseeds.</w:t>
      </w:r>
    </w:p>
    <w:p w:rsidR="00062AB2" w:rsidRDefault="00062AB2" w:rsidP="00A83E0F">
      <w:pPr>
        <w:rPr>
          <w:rFonts w:cs="Arial"/>
          <w:szCs w:val="22"/>
          <w:lang w:val="en-GB"/>
        </w:rPr>
      </w:pPr>
    </w:p>
    <w:p w:rsidR="00E352E7" w:rsidRPr="00E352E7" w:rsidRDefault="00062AB2" w:rsidP="00E352E7">
      <w:pPr>
        <w:rPr>
          <w:rFonts w:cs="Arial"/>
          <w:i/>
          <w:szCs w:val="22"/>
          <w:lang w:val="en-GB"/>
        </w:rPr>
      </w:pPr>
      <w:r w:rsidRPr="00E352E7">
        <w:rPr>
          <w:rFonts w:cs="Arial"/>
          <w:i/>
          <w:szCs w:val="22"/>
          <w:lang w:val="en-GB"/>
        </w:rPr>
        <w:t xml:space="preserve">Prune juice </w:t>
      </w:r>
    </w:p>
    <w:p w:rsidR="00E352E7" w:rsidRDefault="00E352E7" w:rsidP="00E352E7">
      <w:pPr>
        <w:rPr>
          <w:rFonts w:cs="Arial"/>
          <w:szCs w:val="22"/>
          <w:lang w:val="en-GB"/>
        </w:rPr>
      </w:pPr>
    </w:p>
    <w:p w:rsidR="006757FB" w:rsidRDefault="00E352E7" w:rsidP="00E352E7">
      <w:pPr>
        <w:rPr>
          <w:rFonts w:cs="Arial"/>
          <w:szCs w:val="22"/>
          <w:lang w:val="en-GB"/>
        </w:rPr>
      </w:pPr>
      <w:r>
        <w:rPr>
          <w:rFonts w:cs="Arial"/>
          <w:szCs w:val="22"/>
          <w:lang w:val="en-GB"/>
        </w:rPr>
        <w:t>T</w:t>
      </w:r>
      <w:r w:rsidR="00062AB2" w:rsidRPr="00A27C4A">
        <w:rPr>
          <w:rFonts w:cs="Arial"/>
          <w:szCs w:val="22"/>
          <w:lang w:val="en-GB"/>
        </w:rPr>
        <w:t>here were no consumption data for New Zealand children</w:t>
      </w:r>
      <w:r w:rsidR="00EC4BAC" w:rsidRPr="00A27C4A">
        <w:rPr>
          <w:rFonts w:cs="Arial"/>
          <w:szCs w:val="22"/>
          <w:lang w:val="en-GB"/>
        </w:rPr>
        <w:t xml:space="preserve"> and so the back calculation method was used to determine that </w:t>
      </w:r>
      <w:r w:rsidR="00062AB2" w:rsidRPr="00A27C4A">
        <w:rPr>
          <w:rFonts w:cs="Arial"/>
          <w:szCs w:val="22"/>
          <w:lang w:val="en-GB"/>
        </w:rPr>
        <w:t xml:space="preserve">the maximum amount of prune juice that could be consumed by </w:t>
      </w:r>
      <w:r w:rsidR="008D4CC3" w:rsidRPr="00A27C4A">
        <w:rPr>
          <w:rFonts w:cs="Arial"/>
          <w:szCs w:val="22"/>
          <w:lang w:val="en-GB"/>
        </w:rPr>
        <w:t xml:space="preserve">New Zealand </w:t>
      </w:r>
      <w:r w:rsidR="00062AB2" w:rsidRPr="00A27C4A">
        <w:rPr>
          <w:rFonts w:cs="Arial"/>
          <w:szCs w:val="22"/>
          <w:lang w:val="en-GB"/>
        </w:rPr>
        <w:t>5-6 year olds before exceeding the ARfD</w:t>
      </w:r>
      <w:r w:rsidR="00304BCC">
        <w:rPr>
          <w:rFonts w:cs="Arial"/>
          <w:szCs w:val="22"/>
          <w:lang w:val="en-GB"/>
        </w:rPr>
        <w:t>. The maximum amount of prune juice that could be consumed by New Zealand 5-6 year olds before exceeding the ARfD</w:t>
      </w:r>
      <w:r w:rsidR="00062AB2" w:rsidRPr="00A27C4A">
        <w:rPr>
          <w:rFonts w:cs="Arial"/>
          <w:szCs w:val="22"/>
          <w:lang w:val="en-GB"/>
        </w:rPr>
        <w:t xml:space="preserve"> is 460 g/day. This amount might seem realistic for a juice. However, prune juice is not usually consumed in as large quantities as other juices such as orange and apple juice, probably in large part due to its laxative properties. The 50</w:t>
      </w:r>
      <w:r w:rsidR="00062AB2" w:rsidRPr="00A27C4A">
        <w:rPr>
          <w:rFonts w:cs="Arial"/>
          <w:szCs w:val="22"/>
          <w:vertAlign w:val="superscript"/>
          <w:lang w:val="en-GB"/>
        </w:rPr>
        <w:t>th</w:t>
      </w:r>
      <w:r w:rsidR="00062AB2" w:rsidRPr="00A27C4A">
        <w:rPr>
          <w:rFonts w:cs="Arial"/>
          <w:szCs w:val="22"/>
          <w:lang w:val="en-GB"/>
        </w:rPr>
        <w:t xml:space="preserve"> percentile consumption for prune juice for Australian children </w:t>
      </w:r>
      <w:r w:rsidR="008A543E" w:rsidRPr="00A27C4A">
        <w:rPr>
          <w:rFonts w:cs="Arial"/>
          <w:szCs w:val="22"/>
          <w:lang w:val="en-GB"/>
        </w:rPr>
        <w:t xml:space="preserve">2-16 years </w:t>
      </w:r>
      <w:r w:rsidR="00062AB2" w:rsidRPr="00A27C4A">
        <w:rPr>
          <w:rFonts w:cs="Arial"/>
          <w:szCs w:val="22"/>
          <w:lang w:val="en-GB"/>
        </w:rPr>
        <w:t>was 157 g/day</w:t>
      </w:r>
      <w:r w:rsidR="008D4CC3" w:rsidRPr="00A27C4A">
        <w:rPr>
          <w:rFonts w:cs="Arial"/>
          <w:szCs w:val="22"/>
          <w:lang w:val="en-GB"/>
        </w:rPr>
        <w:t>,</w:t>
      </w:r>
      <w:r w:rsidR="00062AB2" w:rsidRPr="00A27C4A">
        <w:rPr>
          <w:rFonts w:cs="Arial"/>
          <w:szCs w:val="22"/>
          <w:lang w:val="en-GB"/>
        </w:rPr>
        <w:t xml:space="preserve"> suggesting that consumption at levels near the maximum</w:t>
      </w:r>
      <w:r w:rsidR="00936E18" w:rsidRPr="00A27C4A">
        <w:rPr>
          <w:rFonts w:cs="Arial"/>
          <w:szCs w:val="22"/>
          <w:lang w:val="en-GB"/>
        </w:rPr>
        <w:t xml:space="preserve"> calculated</w:t>
      </w:r>
      <w:r w:rsidR="00062AB2" w:rsidRPr="00A27C4A">
        <w:rPr>
          <w:rFonts w:cs="Arial"/>
          <w:szCs w:val="22"/>
          <w:lang w:val="en-GB"/>
        </w:rPr>
        <w:t xml:space="preserve"> amount is unlikely</w:t>
      </w:r>
      <w:r w:rsidR="00936E18" w:rsidRPr="00A27C4A">
        <w:rPr>
          <w:rFonts w:cs="Arial"/>
          <w:szCs w:val="22"/>
          <w:lang w:val="en-GB"/>
        </w:rPr>
        <w:t xml:space="preserve"> (Table </w:t>
      </w:r>
      <w:r w:rsidR="0054174C">
        <w:rPr>
          <w:rFonts w:cs="Arial"/>
          <w:szCs w:val="22"/>
          <w:lang w:val="en-GB"/>
        </w:rPr>
        <w:t>A10.3</w:t>
      </w:r>
      <w:r w:rsidR="00936E18" w:rsidRPr="00A27C4A">
        <w:rPr>
          <w:rFonts w:cs="Arial"/>
          <w:szCs w:val="22"/>
          <w:lang w:val="en-GB"/>
        </w:rPr>
        <w:t>)</w:t>
      </w:r>
      <w:r w:rsidR="00062AB2" w:rsidRPr="00A27C4A">
        <w:rPr>
          <w:rFonts w:cs="Arial"/>
          <w:szCs w:val="22"/>
          <w:lang w:val="en-GB"/>
        </w:rPr>
        <w:t>.</w:t>
      </w:r>
    </w:p>
    <w:p w:rsidR="001E0CB0" w:rsidRDefault="001E0CB0" w:rsidP="00E352E7">
      <w:pPr>
        <w:rPr>
          <w:rFonts w:cs="Arial"/>
          <w:szCs w:val="22"/>
          <w:lang w:val="en-GB"/>
        </w:rPr>
      </w:pPr>
    </w:p>
    <w:p w:rsidR="00D40846" w:rsidRDefault="00D40846" w:rsidP="00D40846">
      <w:pPr>
        <w:pStyle w:val="Heading3"/>
      </w:pPr>
      <w:bookmarkStart w:id="164" w:name="_Toc384293531"/>
      <w:r w:rsidRPr="00996BAB">
        <w:t>5.</w:t>
      </w:r>
      <w:r>
        <w:t>4.</w:t>
      </w:r>
      <w:r w:rsidR="002D7474">
        <w:t>3</w:t>
      </w:r>
      <w:r>
        <w:tab/>
        <w:t xml:space="preserve">Characterisation </w:t>
      </w:r>
      <w:r w:rsidRPr="00996BAB">
        <w:t xml:space="preserve">of </w:t>
      </w:r>
      <w:r>
        <w:t>acute risk – infant foods</w:t>
      </w:r>
      <w:bookmarkEnd w:id="164"/>
    </w:p>
    <w:p w:rsidR="00D40846" w:rsidRDefault="00D40846" w:rsidP="00D33562">
      <w:pPr>
        <w:rPr>
          <w:rFonts w:cs="Arial"/>
          <w:szCs w:val="22"/>
        </w:rPr>
      </w:pPr>
    </w:p>
    <w:p w:rsidR="00D33562" w:rsidRPr="000E000A" w:rsidRDefault="00D33562" w:rsidP="00D33562">
      <w:pPr>
        <w:rPr>
          <w:rFonts w:cs="Arial"/>
          <w:szCs w:val="22"/>
        </w:rPr>
      </w:pPr>
      <w:r w:rsidRPr="000E000A">
        <w:rPr>
          <w:rFonts w:cs="Arial"/>
          <w:szCs w:val="22"/>
        </w:rPr>
        <w:t xml:space="preserve">For selected infant foods, the estimated acute dietary exposures as a per cent of the ARfD are shown in </w:t>
      </w:r>
      <w:r w:rsidRPr="000E000A">
        <w:rPr>
          <w:rFonts w:cs="Arial"/>
          <w:szCs w:val="22"/>
        </w:rPr>
        <w:fldChar w:fldCharType="begin"/>
      </w:r>
      <w:r w:rsidRPr="000E000A">
        <w:rPr>
          <w:rFonts w:cs="Arial"/>
          <w:szCs w:val="22"/>
        </w:rPr>
        <w:instrText xml:space="preserve"> REF _Ref359842859 \h </w:instrText>
      </w:r>
      <w:r w:rsidR="000E000A" w:rsidRPr="000E000A">
        <w:rPr>
          <w:rFonts w:cs="Arial"/>
          <w:szCs w:val="22"/>
        </w:rPr>
        <w:instrText xml:space="preserve"> \* MERGEFORMAT </w:instrText>
      </w:r>
      <w:r w:rsidRPr="000E000A">
        <w:rPr>
          <w:rFonts w:cs="Arial"/>
          <w:szCs w:val="22"/>
        </w:rPr>
      </w:r>
      <w:r w:rsidRPr="000E000A">
        <w:rPr>
          <w:rFonts w:cs="Arial"/>
          <w:szCs w:val="22"/>
        </w:rPr>
        <w:fldChar w:fldCharType="separate"/>
      </w:r>
      <w:r w:rsidR="00794D8F" w:rsidRPr="00794D8F">
        <w:rPr>
          <w:rFonts w:cs="Arial"/>
          <w:szCs w:val="22"/>
        </w:rPr>
        <w:t xml:space="preserve">Table </w:t>
      </w:r>
      <w:r w:rsidRPr="000E000A">
        <w:rPr>
          <w:rFonts w:cs="Arial"/>
          <w:szCs w:val="22"/>
        </w:rPr>
        <w:fldChar w:fldCharType="end"/>
      </w:r>
      <w:r w:rsidR="00833F45">
        <w:rPr>
          <w:rFonts w:cs="Arial"/>
          <w:szCs w:val="22"/>
        </w:rPr>
        <w:t>1</w:t>
      </w:r>
      <w:r w:rsidR="00D44BED">
        <w:rPr>
          <w:rFonts w:cs="Arial"/>
          <w:szCs w:val="22"/>
        </w:rPr>
        <w:t>6</w:t>
      </w:r>
      <w:r w:rsidRPr="000E000A">
        <w:rPr>
          <w:rFonts w:cs="Arial"/>
          <w:szCs w:val="22"/>
        </w:rPr>
        <w:t>.</w:t>
      </w:r>
    </w:p>
    <w:p w:rsidR="00D33562" w:rsidRPr="00803F7F" w:rsidRDefault="00D33562" w:rsidP="00803F7F">
      <w:pPr>
        <w:pStyle w:val="Heading3LT"/>
      </w:pPr>
      <w:bookmarkStart w:id="165" w:name="_Ref359842859"/>
      <w:bookmarkStart w:id="166" w:name="_Toc384293562"/>
      <w:r w:rsidRPr="00803F7F">
        <w:t xml:space="preserve">Table </w:t>
      </w:r>
      <w:bookmarkEnd w:id="165"/>
      <w:r w:rsidR="00833F45" w:rsidRPr="00803F7F">
        <w:t>1</w:t>
      </w:r>
      <w:r w:rsidR="00D44BED" w:rsidRPr="00803F7F">
        <w:t>6</w:t>
      </w:r>
      <w:r w:rsidR="0051379B" w:rsidRPr="00803F7F">
        <w:t>:</w:t>
      </w:r>
      <w:r w:rsidRPr="00803F7F">
        <w:t xml:space="preserve"> Estimated acute dietary exposures to total HCN for </w:t>
      </w:r>
      <w:r w:rsidR="003C7BB7" w:rsidRPr="00803F7F">
        <w:t xml:space="preserve">Australian and New Zealand </w:t>
      </w:r>
      <w:r w:rsidRPr="00803F7F">
        <w:t>infants (</w:t>
      </w:r>
      <w:r w:rsidR="006778E6">
        <w:t>2-11</w:t>
      </w:r>
      <w:r w:rsidRPr="00803F7F">
        <w:t xml:space="preserve"> months old) for selected apple based foods as a per cent of the acute reference dose (ARfD)</w:t>
      </w:r>
      <w:r w:rsidR="003C7BB7" w:rsidRPr="00803F7F">
        <w:t xml:space="preserve"> (%)</w:t>
      </w:r>
      <w:bookmarkEnd w:id="166"/>
    </w:p>
    <w:tbl>
      <w:tblPr>
        <w:tblStyle w:val="LightList-Accent1"/>
        <w:tblW w:w="9639"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firstRow="1" w:lastRow="0" w:firstColumn="1" w:lastColumn="0" w:noHBand="0" w:noVBand="1"/>
      </w:tblPr>
      <w:tblGrid>
        <w:gridCol w:w="4786"/>
        <w:gridCol w:w="4853"/>
      </w:tblGrid>
      <w:tr w:rsidR="003C7BB7" w:rsidRPr="003C7BB7" w:rsidTr="00CB516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86" w:type="dxa"/>
          </w:tcPr>
          <w:p w:rsidR="00D33562" w:rsidRPr="003C7BB7" w:rsidRDefault="00D33562" w:rsidP="003C7BB7">
            <w:pPr>
              <w:keepNext/>
              <w:rPr>
                <w:rFonts w:cs="Arial"/>
                <w:sz w:val="20"/>
                <w:szCs w:val="20"/>
              </w:rPr>
            </w:pPr>
            <w:r w:rsidRPr="003C7BB7">
              <w:rPr>
                <w:rFonts w:cs="Arial"/>
                <w:sz w:val="20"/>
                <w:szCs w:val="20"/>
              </w:rPr>
              <w:t>Food</w:t>
            </w:r>
          </w:p>
        </w:tc>
        <w:tc>
          <w:tcPr>
            <w:tcW w:w="4853" w:type="dxa"/>
            <w:noWrap/>
          </w:tcPr>
          <w:p w:rsidR="00D33562" w:rsidRPr="003C7BB7" w:rsidRDefault="00D33562" w:rsidP="003C7B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3C7BB7">
              <w:rPr>
                <w:rFonts w:cs="Arial"/>
                <w:bCs w:val="0"/>
                <w:sz w:val="20"/>
                <w:szCs w:val="20"/>
                <w:lang w:eastAsia="en-GB"/>
              </w:rPr>
              <w:t xml:space="preserve">Estimated exposure to total </w:t>
            </w:r>
            <w:r w:rsidRPr="003C7BB7">
              <w:rPr>
                <w:rFonts w:cs="Arial"/>
                <w:sz w:val="20"/>
                <w:szCs w:val="20"/>
              </w:rPr>
              <w:t>HCN</w:t>
            </w:r>
          </w:p>
          <w:p w:rsidR="00D33562" w:rsidRPr="003C7BB7" w:rsidRDefault="00D33562" w:rsidP="003C7B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3C7BB7">
              <w:rPr>
                <w:rFonts w:cs="Arial"/>
                <w:sz w:val="20"/>
                <w:szCs w:val="20"/>
              </w:rPr>
              <w:t>(%ARfD</w:t>
            </w:r>
            <w:r w:rsidR="003C7BB7">
              <w:rPr>
                <w:rFonts w:cs="Arial"/>
                <w:sz w:val="20"/>
                <w:szCs w:val="20"/>
              </w:rPr>
              <w:t>)</w:t>
            </w:r>
            <w:r w:rsidRPr="003C7BB7">
              <w:rPr>
                <w:rFonts w:cs="Arial"/>
                <w:sz w:val="20"/>
                <w:szCs w:val="20"/>
              </w:rPr>
              <w:t>*</w:t>
            </w:r>
          </w:p>
        </w:tc>
      </w:tr>
      <w:tr w:rsidR="00D33562" w:rsidRPr="003C7BB7" w:rsidTr="00CB51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86" w:type="dxa"/>
            <w:tcBorders>
              <w:top w:val="none" w:sz="0" w:space="0" w:color="auto"/>
              <w:left w:val="none" w:sz="0" w:space="0" w:color="auto"/>
              <w:bottom w:val="none" w:sz="0" w:space="0" w:color="auto"/>
            </w:tcBorders>
          </w:tcPr>
          <w:p w:rsidR="00D33562" w:rsidRPr="003C7BB7" w:rsidRDefault="00D33562" w:rsidP="00823493">
            <w:pPr>
              <w:keepNext/>
              <w:rPr>
                <w:rFonts w:cs="Arial"/>
                <w:color w:val="000000"/>
                <w:sz w:val="20"/>
                <w:szCs w:val="20"/>
              </w:rPr>
            </w:pPr>
            <w:r w:rsidRPr="003C7BB7">
              <w:rPr>
                <w:rFonts w:cs="Arial"/>
                <w:color w:val="000000"/>
                <w:sz w:val="20"/>
                <w:szCs w:val="20"/>
              </w:rPr>
              <w:t>Apple juice (Survey 2, EU method)</w:t>
            </w:r>
          </w:p>
        </w:tc>
        <w:tc>
          <w:tcPr>
            <w:tcW w:w="4853" w:type="dxa"/>
            <w:tcBorders>
              <w:top w:val="none" w:sz="0" w:space="0" w:color="auto"/>
              <w:bottom w:val="none" w:sz="0" w:space="0" w:color="auto"/>
              <w:right w:val="none" w:sz="0" w:space="0" w:color="auto"/>
            </w:tcBorders>
            <w:noWrap/>
          </w:tcPr>
          <w:p w:rsidR="00D33562" w:rsidRPr="003C7BB7" w:rsidRDefault="00D33562" w:rsidP="003C7BB7">
            <w:pPr>
              <w:keepNex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C7BB7">
              <w:rPr>
                <w:rFonts w:cs="Arial"/>
                <w:color w:val="000000"/>
                <w:sz w:val="20"/>
                <w:szCs w:val="20"/>
              </w:rPr>
              <w:t>4</w:t>
            </w:r>
          </w:p>
        </w:tc>
      </w:tr>
      <w:tr w:rsidR="00D33562" w:rsidRPr="003C7BB7" w:rsidTr="00CB5160">
        <w:trPr>
          <w:trHeight w:val="300"/>
        </w:trPr>
        <w:tc>
          <w:tcPr>
            <w:cnfStyle w:val="001000000000" w:firstRow="0" w:lastRow="0" w:firstColumn="1" w:lastColumn="0" w:oddVBand="0" w:evenVBand="0" w:oddHBand="0" w:evenHBand="0" w:firstRowFirstColumn="0" w:firstRowLastColumn="0" w:lastRowFirstColumn="0" w:lastRowLastColumn="0"/>
            <w:tcW w:w="4786" w:type="dxa"/>
          </w:tcPr>
          <w:p w:rsidR="00D33562" w:rsidRPr="003C7BB7" w:rsidRDefault="00D33562" w:rsidP="00823493">
            <w:pPr>
              <w:keepNext/>
              <w:rPr>
                <w:rFonts w:cs="Arial"/>
                <w:color w:val="000000"/>
                <w:sz w:val="20"/>
                <w:szCs w:val="20"/>
              </w:rPr>
            </w:pPr>
            <w:r w:rsidRPr="003C7BB7">
              <w:rPr>
                <w:rFonts w:cs="Arial"/>
                <w:color w:val="000000"/>
                <w:sz w:val="20"/>
                <w:szCs w:val="20"/>
              </w:rPr>
              <w:t>Infant apple puree (Survey 3, EU method)</w:t>
            </w:r>
          </w:p>
        </w:tc>
        <w:tc>
          <w:tcPr>
            <w:tcW w:w="4853" w:type="dxa"/>
            <w:noWrap/>
          </w:tcPr>
          <w:p w:rsidR="00D33562" w:rsidRPr="003C7BB7" w:rsidRDefault="00581AB9" w:rsidP="003C7BB7">
            <w:pPr>
              <w:keepNex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30</w:t>
            </w:r>
          </w:p>
        </w:tc>
      </w:tr>
    </w:tbl>
    <w:p w:rsidR="00D33562" w:rsidRDefault="00D33562" w:rsidP="00D335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3C7BB7">
        <w:rPr>
          <w:rFonts w:cs="Arial"/>
          <w:sz w:val="18"/>
          <w:szCs w:val="18"/>
        </w:rPr>
        <w:t>* ARfD = 80 µg HCN/kg bw (FSANZ, 2008).</w:t>
      </w:r>
    </w:p>
    <w:p w:rsidR="00D33562" w:rsidRPr="003C7BB7" w:rsidRDefault="00D33562" w:rsidP="00D33562">
      <w:pPr>
        <w:rPr>
          <w:rFonts w:cs="Arial"/>
          <w:szCs w:val="22"/>
        </w:rPr>
      </w:pPr>
    </w:p>
    <w:p w:rsidR="00AF5160" w:rsidRDefault="004D2571" w:rsidP="00D33562">
      <w:pPr>
        <w:rPr>
          <w:rFonts w:cs="Arial"/>
          <w:szCs w:val="22"/>
        </w:rPr>
      </w:pPr>
      <w:r>
        <w:rPr>
          <w:rFonts w:cs="Arial"/>
          <w:szCs w:val="22"/>
        </w:rPr>
        <w:t>Using the maximum concentration of 0.17 mg</w:t>
      </w:r>
      <w:r w:rsidR="00CB7C4C">
        <w:rPr>
          <w:rFonts w:cs="Arial"/>
          <w:szCs w:val="22"/>
        </w:rPr>
        <w:t xml:space="preserve"> HCN</w:t>
      </w:r>
      <w:r>
        <w:rPr>
          <w:rFonts w:cs="Arial"/>
          <w:szCs w:val="22"/>
        </w:rPr>
        <w:t xml:space="preserve">/kg </w:t>
      </w:r>
      <w:r w:rsidR="000D090B">
        <w:rPr>
          <w:rFonts w:cs="Arial"/>
          <w:szCs w:val="22"/>
        </w:rPr>
        <w:t>(</w:t>
      </w:r>
      <w:r>
        <w:rPr>
          <w:rFonts w:cs="Arial"/>
          <w:szCs w:val="22"/>
        </w:rPr>
        <w:t>EU HPLC method</w:t>
      </w:r>
      <w:r w:rsidR="000D090B">
        <w:rPr>
          <w:rFonts w:cs="Arial"/>
          <w:szCs w:val="22"/>
        </w:rPr>
        <w:t>)</w:t>
      </w:r>
      <w:r>
        <w:rPr>
          <w:rFonts w:cs="Arial"/>
          <w:szCs w:val="22"/>
        </w:rPr>
        <w:t xml:space="preserve">, estimated exposure to HCN as a per cent of the ARfD was </w:t>
      </w:r>
      <w:r w:rsidR="00AF5160">
        <w:rPr>
          <w:rFonts w:cs="Arial"/>
          <w:szCs w:val="22"/>
        </w:rPr>
        <w:t xml:space="preserve">4% for infants. </w:t>
      </w:r>
    </w:p>
    <w:p w:rsidR="00AF5160" w:rsidRDefault="00AF5160" w:rsidP="00D33562">
      <w:pPr>
        <w:rPr>
          <w:rFonts w:cs="Arial"/>
          <w:szCs w:val="22"/>
        </w:rPr>
      </w:pPr>
    </w:p>
    <w:p w:rsidR="00D33562" w:rsidRPr="003C7BB7" w:rsidRDefault="00D44BED" w:rsidP="00D33562">
      <w:pPr>
        <w:rPr>
          <w:rFonts w:cs="Arial"/>
          <w:szCs w:val="22"/>
        </w:rPr>
      </w:pPr>
      <w:r>
        <w:rPr>
          <w:rFonts w:cs="Arial"/>
          <w:szCs w:val="22"/>
        </w:rPr>
        <w:t>For</w:t>
      </w:r>
      <w:r w:rsidR="00CB7C4C">
        <w:rPr>
          <w:rFonts w:cs="Arial"/>
          <w:szCs w:val="22"/>
        </w:rPr>
        <w:t xml:space="preserve"> infant apple puree</w:t>
      </w:r>
      <w:r>
        <w:rPr>
          <w:rFonts w:cs="Arial"/>
          <w:szCs w:val="22"/>
        </w:rPr>
        <w:t>, u</w:t>
      </w:r>
      <w:r w:rsidR="00CB7C4C">
        <w:rPr>
          <w:rFonts w:cs="Arial"/>
          <w:szCs w:val="22"/>
        </w:rPr>
        <w:t>sing the maximum concentration of 1.3 mg HCN/kg</w:t>
      </w:r>
      <w:r w:rsidR="00AF5160">
        <w:rPr>
          <w:rFonts w:cs="Arial"/>
          <w:szCs w:val="22"/>
        </w:rPr>
        <w:t xml:space="preserve"> </w:t>
      </w:r>
      <w:r w:rsidR="000D090B">
        <w:rPr>
          <w:rFonts w:cs="Arial"/>
          <w:szCs w:val="22"/>
        </w:rPr>
        <w:t>(</w:t>
      </w:r>
      <w:r w:rsidR="00AF5160">
        <w:rPr>
          <w:rFonts w:cs="Arial"/>
          <w:szCs w:val="22"/>
        </w:rPr>
        <w:t>EU HPLC method</w:t>
      </w:r>
      <w:r w:rsidR="000D090B">
        <w:rPr>
          <w:rFonts w:cs="Arial"/>
          <w:szCs w:val="22"/>
        </w:rPr>
        <w:t>)</w:t>
      </w:r>
      <w:r w:rsidR="00CB7C4C">
        <w:rPr>
          <w:rFonts w:cs="Arial"/>
          <w:szCs w:val="22"/>
        </w:rPr>
        <w:t>, estimated exposure to HCN as a per</w:t>
      </w:r>
      <w:r w:rsidR="006D3BBF">
        <w:rPr>
          <w:rFonts w:cs="Arial"/>
          <w:szCs w:val="22"/>
        </w:rPr>
        <w:t xml:space="preserve"> </w:t>
      </w:r>
      <w:r w:rsidR="00CB7C4C">
        <w:rPr>
          <w:rFonts w:cs="Arial"/>
          <w:szCs w:val="22"/>
        </w:rPr>
        <w:t xml:space="preserve">cent of the ARfD was </w:t>
      </w:r>
      <w:r w:rsidR="00581AB9">
        <w:rPr>
          <w:rFonts w:cs="Arial"/>
          <w:szCs w:val="22"/>
        </w:rPr>
        <w:t>30%.</w:t>
      </w:r>
      <w:r w:rsidR="00CB7C4C">
        <w:rPr>
          <w:rFonts w:cs="Arial"/>
          <w:szCs w:val="22"/>
        </w:rPr>
        <w:t xml:space="preserve"> </w:t>
      </w:r>
    </w:p>
    <w:p w:rsidR="008E2E86" w:rsidRPr="003A3BE1" w:rsidRDefault="008E2E86" w:rsidP="00D33562">
      <w:pPr>
        <w:rPr>
          <w:rFonts w:cs="Arial"/>
          <w:strike/>
          <w:szCs w:val="22"/>
        </w:rPr>
      </w:pPr>
    </w:p>
    <w:p w:rsidR="008E2E86" w:rsidRDefault="008E2E86" w:rsidP="008E2E86">
      <w:pPr>
        <w:pStyle w:val="Heading2"/>
      </w:pPr>
      <w:bookmarkStart w:id="167" w:name="_Toc384293532"/>
      <w:r>
        <w:t>5.6</w:t>
      </w:r>
      <w:r>
        <w:tab/>
        <w:t>Summary of risk assessment</w:t>
      </w:r>
      <w:bookmarkEnd w:id="167"/>
    </w:p>
    <w:p w:rsidR="007275B0" w:rsidRDefault="001061A6" w:rsidP="008E2E86">
      <w:pPr>
        <w:rPr>
          <w:rFonts w:cs="Arial"/>
          <w:szCs w:val="22"/>
        </w:rPr>
      </w:pPr>
      <w:r>
        <w:rPr>
          <w:rFonts w:cs="Arial"/>
          <w:szCs w:val="22"/>
        </w:rPr>
        <w:t xml:space="preserve">For the chronic dietary exposure assessment, the highest estimated dietary exposure </w:t>
      </w:r>
      <w:r w:rsidR="009D3462">
        <w:rPr>
          <w:rFonts w:cs="Arial"/>
          <w:szCs w:val="22"/>
        </w:rPr>
        <w:t xml:space="preserve">to HCN </w:t>
      </w:r>
      <w:r w:rsidR="00EE488D">
        <w:rPr>
          <w:rFonts w:cs="Arial"/>
          <w:szCs w:val="22"/>
        </w:rPr>
        <w:t xml:space="preserve">across all population groups </w:t>
      </w:r>
      <w:r>
        <w:rPr>
          <w:rFonts w:cs="Arial"/>
          <w:szCs w:val="22"/>
        </w:rPr>
        <w:t xml:space="preserve">was </w:t>
      </w:r>
      <w:r w:rsidRPr="001061A6">
        <w:rPr>
          <w:rFonts w:cs="Arial"/>
          <w:szCs w:val="22"/>
        </w:rPr>
        <w:t>5</w:t>
      </w:r>
      <w:r>
        <w:rPr>
          <w:rFonts w:cs="Arial"/>
          <w:szCs w:val="22"/>
        </w:rPr>
        <w:t> </w:t>
      </w:r>
      <w:r w:rsidRPr="001061A6">
        <w:rPr>
          <w:rFonts w:cs="Arial"/>
          <w:szCs w:val="22"/>
        </w:rPr>
        <w:t>µg/kg</w:t>
      </w:r>
      <w:r>
        <w:rPr>
          <w:rFonts w:cs="Arial"/>
          <w:szCs w:val="22"/>
        </w:rPr>
        <w:t> </w:t>
      </w:r>
      <w:r w:rsidRPr="001061A6">
        <w:rPr>
          <w:rFonts w:cs="Arial"/>
          <w:szCs w:val="22"/>
        </w:rPr>
        <w:t>bw/day</w:t>
      </w:r>
      <w:r>
        <w:rPr>
          <w:rFonts w:cs="Arial"/>
          <w:szCs w:val="22"/>
        </w:rPr>
        <w:t xml:space="preserve"> for consumers at the 90</w:t>
      </w:r>
      <w:r w:rsidRPr="001061A6">
        <w:rPr>
          <w:rFonts w:cs="Arial"/>
          <w:szCs w:val="22"/>
          <w:vertAlign w:val="superscript"/>
        </w:rPr>
        <w:t>th</w:t>
      </w:r>
      <w:r>
        <w:rPr>
          <w:rFonts w:cs="Arial"/>
          <w:szCs w:val="22"/>
        </w:rPr>
        <w:t xml:space="preserve"> percentile (upper </w:t>
      </w:r>
      <w:r w:rsidRPr="001061A6">
        <w:rPr>
          <w:rFonts w:cs="Arial"/>
          <w:szCs w:val="22"/>
        </w:rPr>
        <w:t>bound concentrations</w:t>
      </w:r>
      <w:r>
        <w:rPr>
          <w:rFonts w:cs="Arial"/>
          <w:szCs w:val="22"/>
        </w:rPr>
        <w:t>)</w:t>
      </w:r>
      <w:r w:rsidRPr="001061A6">
        <w:rPr>
          <w:rFonts w:cs="Arial"/>
          <w:szCs w:val="22"/>
        </w:rPr>
        <w:t xml:space="preserve">. </w:t>
      </w:r>
      <w:r w:rsidRPr="008E2E86">
        <w:rPr>
          <w:rFonts w:cs="Arial"/>
          <w:szCs w:val="22"/>
        </w:rPr>
        <w:t xml:space="preserve">The major contributors to estimated chronic dietary exposure to HCN </w:t>
      </w:r>
      <w:r>
        <w:rPr>
          <w:rFonts w:cs="Arial"/>
          <w:szCs w:val="22"/>
        </w:rPr>
        <w:t>included b</w:t>
      </w:r>
      <w:r w:rsidRPr="008E2E86">
        <w:rPr>
          <w:rFonts w:cs="Arial"/>
          <w:szCs w:val="22"/>
        </w:rPr>
        <w:t xml:space="preserve">read containing linseed </w:t>
      </w:r>
      <w:r w:rsidR="007275B0">
        <w:rPr>
          <w:rFonts w:cs="Arial"/>
          <w:szCs w:val="22"/>
        </w:rPr>
        <w:t xml:space="preserve">and </w:t>
      </w:r>
      <w:r>
        <w:rPr>
          <w:rFonts w:cs="Arial"/>
          <w:szCs w:val="22"/>
        </w:rPr>
        <w:t xml:space="preserve">RTE </w:t>
      </w:r>
      <w:r w:rsidRPr="008E2E86">
        <w:rPr>
          <w:rFonts w:cs="Arial"/>
          <w:szCs w:val="22"/>
        </w:rPr>
        <w:t>cas</w:t>
      </w:r>
      <w:r w:rsidR="007275B0">
        <w:rPr>
          <w:rFonts w:cs="Arial"/>
          <w:szCs w:val="22"/>
        </w:rPr>
        <w:t>sava chips.</w:t>
      </w:r>
      <w:r w:rsidRPr="008E2E86">
        <w:rPr>
          <w:rFonts w:cs="Arial"/>
          <w:szCs w:val="22"/>
        </w:rPr>
        <w:t xml:space="preserve"> For Australian and New Zealand children anothe</w:t>
      </w:r>
      <w:r w:rsidR="007275B0">
        <w:rPr>
          <w:rFonts w:cs="Arial"/>
          <w:szCs w:val="22"/>
        </w:rPr>
        <w:t xml:space="preserve">r high contributor was linseeds. </w:t>
      </w:r>
      <w:r w:rsidRPr="008E2E86">
        <w:rPr>
          <w:rFonts w:cs="Arial"/>
          <w:szCs w:val="22"/>
        </w:rPr>
        <w:t>Cassava roots were a major</w:t>
      </w:r>
      <w:r w:rsidR="007275B0">
        <w:rPr>
          <w:rFonts w:cs="Arial"/>
          <w:szCs w:val="22"/>
        </w:rPr>
        <w:t xml:space="preserve"> contributor for New Zealanders</w:t>
      </w:r>
      <w:r w:rsidRPr="008E2E86">
        <w:rPr>
          <w:rFonts w:cs="Arial"/>
          <w:szCs w:val="22"/>
        </w:rPr>
        <w:t>, but not Australians.</w:t>
      </w:r>
      <w:r w:rsidR="007275B0">
        <w:rPr>
          <w:rFonts w:cs="Arial"/>
          <w:szCs w:val="22"/>
        </w:rPr>
        <w:t xml:space="preserve"> </w:t>
      </w:r>
    </w:p>
    <w:p w:rsidR="007275B0" w:rsidRDefault="007275B0" w:rsidP="008E2E86">
      <w:pPr>
        <w:rPr>
          <w:rFonts w:cs="Arial"/>
          <w:szCs w:val="22"/>
        </w:rPr>
      </w:pPr>
    </w:p>
    <w:p w:rsidR="008E2E86" w:rsidRPr="008E2E86" w:rsidRDefault="008E2E86" w:rsidP="008E2E86">
      <w:pPr>
        <w:rPr>
          <w:rFonts w:cs="Arial"/>
          <w:szCs w:val="22"/>
        </w:rPr>
      </w:pPr>
      <w:r w:rsidRPr="008E2E86">
        <w:rPr>
          <w:rFonts w:cs="Arial"/>
          <w:szCs w:val="22"/>
        </w:rPr>
        <w:t>For the estimated chronic dietary exposure to HCN, there were no exceedances of the PMTDI for any population group assessed. On this basis, it is unlikely that there will be any public health and safety issues in relation to chronic dietary exposure to HCN for the Australian and New Zealand populations.</w:t>
      </w:r>
    </w:p>
    <w:p w:rsidR="008E2E86" w:rsidRPr="008E2E86" w:rsidRDefault="008E2E86" w:rsidP="008E2E86">
      <w:pPr>
        <w:rPr>
          <w:rFonts w:cs="Arial"/>
          <w:szCs w:val="22"/>
        </w:rPr>
      </w:pPr>
    </w:p>
    <w:p w:rsidR="007275B0" w:rsidRDefault="007275B0" w:rsidP="008E2E86">
      <w:pPr>
        <w:rPr>
          <w:rFonts w:cs="Arial"/>
          <w:szCs w:val="22"/>
        </w:rPr>
      </w:pPr>
      <w:r>
        <w:rPr>
          <w:rFonts w:cs="Arial"/>
          <w:szCs w:val="22"/>
        </w:rPr>
        <w:t>For the acute dietary exposure assessment, t</w:t>
      </w:r>
      <w:r w:rsidRPr="008E2E86">
        <w:rPr>
          <w:rFonts w:cs="Arial"/>
          <w:szCs w:val="22"/>
        </w:rPr>
        <w:t xml:space="preserve">here was a broad range of estimates </w:t>
      </w:r>
      <w:r>
        <w:rPr>
          <w:rFonts w:cs="Arial"/>
          <w:szCs w:val="22"/>
        </w:rPr>
        <w:t xml:space="preserve">of </w:t>
      </w:r>
      <w:r w:rsidRPr="008E2E86">
        <w:rPr>
          <w:rFonts w:cs="Arial"/>
          <w:szCs w:val="22"/>
        </w:rPr>
        <w:t xml:space="preserve">exposure given the </w:t>
      </w:r>
      <w:r>
        <w:rPr>
          <w:rFonts w:cs="Arial"/>
          <w:szCs w:val="22"/>
        </w:rPr>
        <w:t xml:space="preserve">variety of foods and levels of consumption. </w:t>
      </w:r>
      <w:r w:rsidRPr="007275B0">
        <w:rPr>
          <w:rFonts w:cs="Arial"/>
          <w:szCs w:val="22"/>
        </w:rPr>
        <w:t>For Australian and New Zealand adults, the highest acute exposures to HCN were associated with the consumption of raw apricot kernels with skin</w:t>
      </w:r>
      <w:r w:rsidR="000F1D6C">
        <w:rPr>
          <w:rFonts w:cs="Arial"/>
          <w:szCs w:val="22"/>
        </w:rPr>
        <w:t xml:space="preserve">, followed by </w:t>
      </w:r>
      <w:r>
        <w:rPr>
          <w:rFonts w:cs="Arial"/>
          <w:szCs w:val="22"/>
        </w:rPr>
        <w:t xml:space="preserve">the consumption of </w:t>
      </w:r>
      <w:r w:rsidRPr="007275B0">
        <w:rPr>
          <w:rFonts w:cs="Arial"/>
          <w:szCs w:val="22"/>
        </w:rPr>
        <w:t>raw apricot kernels without skin</w:t>
      </w:r>
      <w:r>
        <w:rPr>
          <w:rFonts w:cs="Arial"/>
          <w:szCs w:val="22"/>
        </w:rPr>
        <w:t>.</w:t>
      </w:r>
      <w:r w:rsidRPr="007275B0">
        <w:rPr>
          <w:rFonts w:cs="Arial"/>
          <w:szCs w:val="22"/>
        </w:rPr>
        <w:t xml:space="preserve"> For all or most population groups, there were high acute exposure</w:t>
      </w:r>
      <w:r w:rsidR="00770F58">
        <w:rPr>
          <w:rFonts w:cs="Arial"/>
          <w:szCs w:val="22"/>
        </w:rPr>
        <w:t xml:space="preserve"> estimates</w:t>
      </w:r>
      <w:r>
        <w:rPr>
          <w:rFonts w:cs="Arial"/>
          <w:szCs w:val="22"/>
        </w:rPr>
        <w:t xml:space="preserve"> for </w:t>
      </w:r>
      <w:r w:rsidR="000F1D6C">
        <w:rPr>
          <w:rFonts w:cs="Arial"/>
          <w:szCs w:val="22"/>
        </w:rPr>
        <w:t xml:space="preserve">consumers of </w:t>
      </w:r>
      <w:r>
        <w:rPr>
          <w:rFonts w:cs="Arial"/>
          <w:szCs w:val="22"/>
        </w:rPr>
        <w:t>bread containing linseed and cassava roots</w:t>
      </w:r>
      <w:r w:rsidRPr="007275B0">
        <w:rPr>
          <w:rFonts w:cs="Arial"/>
          <w:szCs w:val="22"/>
        </w:rPr>
        <w:t>.</w:t>
      </w:r>
      <w:r>
        <w:rPr>
          <w:rFonts w:cs="Arial"/>
          <w:szCs w:val="22"/>
        </w:rPr>
        <w:t xml:space="preserve"> </w:t>
      </w:r>
    </w:p>
    <w:p w:rsidR="007275B0" w:rsidRDefault="007275B0" w:rsidP="008E2E86">
      <w:pPr>
        <w:rPr>
          <w:rFonts w:cs="Arial"/>
          <w:szCs w:val="22"/>
        </w:rPr>
      </w:pPr>
    </w:p>
    <w:p w:rsidR="008A1C6A" w:rsidRDefault="007275B0" w:rsidP="007275B0">
      <w:pPr>
        <w:rPr>
          <w:rFonts w:cs="Arial"/>
          <w:szCs w:val="22"/>
        </w:rPr>
      </w:pPr>
      <w:r>
        <w:rPr>
          <w:rFonts w:cs="Arial"/>
          <w:szCs w:val="22"/>
        </w:rPr>
        <w:t>The acute dietary exposure assessment identified that a</w:t>
      </w:r>
      <w:r w:rsidR="008E2E86" w:rsidRPr="008E2E86">
        <w:rPr>
          <w:rFonts w:cs="Arial"/>
          <w:szCs w:val="22"/>
        </w:rPr>
        <w:t>ll population groups had estimated acute dietary exposures under the ARfD</w:t>
      </w:r>
      <w:r w:rsidR="009D3462">
        <w:rPr>
          <w:rFonts w:cs="Arial"/>
          <w:szCs w:val="22"/>
        </w:rPr>
        <w:t xml:space="preserve"> of 80 </w:t>
      </w:r>
      <w:r w:rsidR="009D3462" w:rsidRPr="008E2E86">
        <w:rPr>
          <w:rFonts w:cs="Arial"/>
          <w:szCs w:val="22"/>
        </w:rPr>
        <w:t>µg/kg</w:t>
      </w:r>
      <w:r w:rsidR="009D3462">
        <w:rPr>
          <w:rFonts w:cs="Arial"/>
          <w:szCs w:val="22"/>
        </w:rPr>
        <w:t> </w:t>
      </w:r>
      <w:r w:rsidR="009D3462" w:rsidRPr="008E2E86">
        <w:rPr>
          <w:rFonts w:cs="Arial"/>
          <w:szCs w:val="22"/>
        </w:rPr>
        <w:t>bw</w:t>
      </w:r>
      <w:r w:rsidR="009D3462">
        <w:rPr>
          <w:rFonts w:cs="Arial"/>
          <w:szCs w:val="22"/>
        </w:rPr>
        <w:t>/day</w:t>
      </w:r>
      <w:r w:rsidR="008E2E86" w:rsidRPr="008E2E86">
        <w:rPr>
          <w:rFonts w:cs="Arial"/>
          <w:szCs w:val="22"/>
        </w:rPr>
        <w:t xml:space="preserve"> for the majority of foods</w:t>
      </w:r>
      <w:r>
        <w:rPr>
          <w:rFonts w:cs="Arial"/>
          <w:szCs w:val="22"/>
        </w:rPr>
        <w:t xml:space="preserve">. </w:t>
      </w:r>
      <w:r w:rsidR="008A1C6A">
        <w:rPr>
          <w:rFonts w:cs="Arial"/>
          <w:szCs w:val="22"/>
        </w:rPr>
        <w:t>However, t</w:t>
      </w:r>
      <w:r w:rsidR="008A1C6A" w:rsidRPr="008A1C6A">
        <w:rPr>
          <w:rFonts w:cs="Arial"/>
          <w:szCs w:val="22"/>
        </w:rPr>
        <w:t xml:space="preserve">he consumption of raw apricot kernels and bread containing linseed may lead to exceedances of the ARfD in some or all Australian and New Zealand population groups. Median consumption of cassava roots by New Zealand adults resulted in </w:t>
      </w:r>
      <w:r w:rsidR="00770F58">
        <w:rPr>
          <w:rFonts w:cs="Arial"/>
          <w:szCs w:val="22"/>
        </w:rPr>
        <w:t xml:space="preserve">estimated </w:t>
      </w:r>
      <w:r w:rsidR="008A1C6A" w:rsidRPr="008A1C6A">
        <w:rPr>
          <w:rFonts w:cs="Arial"/>
          <w:szCs w:val="22"/>
        </w:rPr>
        <w:t>acute dietary exposures at 100% of the ARfD</w:t>
      </w:r>
      <w:r w:rsidR="009D3462">
        <w:rPr>
          <w:rFonts w:cs="Arial"/>
          <w:szCs w:val="22"/>
        </w:rPr>
        <w:t>.</w:t>
      </w:r>
    </w:p>
    <w:p w:rsidR="008A1C6A" w:rsidRDefault="008A1C6A" w:rsidP="007275B0">
      <w:pPr>
        <w:rPr>
          <w:rFonts w:cs="Arial"/>
          <w:szCs w:val="22"/>
        </w:rPr>
      </w:pPr>
    </w:p>
    <w:p w:rsidR="008A1C6A" w:rsidRDefault="00EE488D" w:rsidP="008E2E86">
      <w:pPr>
        <w:rPr>
          <w:rFonts w:cs="Arial"/>
          <w:szCs w:val="22"/>
        </w:rPr>
      </w:pPr>
      <w:r>
        <w:rPr>
          <w:rFonts w:cs="Arial"/>
          <w:szCs w:val="22"/>
        </w:rPr>
        <w:t xml:space="preserve">The </w:t>
      </w:r>
      <w:r w:rsidRPr="008E2E86">
        <w:rPr>
          <w:rFonts w:cs="Arial"/>
          <w:szCs w:val="22"/>
        </w:rPr>
        <w:t>consumption of raw apricot kernels both with and without skin pose</w:t>
      </w:r>
      <w:r>
        <w:rPr>
          <w:rFonts w:cs="Arial"/>
          <w:szCs w:val="22"/>
        </w:rPr>
        <w:t>s the greatest</w:t>
      </w:r>
      <w:r w:rsidRPr="008E2E86">
        <w:rPr>
          <w:rFonts w:cs="Arial"/>
          <w:szCs w:val="22"/>
        </w:rPr>
        <w:t xml:space="preserve"> acute public health and safety risk for all Australian and New Zealand p</w:t>
      </w:r>
      <w:r>
        <w:rPr>
          <w:rFonts w:cs="Arial"/>
          <w:szCs w:val="22"/>
        </w:rPr>
        <w:t xml:space="preserve">opulation groups. </w:t>
      </w:r>
      <w:r w:rsidR="00B064C8">
        <w:rPr>
          <w:rFonts w:cs="Arial"/>
          <w:szCs w:val="22"/>
        </w:rPr>
        <w:t>For cassava roots e</w:t>
      </w:r>
      <w:r w:rsidR="008A1C6A">
        <w:rPr>
          <w:rFonts w:cs="Arial"/>
          <w:szCs w:val="22"/>
        </w:rPr>
        <w:t xml:space="preserve">stimated </w:t>
      </w:r>
      <w:r>
        <w:rPr>
          <w:rFonts w:cs="Arial"/>
          <w:szCs w:val="22"/>
        </w:rPr>
        <w:t xml:space="preserve">acute </w:t>
      </w:r>
      <w:r w:rsidR="008A1C6A">
        <w:rPr>
          <w:rFonts w:cs="Arial"/>
          <w:szCs w:val="22"/>
        </w:rPr>
        <w:t xml:space="preserve">dietary exposures to HCN </w:t>
      </w:r>
      <w:r w:rsidR="00B064C8">
        <w:rPr>
          <w:rFonts w:cs="Arial"/>
          <w:szCs w:val="22"/>
        </w:rPr>
        <w:t>are</w:t>
      </w:r>
      <w:r w:rsidR="008A1C6A" w:rsidRPr="008A1C6A">
        <w:rPr>
          <w:rFonts w:cs="Arial"/>
          <w:szCs w:val="22"/>
        </w:rPr>
        <w:t xml:space="preserve"> not considered to represent an appreciable health and safety risk</w:t>
      </w:r>
      <w:r w:rsidR="00DC2D01">
        <w:rPr>
          <w:rFonts w:cs="Arial"/>
          <w:szCs w:val="22"/>
        </w:rPr>
        <w:t xml:space="preserve"> </w:t>
      </w:r>
      <w:r w:rsidR="00CC2753">
        <w:rPr>
          <w:rFonts w:cs="Arial"/>
          <w:szCs w:val="22"/>
        </w:rPr>
        <w:t xml:space="preserve">although these estimates may reach 100% </w:t>
      </w:r>
      <w:r w:rsidR="00065A5C">
        <w:rPr>
          <w:rFonts w:cs="Arial"/>
          <w:szCs w:val="22"/>
        </w:rPr>
        <w:t>A</w:t>
      </w:r>
      <w:r w:rsidR="00CC2753">
        <w:rPr>
          <w:rFonts w:cs="Arial"/>
          <w:szCs w:val="22"/>
        </w:rPr>
        <w:t>RfD for high consumers (median level of consumption). I</w:t>
      </w:r>
      <w:r w:rsidR="00DB4BE0">
        <w:rPr>
          <w:rFonts w:cs="Arial"/>
          <w:szCs w:val="22"/>
        </w:rPr>
        <w:t>t</w:t>
      </w:r>
      <w:r w:rsidR="00CC2753">
        <w:rPr>
          <w:rFonts w:cs="Arial"/>
          <w:szCs w:val="22"/>
        </w:rPr>
        <w:t xml:space="preserve"> </w:t>
      </w:r>
      <w:r w:rsidR="009D3462">
        <w:rPr>
          <w:rFonts w:cs="Arial"/>
          <w:szCs w:val="22"/>
        </w:rPr>
        <w:t xml:space="preserve">is </w:t>
      </w:r>
      <w:r w:rsidR="00CC2753">
        <w:rPr>
          <w:rFonts w:cs="Arial"/>
          <w:szCs w:val="22"/>
        </w:rPr>
        <w:t xml:space="preserve">considered </w:t>
      </w:r>
      <w:r w:rsidR="009D3462">
        <w:rPr>
          <w:rFonts w:cs="Arial"/>
          <w:szCs w:val="22"/>
        </w:rPr>
        <w:t>unlikely that the ‘</w:t>
      </w:r>
      <w:r w:rsidR="00E4090A">
        <w:rPr>
          <w:rFonts w:cs="Arial"/>
          <w:szCs w:val="22"/>
        </w:rPr>
        <w:t>worst</w:t>
      </w:r>
      <w:r w:rsidR="000061A7">
        <w:rPr>
          <w:rFonts w:cs="Arial"/>
          <w:szCs w:val="22"/>
        </w:rPr>
        <w:t xml:space="preserve"> </w:t>
      </w:r>
      <w:r w:rsidR="009D3462">
        <w:rPr>
          <w:rFonts w:cs="Arial"/>
          <w:szCs w:val="22"/>
        </w:rPr>
        <w:t xml:space="preserve">case’ </w:t>
      </w:r>
      <w:r w:rsidR="0053274F" w:rsidRPr="00065A5C">
        <w:rPr>
          <w:rFonts w:cs="Arial"/>
          <w:szCs w:val="22"/>
        </w:rPr>
        <w:t>exposure</w:t>
      </w:r>
      <w:r w:rsidR="0053274F">
        <w:rPr>
          <w:rFonts w:cs="Arial"/>
          <w:szCs w:val="22"/>
        </w:rPr>
        <w:t xml:space="preserve"> </w:t>
      </w:r>
      <w:r w:rsidR="009D3462">
        <w:rPr>
          <w:rFonts w:cs="Arial"/>
          <w:szCs w:val="22"/>
        </w:rPr>
        <w:t xml:space="preserve">scenario </w:t>
      </w:r>
      <w:r w:rsidR="00CC2753">
        <w:rPr>
          <w:rFonts w:cs="Arial"/>
          <w:szCs w:val="22"/>
        </w:rPr>
        <w:t xml:space="preserve">used in this calculation </w:t>
      </w:r>
      <w:r w:rsidR="00451554">
        <w:rPr>
          <w:rFonts w:cs="Arial"/>
          <w:szCs w:val="22"/>
        </w:rPr>
        <w:t>would</w:t>
      </w:r>
      <w:r w:rsidR="009D3462">
        <w:rPr>
          <w:rFonts w:cs="Arial"/>
          <w:szCs w:val="22"/>
        </w:rPr>
        <w:t xml:space="preserve"> occur (maximum level of HCN in raw products </w:t>
      </w:r>
      <w:r w:rsidR="00451554">
        <w:rPr>
          <w:rFonts w:cs="Arial"/>
          <w:szCs w:val="22"/>
        </w:rPr>
        <w:t>followed</w:t>
      </w:r>
      <w:r w:rsidR="009D3462">
        <w:rPr>
          <w:rFonts w:cs="Arial"/>
          <w:szCs w:val="22"/>
        </w:rPr>
        <w:t xml:space="preserve"> </w:t>
      </w:r>
      <w:r w:rsidR="00D770E7">
        <w:rPr>
          <w:rFonts w:cs="Arial"/>
          <w:szCs w:val="22"/>
        </w:rPr>
        <w:t>by</w:t>
      </w:r>
      <w:r w:rsidR="009D3462">
        <w:rPr>
          <w:rFonts w:cs="Arial"/>
          <w:szCs w:val="22"/>
        </w:rPr>
        <w:t xml:space="preserve"> </w:t>
      </w:r>
      <w:r w:rsidR="009D3462" w:rsidRPr="00065A5C">
        <w:rPr>
          <w:rFonts w:cs="Arial"/>
          <w:szCs w:val="22"/>
        </w:rPr>
        <w:t>minimum loss</w:t>
      </w:r>
      <w:r w:rsidR="0053274F" w:rsidRPr="00065A5C">
        <w:rPr>
          <w:rFonts w:cs="Arial"/>
          <w:szCs w:val="22"/>
        </w:rPr>
        <w:t>es of HCN</w:t>
      </w:r>
      <w:r w:rsidR="009D3462">
        <w:rPr>
          <w:rFonts w:cs="Arial"/>
          <w:szCs w:val="22"/>
        </w:rPr>
        <w:t xml:space="preserve"> after cooking</w:t>
      </w:r>
      <w:r w:rsidR="00D770E7">
        <w:rPr>
          <w:rFonts w:cs="Arial"/>
          <w:szCs w:val="22"/>
        </w:rPr>
        <w:t xml:space="preserve"> and</w:t>
      </w:r>
      <w:r w:rsidR="009D3462">
        <w:rPr>
          <w:rFonts w:cs="Arial"/>
          <w:szCs w:val="22"/>
        </w:rPr>
        <w:t xml:space="preserve"> </w:t>
      </w:r>
      <w:r w:rsidR="00451554">
        <w:rPr>
          <w:rFonts w:cs="Arial"/>
          <w:szCs w:val="22"/>
        </w:rPr>
        <w:t>a high consumption amount</w:t>
      </w:r>
      <w:r w:rsidR="00953A30">
        <w:rPr>
          <w:rFonts w:cs="Arial"/>
          <w:szCs w:val="22"/>
        </w:rPr>
        <w:t>)</w:t>
      </w:r>
      <w:r w:rsidR="00D770E7">
        <w:rPr>
          <w:rFonts w:cs="Arial"/>
          <w:szCs w:val="22"/>
        </w:rPr>
        <w:t xml:space="preserve"> </w:t>
      </w:r>
      <w:r w:rsidR="00B47B12" w:rsidRPr="00065A5C">
        <w:rPr>
          <w:rFonts w:cs="Arial"/>
          <w:szCs w:val="22"/>
        </w:rPr>
        <w:t>and</w:t>
      </w:r>
      <w:r w:rsidR="0053274F" w:rsidRPr="00065A5C">
        <w:rPr>
          <w:rFonts w:cs="Arial"/>
          <w:szCs w:val="22"/>
        </w:rPr>
        <w:t xml:space="preserve"> FSANZ is not aware of </w:t>
      </w:r>
      <w:r w:rsidR="00B47B12" w:rsidRPr="00065A5C">
        <w:rPr>
          <w:rFonts w:cs="Arial"/>
          <w:szCs w:val="22"/>
        </w:rPr>
        <w:t>any reports on poisonings in Australia or New Zealand following consumption of properly processed cassava.</w:t>
      </w:r>
      <w:r w:rsidR="00B47B12" w:rsidRPr="00B47B12">
        <w:rPr>
          <w:rFonts w:cs="Arial"/>
          <w:szCs w:val="22"/>
        </w:rPr>
        <w:t xml:space="preserve"> </w:t>
      </w:r>
      <w:r>
        <w:rPr>
          <w:rFonts w:cs="Arial"/>
          <w:szCs w:val="22"/>
        </w:rPr>
        <w:t xml:space="preserve">For bread containing linseed, although estimated acute dietary exposures do exceed the ARfD, </w:t>
      </w:r>
      <w:r w:rsidR="00294931" w:rsidRPr="00065A5C">
        <w:rPr>
          <w:rFonts w:cs="Arial"/>
          <w:szCs w:val="22"/>
        </w:rPr>
        <w:t xml:space="preserve">there </w:t>
      </w:r>
      <w:r w:rsidR="00744CB5" w:rsidRPr="00065A5C">
        <w:rPr>
          <w:rFonts w:cs="Arial"/>
          <w:szCs w:val="22"/>
        </w:rPr>
        <w:t>were</w:t>
      </w:r>
      <w:r w:rsidR="00294931" w:rsidRPr="00065A5C">
        <w:rPr>
          <w:rFonts w:cs="Arial"/>
          <w:szCs w:val="22"/>
        </w:rPr>
        <w:t xml:space="preserve"> no detectable levels </w:t>
      </w:r>
      <w:r>
        <w:rPr>
          <w:rFonts w:cs="Arial"/>
          <w:szCs w:val="22"/>
        </w:rPr>
        <w:t>of</w:t>
      </w:r>
      <w:r w:rsidRPr="00536B8C">
        <w:rPr>
          <w:rFonts w:cs="Arial"/>
          <w:szCs w:val="22"/>
        </w:rPr>
        <w:t xml:space="preserve"> cyanide in the blood of human volunteers</w:t>
      </w:r>
      <w:r>
        <w:rPr>
          <w:rFonts w:cs="Arial"/>
          <w:szCs w:val="22"/>
        </w:rPr>
        <w:t xml:space="preserve"> consuming</w:t>
      </w:r>
      <w:r w:rsidR="009F1BC4">
        <w:rPr>
          <w:rFonts w:cs="Arial"/>
          <w:szCs w:val="22"/>
        </w:rPr>
        <w:t xml:space="preserve"> ground </w:t>
      </w:r>
      <w:r>
        <w:rPr>
          <w:rFonts w:cs="Arial"/>
          <w:szCs w:val="22"/>
        </w:rPr>
        <w:t>linseeds</w:t>
      </w:r>
      <w:r w:rsidR="00294931">
        <w:rPr>
          <w:rFonts w:cs="Arial"/>
          <w:szCs w:val="22"/>
        </w:rPr>
        <w:t xml:space="preserve">, so </w:t>
      </w:r>
      <w:r>
        <w:rPr>
          <w:rFonts w:cs="Arial"/>
          <w:szCs w:val="22"/>
        </w:rPr>
        <w:t xml:space="preserve">consumption </w:t>
      </w:r>
      <w:r w:rsidR="009F1BC4">
        <w:rPr>
          <w:rFonts w:cs="Arial"/>
          <w:szCs w:val="22"/>
        </w:rPr>
        <w:t xml:space="preserve">of linseeds or products </w:t>
      </w:r>
      <w:r w:rsidR="0073287D">
        <w:rPr>
          <w:rFonts w:cs="Arial"/>
          <w:szCs w:val="22"/>
        </w:rPr>
        <w:t>containing</w:t>
      </w:r>
      <w:r w:rsidR="009F1BC4">
        <w:rPr>
          <w:rFonts w:cs="Arial"/>
          <w:szCs w:val="22"/>
        </w:rPr>
        <w:t xml:space="preserve"> linseeds </w:t>
      </w:r>
      <w:r>
        <w:rPr>
          <w:rFonts w:cs="Arial"/>
          <w:szCs w:val="22"/>
        </w:rPr>
        <w:t xml:space="preserve">is not </w:t>
      </w:r>
      <w:r w:rsidRPr="008A1C6A">
        <w:rPr>
          <w:rFonts w:cs="Arial"/>
          <w:szCs w:val="22"/>
        </w:rPr>
        <w:t>considered to represent an appreciable health and safety risk</w:t>
      </w:r>
      <w:r>
        <w:rPr>
          <w:rFonts w:cs="Arial"/>
          <w:szCs w:val="22"/>
        </w:rPr>
        <w:t xml:space="preserve">. </w:t>
      </w:r>
    </w:p>
    <w:p w:rsidR="008A1C6A" w:rsidRDefault="008A1C6A" w:rsidP="008E2E86">
      <w:pPr>
        <w:rPr>
          <w:rFonts w:cs="Arial"/>
          <w:szCs w:val="22"/>
        </w:rPr>
      </w:pPr>
    </w:p>
    <w:p w:rsidR="000E6DEC" w:rsidRDefault="000E6DEC">
      <w:pPr>
        <w:spacing w:after="200" w:line="276" w:lineRule="auto"/>
        <w:rPr>
          <w:rFonts w:cs="Arial"/>
          <w:szCs w:val="22"/>
        </w:rPr>
      </w:pPr>
      <w:r>
        <w:rPr>
          <w:rFonts w:cs="Arial"/>
          <w:szCs w:val="22"/>
        </w:rPr>
        <w:br w:type="page"/>
      </w:r>
    </w:p>
    <w:p w:rsidR="000E6DEC" w:rsidRPr="00F85FC8" w:rsidRDefault="000E6DEC" w:rsidP="000E6DEC">
      <w:pPr>
        <w:pStyle w:val="Heading1"/>
        <w:numPr>
          <w:ilvl w:val="0"/>
          <w:numId w:val="22"/>
        </w:numPr>
        <w:ind w:hanging="720"/>
      </w:pPr>
      <w:bookmarkStart w:id="168" w:name="_Toc338160513"/>
      <w:bookmarkStart w:id="169" w:name="_Toc338160873"/>
      <w:bookmarkStart w:id="170" w:name="_Toc338161488"/>
      <w:bookmarkStart w:id="171" w:name="_Toc338161757"/>
      <w:bookmarkStart w:id="172" w:name="_Toc367356308"/>
      <w:bookmarkStart w:id="173" w:name="_Toc367362497"/>
      <w:bookmarkStart w:id="174" w:name="_Toc367957653"/>
      <w:bookmarkStart w:id="175" w:name="_Toc367957756"/>
      <w:bookmarkStart w:id="176" w:name="_Toc384293533"/>
      <w:r w:rsidRPr="00900D1D">
        <w:lastRenderedPageBreak/>
        <w:t>RISK MANAGEMENT</w:t>
      </w:r>
      <w:bookmarkEnd w:id="168"/>
      <w:bookmarkEnd w:id="169"/>
      <w:bookmarkEnd w:id="170"/>
      <w:bookmarkEnd w:id="171"/>
      <w:bookmarkEnd w:id="172"/>
      <w:bookmarkEnd w:id="173"/>
      <w:bookmarkEnd w:id="174"/>
      <w:bookmarkEnd w:id="175"/>
      <w:bookmarkEnd w:id="176"/>
    </w:p>
    <w:p w:rsidR="000E6DEC" w:rsidRPr="00900D1D" w:rsidRDefault="000E6DEC" w:rsidP="000E6DEC">
      <w:pPr>
        <w:rPr>
          <w:rFonts w:cs="Arial"/>
          <w:szCs w:val="22"/>
        </w:rPr>
      </w:pPr>
    </w:p>
    <w:p w:rsidR="002222DF" w:rsidRDefault="000E6DEC" w:rsidP="002222DF">
      <w:pPr>
        <w:rPr>
          <w:rFonts w:cs="Arial"/>
          <w:szCs w:val="22"/>
        </w:rPr>
      </w:pPr>
      <w:r w:rsidRPr="00900D1D">
        <w:rPr>
          <w:rFonts w:cs="Arial"/>
          <w:szCs w:val="22"/>
        </w:rPr>
        <w:t xml:space="preserve">The Code </w:t>
      </w:r>
      <w:r w:rsidR="00B064C8">
        <w:rPr>
          <w:rFonts w:cs="Arial"/>
          <w:szCs w:val="22"/>
        </w:rPr>
        <w:t>currently</w:t>
      </w:r>
      <w:r w:rsidR="003B1F71">
        <w:rPr>
          <w:rFonts w:cs="Arial"/>
          <w:szCs w:val="22"/>
        </w:rPr>
        <w:t xml:space="preserve"> </w:t>
      </w:r>
      <w:r w:rsidRPr="00900D1D">
        <w:rPr>
          <w:rFonts w:cs="Arial"/>
          <w:szCs w:val="22"/>
        </w:rPr>
        <w:t xml:space="preserve">includes a range of regulatory measures </w:t>
      </w:r>
      <w:r w:rsidR="00954BD4">
        <w:rPr>
          <w:rFonts w:cs="Arial"/>
          <w:szCs w:val="22"/>
        </w:rPr>
        <w:t xml:space="preserve">that are intended </w:t>
      </w:r>
      <w:r w:rsidRPr="00900D1D">
        <w:rPr>
          <w:rFonts w:cs="Arial"/>
          <w:szCs w:val="22"/>
        </w:rPr>
        <w:t>to limit and manage HCN in cassava, cassava based foods</w:t>
      </w:r>
      <w:r w:rsidR="00411CCA">
        <w:rPr>
          <w:rFonts w:cs="Arial"/>
          <w:szCs w:val="22"/>
        </w:rPr>
        <w:t xml:space="preserve"> (such as RTE cassava chips) and bamboo shoot</w:t>
      </w:r>
      <w:r w:rsidRPr="00900D1D">
        <w:rPr>
          <w:rFonts w:cs="Arial"/>
          <w:szCs w:val="22"/>
        </w:rPr>
        <w:t xml:space="preserve">s. The Code also includes the </w:t>
      </w:r>
      <w:r w:rsidR="002222DF">
        <w:rPr>
          <w:rFonts w:cs="Arial"/>
          <w:szCs w:val="22"/>
        </w:rPr>
        <w:t xml:space="preserve">MLs </w:t>
      </w:r>
      <w:r w:rsidRPr="00900D1D">
        <w:rPr>
          <w:rFonts w:cs="Arial"/>
          <w:szCs w:val="22"/>
        </w:rPr>
        <w:t xml:space="preserve">for </w:t>
      </w:r>
      <w:r w:rsidR="003705A0">
        <w:rPr>
          <w:rFonts w:cs="Arial"/>
          <w:szCs w:val="22"/>
        </w:rPr>
        <w:t xml:space="preserve">a range of foods that may contain </w:t>
      </w:r>
      <w:r>
        <w:rPr>
          <w:rFonts w:cs="Arial"/>
          <w:szCs w:val="22"/>
        </w:rPr>
        <w:t>HCN</w:t>
      </w:r>
      <w:r w:rsidRPr="00900D1D">
        <w:rPr>
          <w:rFonts w:cs="Arial"/>
          <w:szCs w:val="22"/>
        </w:rPr>
        <w:t xml:space="preserve"> </w:t>
      </w:r>
      <w:r w:rsidR="003705A0">
        <w:rPr>
          <w:rFonts w:cs="Arial"/>
          <w:szCs w:val="22"/>
        </w:rPr>
        <w:t xml:space="preserve">as a result of use or presence of apricot kernels in their production. </w:t>
      </w:r>
      <w:r w:rsidR="002222DF">
        <w:rPr>
          <w:rFonts w:cs="Arial"/>
          <w:szCs w:val="22"/>
        </w:rPr>
        <w:t xml:space="preserve">However, there are currently no risk management measures in the Code to manage </w:t>
      </w:r>
      <w:r w:rsidR="002222DF" w:rsidRPr="00C95060">
        <w:rPr>
          <w:rFonts w:cs="Arial"/>
          <w:szCs w:val="22"/>
        </w:rPr>
        <w:t xml:space="preserve">HCN levels in </w:t>
      </w:r>
      <w:r w:rsidR="002222DF">
        <w:rPr>
          <w:rFonts w:cs="Arial"/>
          <w:szCs w:val="22"/>
        </w:rPr>
        <w:t xml:space="preserve">raw apricot kernels. </w:t>
      </w:r>
    </w:p>
    <w:p w:rsidR="003B1F71" w:rsidRDefault="003B1F71" w:rsidP="002222DF">
      <w:pPr>
        <w:rPr>
          <w:rFonts w:cs="Arial"/>
          <w:szCs w:val="22"/>
        </w:rPr>
      </w:pPr>
    </w:p>
    <w:p w:rsidR="002222DF" w:rsidRDefault="00954BD4" w:rsidP="002222DF">
      <w:pPr>
        <w:rPr>
          <w:rFonts w:cs="Arial"/>
          <w:szCs w:val="22"/>
        </w:rPr>
      </w:pPr>
      <w:r>
        <w:rPr>
          <w:rFonts w:cs="Arial"/>
          <w:szCs w:val="22"/>
        </w:rPr>
        <w:t xml:space="preserve">FSANZ has </w:t>
      </w:r>
      <w:r w:rsidR="005541FE">
        <w:rPr>
          <w:rFonts w:cs="Arial"/>
          <w:szCs w:val="22"/>
        </w:rPr>
        <w:t xml:space="preserve">prepared </w:t>
      </w:r>
      <w:r w:rsidR="00803F7F">
        <w:rPr>
          <w:rFonts w:cs="Arial"/>
          <w:szCs w:val="22"/>
        </w:rPr>
        <w:t xml:space="preserve">Proposal P1016 </w:t>
      </w:r>
      <w:r>
        <w:rPr>
          <w:rFonts w:cs="Arial"/>
          <w:szCs w:val="22"/>
        </w:rPr>
        <w:t xml:space="preserve">to consider options for the management of </w:t>
      </w:r>
      <w:r w:rsidR="002222DF">
        <w:rPr>
          <w:rFonts w:cs="Arial"/>
          <w:szCs w:val="22"/>
        </w:rPr>
        <w:t xml:space="preserve">potential risks </w:t>
      </w:r>
      <w:r>
        <w:rPr>
          <w:rFonts w:cs="Arial"/>
          <w:szCs w:val="22"/>
        </w:rPr>
        <w:t xml:space="preserve">identified from </w:t>
      </w:r>
      <w:r w:rsidR="006D4FA6">
        <w:rPr>
          <w:rFonts w:cs="Arial"/>
          <w:szCs w:val="22"/>
        </w:rPr>
        <w:t>the</w:t>
      </w:r>
      <w:r w:rsidR="002222DF">
        <w:rPr>
          <w:rFonts w:cs="Arial"/>
          <w:szCs w:val="22"/>
        </w:rPr>
        <w:t xml:space="preserve"> </w:t>
      </w:r>
      <w:r w:rsidR="00D477FA">
        <w:rPr>
          <w:rFonts w:cs="Arial"/>
          <w:szCs w:val="22"/>
        </w:rPr>
        <w:t>consum</w:t>
      </w:r>
      <w:r w:rsidR="006D4FA6">
        <w:rPr>
          <w:rFonts w:cs="Arial"/>
          <w:szCs w:val="22"/>
        </w:rPr>
        <w:t xml:space="preserve">ption of </w:t>
      </w:r>
      <w:r w:rsidR="00D477FA">
        <w:rPr>
          <w:rFonts w:cs="Arial"/>
          <w:szCs w:val="22"/>
        </w:rPr>
        <w:t>fo</w:t>
      </w:r>
      <w:r w:rsidR="006D4FA6">
        <w:rPr>
          <w:rFonts w:cs="Arial"/>
          <w:szCs w:val="22"/>
        </w:rPr>
        <w:t>o</w:t>
      </w:r>
      <w:r w:rsidR="00D477FA">
        <w:rPr>
          <w:rFonts w:cs="Arial"/>
          <w:szCs w:val="22"/>
        </w:rPr>
        <w:t xml:space="preserve">ds containing </w:t>
      </w:r>
      <w:r>
        <w:rPr>
          <w:rFonts w:cs="Arial"/>
          <w:szCs w:val="22"/>
        </w:rPr>
        <w:t>HCN</w:t>
      </w:r>
      <w:r w:rsidR="006D4FA6">
        <w:rPr>
          <w:rFonts w:cs="Arial"/>
          <w:szCs w:val="22"/>
        </w:rPr>
        <w:t xml:space="preserve"> that have been identified in </w:t>
      </w:r>
      <w:r w:rsidR="00466E29">
        <w:rPr>
          <w:rFonts w:cs="Arial"/>
          <w:szCs w:val="22"/>
        </w:rPr>
        <w:t>the analysis of</w:t>
      </w:r>
      <w:r w:rsidR="002753A8">
        <w:rPr>
          <w:rFonts w:cs="Arial"/>
          <w:szCs w:val="22"/>
        </w:rPr>
        <w:t xml:space="preserve"> </w:t>
      </w:r>
      <w:r w:rsidR="002D7474">
        <w:rPr>
          <w:rFonts w:cs="Arial"/>
          <w:szCs w:val="22"/>
        </w:rPr>
        <w:t>the</w:t>
      </w:r>
      <w:r w:rsidR="002753A8">
        <w:rPr>
          <w:rFonts w:cs="Arial"/>
          <w:szCs w:val="22"/>
        </w:rPr>
        <w:t xml:space="preserve"> ISFR survey</w:t>
      </w:r>
      <w:r w:rsidR="00466E29">
        <w:rPr>
          <w:rFonts w:cs="Arial"/>
          <w:szCs w:val="22"/>
        </w:rPr>
        <w:t xml:space="preserve"> results</w:t>
      </w:r>
      <w:r w:rsidR="006D4FA6">
        <w:rPr>
          <w:rFonts w:cs="Arial"/>
          <w:szCs w:val="22"/>
        </w:rPr>
        <w:t>.</w:t>
      </w:r>
      <w:r w:rsidR="00D477FA" w:rsidRPr="00D477FA">
        <w:rPr>
          <w:rFonts w:cs="Arial"/>
          <w:szCs w:val="22"/>
        </w:rPr>
        <w:t xml:space="preserve"> </w:t>
      </w:r>
    </w:p>
    <w:p w:rsidR="00755915" w:rsidRDefault="00755915" w:rsidP="002222DF">
      <w:pPr>
        <w:rPr>
          <w:rFonts w:cs="Arial"/>
          <w:szCs w:val="22"/>
        </w:rPr>
      </w:pPr>
    </w:p>
    <w:p w:rsidR="00B064C8" w:rsidRDefault="00B064C8" w:rsidP="00B064C8">
      <w:pPr>
        <w:rPr>
          <w:rFonts w:cs="Arial"/>
          <w:szCs w:val="22"/>
        </w:rPr>
      </w:pPr>
      <w:r w:rsidRPr="00B064C8">
        <w:rPr>
          <w:rFonts w:cs="Arial"/>
          <w:szCs w:val="22"/>
        </w:rPr>
        <w:t>For cassava</w:t>
      </w:r>
      <w:r>
        <w:rPr>
          <w:rFonts w:cs="Arial"/>
          <w:szCs w:val="22"/>
        </w:rPr>
        <w:t xml:space="preserve"> roots,</w:t>
      </w:r>
      <w:r w:rsidRPr="00B064C8">
        <w:rPr>
          <w:rFonts w:cs="Arial"/>
          <w:szCs w:val="22"/>
        </w:rPr>
        <w:t xml:space="preserve"> it was estimated that for high consumers there was a potential to exceed the ARfD</w:t>
      </w:r>
      <w:r w:rsidR="00065A5C" w:rsidRPr="00065A5C">
        <w:rPr>
          <w:rFonts w:cs="Arial"/>
          <w:szCs w:val="22"/>
        </w:rPr>
        <w:t>,</w:t>
      </w:r>
      <w:r w:rsidRPr="00065A5C">
        <w:rPr>
          <w:rFonts w:cs="Arial"/>
          <w:szCs w:val="22"/>
        </w:rPr>
        <w:t xml:space="preserve"> based on </w:t>
      </w:r>
      <w:r w:rsidR="00B779C7" w:rsidRPr="00065A5C">
        <w:rPr>
          <w:rFonts w:cs="Arial"/>
          <w:szCs w:val="22"/>
        </w:rPr>
        <w:t>an</w:t>
      </w:r>
      <w:r w:rsidR="00C24521" w:rsidRPr="00065A5C">
        <w:rPr>
          <w:rFonts w:cs="Arial"/>
          <w:szCs w:val="22"/>
        </w:rPr>
        <w:t xml:space="preserve"> </w:t>
      </w:r>
      <w:r w:rsidR="00B779C7" w:rsidRPr="00065A5C">
        <w:rPr>
          <w:rFonts w:cs="Arial"/>
          <w:szCs w:val="22"/>
        </w:rPr>
        <w:t>assumption of a high level of HCN in raw cassava and minimal losses on cooking. However,</w:t>
      </w:r>
      <w:r w:rsidR="00425AA5" w:rsidRPr="00065A5C">
        <w:rPr>
          <w:rFonts w:cs="Arial"/>
          <w:szCs w:val="22"/>
        </w:rPr>
        <w:t xml:space="preserve"> </w:t>
      </w:r>
      <w:r w:rsidR="00B779C7" w:rsidRPr="00065A5C">
        <w:rPr>
          <w:rFonts w:cs="Arial"/>
          <w:szCs w:val="22"/>
        </w:rPr>
        <w:t>in</w:t>
      </w:r>
      <w:r w:rsidR="00B47B12" w:rsidRPr="00065A5C">
        <w:rPr>
          <w:rFonts w:cs="Arial"/>
          <w:szCs w:val="22"/>
        </w:rPr>
        <w:t xml:space="preserve"> the absence of any reports on poisonings in Australia and New Zealand following consumption of properly processed cassava</w:t>
      </w:r>
      <w:r w:rsidRPr="00065A5C">
        <w:rPr>
          <w:rFonts w:cs="Arial"/>
          <w:szCs w:val="22"/>
        </w:rPr>
        <w:t>,</w:t>
      </w:r>
      <w:r w:rsidRPr="00B064C8">
        <w:rPr>
          <w:rFonts w:cs="Arial"/>
          <w:szCs w:val="22"/>
        </w:rPr>
        <w:t xml:space="preserve"> FSANZ concludes that there is no appreciable health and safety risk for consumers and that no additional regulatory risk management measures for cassava</w:t>
      </w:r>
      <w:r>
        <w:rPr>
          <w:rFonts w:cs="Arial"/>
          <w:szCs w:val="22"/>
        </w:rPr>
        <w:t xml:space="preserve"> roots</w:t>
      </w:r>
      <w:r w:rsidRPr="00B064C8">
        <w:rPr>
          <w:rFonts w:cs="Arial"/>
          <w:szCs w:val="22"/>
        </w:rPr>
        <w:t xml:space="preserve"> are needed at this time</w:t>
      </w:r>
      <w:r w:rsidR="00A155A4">
        <w:rPr>
          <w:rFonts w:cs="Arial"/>
          <w:szCs w:val="22"/>
        </w:rPr>
        <w:t>.</w:t>
      </w:r>
    </w:p>
    <w:p w:rsidR="00FC2BB4" w:rsidRDefault="00FC2BB4" w:rsidP="00B064C8">
      <w:pPr>
        <w:rPr>
          <w:rFonts w:cs="Arial"/>
          <w:szCs w:val="22"/>
        </w:rPr>
      </w:pPr>
    </w:p>
    <w:p w:rsidR="00B064C8" w:rsidRDefault="00FC2BB4" w:rsidP="002222DF">
      <w:pPr>
        <w:rPr>
          <w:rFonts w:cs="Arial"/>
          <w:szCs w:val="22"/>
        </w:rPr>
      </w:pPr>
      <w:r w:rsidRPr="00065A5C">
        <w:rPr>
          <w:szCs w:val="22"/>
        </w:rPr>
        <w:t xml:space="preserve">FSANZ has advised </w:t>
      </w:r>
      <w:r w:rsidR="00AA5BD5" w:rsidRPr="00065A5C">
        <w:rPr>
          <w:szCs w:val="22"/>
        </w:rPr>
        <w:t xml:space="preserve">the relevant </w:t>
      </w:r>
      <w:r w:rsidRPr="00065A5C">
        <w:rPr>
          <w:szCs w:val="22"/>
        </w:rPr>
        <w:t xml:space="preserve">enforcement agencies that </w:t>
      </w:r>
      <w:r w:rsidR="00AA5BD5" w:rsidRPr="00065A5C">
        <w:rPr>
          <w:szCs w:val="22"/>
        </w:rPr>
        <w:t xml:space="preserve">one sample of cassava root analysed did not meet the definitional requirements for sweet cassava, and that </w:t>
      </w:r>
      <w:r w:rsidRPr="00065A5C">
        <w:rPr>
          <w:szCs w:val="22"/>
        </w:rPr>
        <w:t xml:space="preserve">a number of samples of frozen cassava root and fresh/frozen bamboo shoots did not have directions for use on the label or accompanying the product, as required under </w:t>
      </w:r>
      <w:r w:rsidRPr="00065A5C">
        <w:rPr>
          <w:iCs/>
          <w:szCs w:val="22"/>
        </w:rPr>
        <w:t>Standard 1.2.6 – Directions for use and storage</w:t>
      </w:r>
      <w:r w:rsidRPr="00065A5C">
        <w:rPr>
          <w:szCs w:val="22"/>
        </w:rPr>
        <w:t xml:space="preserve">. </w:t>
      </w:r>
      <w:r w:rsidRPr="00065A5C">
        <w:t>Therefore</w:t>
      </w:r>
      <w:r w:rsidR="00F10D92" w:rsidRPr="00065A5C">
        <w:t xml:space="preserve">, while FSANZ may not need to consider additional risk management measures for cassava </w:t>
      </w:r>
      <w:r w:rsidR="00AA5BD5" w:rsidRPr="00065A5C">
        <w:t>(</w:t>
      </w:r>
      <w:r w:rsidR="003B0A8A" w:rsidRPr="00065A5C">
        <w:t>and bamboo shoots</w:t>
      </w:r>
      <w:r w:rsidR="00AA5BD5" w:rsidRPr="00065A5C">
        <w:t>)</w:t>
      </w:r>
      <w:r w:rsidR="003B0A8A" w:rsidRPr="00065A5C">
        <w:t xml:space="preserve"> </w:t>
      </w:r>
      <w:r w:rsidR="00F10D92" w:rsidRPr="00065A5C">
        <w:t>at this time, food enforcement agencies may need to consider whether any actions need to be taken</w:t>
      </w:r>
      <w:r w:rsidR="00E85502" w:rsidRPr="00065A5C">
        <w:t xml:space="preserve"> in relation to compliance with </w:t>
      </w:r>
      <w:r w:rsidR="00F10D92" w:rsidRPr="00065A5C">
        <w:t xml:space="preserve">Standard 1.2.6 of the Code. </w:t>
      </w:r>
      <w:r w:rsidR="002A6C59" w:rsidRPr="00065A5C">
        <w:rPr>
          <w:rFonts w:cs="Arial"/>
          <w:szCs w:val="22"/>
        </w:rPr>
        <w:t>U</w:t>
      </w:r>
      <w:r w:rsidR="00A155A4" w:rsidRPr="00065A5C">
        <w:rPr>
          <w:rFonts w:cs="Arial"/>
          <w:szCs w:val="22"/>
        </w:rPr>
        <w:t>pon release of this survey and risk assessment report, a link to a FSANZ fact sheet giving advice to consumers on the safe preparation of these foods</w:t>
      </w:r>
      <w:r w:rsidR="00AA5BD5" w:rsidRPr="00065A5C">
        <w:rPr>
          <w:rFonts w:cs="Arial"/>
          <w:szCs w:val="22"/>
        </w:rPr>
        <w:t xml:space="preserve"> and the requirements for these foods to include directions for use</w:t>
      </w:r>
      <w:r w:rsidR="00A155A4" w:rsidRPr="00A155A4">
        <w:rPr>
          <w:rFonts w:cs="Arial"/>
          <w:szCs w:val="22"/>
        </w:rPr>
        <w:t xml:space="preserve"> will be provided.</w:t>
      </w:r>
    </w:p>
    <w:p w:rsidR="00A155A4" w:rsidRDefault="00A155A4" w:rsidP="002222DF">
      <w:pPr>
        <w:rPr>
          <w:rFonts w:cs="Arial"/>
          <w:szCs w:val="22"/>
        </w:rPr>
      </w:pPr>
    </w:p>
    <w:p w:rsidR="00A155A4" w:rsidRPr="003A2969" w:rsidRDefault="00A155A4" w:rsidP="00A155A4">
      <w:pPr>
        <w:widowControl w:val="0"/>
        <w:rPr>
          <w:lang w:val="en-GB" w:eastAsia="en-US" w:bidi="en-US"/>
        </w:rPr>
      </w:pPr>
      <w:r w:rsidRPr="00D67408">
        <w:rPr>
          <w:lang w:val="en-GB" w:eastAsia="en-US" w:bidi="en-US"/>
        </w:rPr>
        <w:t>Taking into account the most up-to-date risk assessment conclusions, the focus of FSANZ’s risk management measures should be on managing the risk arising from high concentrations of HCN in raw apricot kernels</w:t>
      </w:r>
      <w:r>
        <w:rPr>
          <w:lang w:val="en-GB" w:eastAsia="en-US" w:bidi="en-US"/>
        </w:rPr>
        <w:t>. In t</w:t>
      </w:r>
      <w:r>
        <w:rPr>
          <w:rFonts w:cs="Arial"/>
          <w:szCs w:val="22"/>
        </w:rPr>
        <w:t xml:space="preserve">he interim, whilst this measure is being considered, updated advice on the maximum amount of raw apricot kernels that can safely be </w:t>
      </w:r>
      <w:r w:rsidRPr="00065A5C">
        <w:rPr>
          <w:rFonts w:cs="Arial"/>
          <w:szCs w:val="22"/>
        </w:rPr>
        <w:t xml:space="preserve">consumed </w:t>
      </w:r>
      <w:r w:rsidR="00065A5C" w:rsidRPr="00065A5C">
        <w:rPr>
          <w:rFonts w:cs="Arial"/>
          <w:szCs w:val="22"/>
        </w:rPr>
        <w:t>h</w:t>
      </w:r>
      <w:r w:rsidR="00744CB5" w:rsidRPr="00065A5C">
        <w:rPr>
          <w:rFonts w:cs="Arial"/>
          <w:szCs w:val="22"/>
        </w:rPr>
        <w:t>as been</w:t>
      </w:r>
      <w:r>
        <w:rPr>
          <w:rFonts w:cs="Arial"/>
          <w:szCs w:val="22"/>
        </w:rPr>
        <w:t xml:space="preserve"> provided by a new fact sheet on the FSANZ website. </w:t>
      </w:r>
    </w:p>
    <w:p w:rsidR="003B1F71" w:rsidRDefault="003B1F71" w:rsidP="003B1F71">
      <w:pPr>
        <w:rPr>
          <w:rFonts w:cs="Arial"/>
          <w:szCs w:val="22"/>
        </w:rPr>
      </w:pPr>
    </w:p>
    <w:p w:rsidR="002222DF" w:rsidRDefault="002222DF" w:rsidP="002222DF">
      <w:pPr>
        <w:rPr>
          <w:lang w:val="en-GB" w:eastAsia="en-US"/>
        </w:rPr>
      </w:pPr>
    </w:p>
    <w:p w:rsidR="00523718" w:rsidRDefault="002222DF" w:rsidP="00833F45">
      <w:pPr>
        <w:spacing w:after="200" w:line="276" w:lineRule="auto"/>
        <w:rPr>
          <w:rFonts w:cs="Arial"/>
          <w:szCs w:val="22"/>
        </w:rPr>
      </w:pPr>
      <w:r>
        <w:rPr>
          <w:rFonts w:cs="Arial"/>
          <w:szCs w:val="22"/>
        </w:rPr>
        <w:br w:type="page"/>
      </w:r>
    </w:p>
    <w:p w:rsidR="00D33562" w:rsidRDefault="001F57A5" w:rsidP="001F57A5">
      <w:pPr>
        <w:pStyle w:val="Heading1"/>
        <w:numPr>
          <w:ilvl w:val="0"/>
          <w:numId w:val="22"/>
        </w:numPr>
        <w:ind w:left="567" w:hanging="567"/>
      </w:pPr>
      <w:bookmarkStart w:id="177" w:name="_Toc367957659"/>
      <w:bookmarkStart w:id="178" w:name="_Toc367957758"/>
      <w:bookmarkStart w:id="179" w:name="_Toc384293534"/>
      <w:r>
        <w:lastRenderedPageBreak/>
        <w:t>CONCLUSION</w:t>
      </w:r>
      <w:bookmarkEnd w:id="177"/>
      <w:bookmarkEnd w:id="178"/>
      <w:r w:rsidR="002C5926">
        <w:t>S</w:t>
      </w:r>
      <w:bookmarkEnd w:id="179"/>
    </w:p>
    <w:p w:rsidR="001F57A5" w:rsidRPr="001F57A5" w:rsidRDefault="001F57A5" w:rsidP="001F57A5"/>
    <w:p w:rsidR="00824E88" w:rsidRDefault="00824E88" w:rsidP="00D33562">
      <w:pPr>
        <w:rPr>
          <w:rFonts w:cs="Arial"/>
          <w:szCs w:val="22"/>
        </w:rPr>
      </w:pPr>
      <w:r>
        <w:rPr>
          <w:rFonts w:cs="Arial"/>
          <w:szCs w:val="22"/>
        </w:rPr>
        <w:t xml:space="preserve">The </w:t>
      </w:r>
      <w:r w:rsidR="000C3AED">
        <w:rPr>
          <w:rFonts w:cs="Arial"/>
          <w:szCs w:val="22"/>
        </w:rPr>
        <w:t xml:space="preserve">findings from </w:t>
      </w:r>
      <w:r w:rsidR="002F6FA0">
        <w:rPr>
          <w:rFonts w:cs="Arial"/>
          <w:szCs w:val="22"/>
        </w:rPr>
        <w:t xml:space="preserve">the </w:t>
      </w:r>
      <w:r w:rsidR="007E6F11">
        <w:rPr>
          <w:rFonts w:cs="Arial"/>
          <w:szCs w:val="22"/>
        </w:rPr>
        <w:t xml:space="preserve">ISFR </w:t>
      </w:r>
      <w:r>
        <w:rPr>
          <w:rFonts w:cs="Arial"/>
          <w:szCs w:val="22"/>
        </w:rPr>
        <w:t xml:space="preserve">survey </w:t>
      </w:r>
      <w:r w:rsidR="00411CCA">
        <w:rPr>
          <w:rFonts w:cs="Arial"/>
          <w:szCs w:val="22"/>
        </w:rPr>
        <w:t>identified</w:t>
      </w:r>
      <w:r>
        <w:rPr>
          <w:rFonts w:cs="Arial"/>
          <w:szCs w:val="22"/>
        </w:rPr>
        <w:t xml:space="preserve"> that cyanogenic glycosides are present in a wide range of Australian and New Zealand plant-based foods, at levels </w:t>
      </w:r>
      <w:r w:rsidR="000C3AED">
        <w:rPr>
          <w:rFonts w:cs="Arial"/>
          <w:szCs w:val="22"/>
        </w:rPr>
        <w:t xml:space="preserve">that </w:t>
      </w:r>
      <w:r w:rsidR="006D4FA6">
        <w:rPr>
          <w:rFonts w:cs="Arial"/>
          <w:szCs w:val="22"/>
        </w:rPr>
        <w:t xml:space="preserve">were </w:t>
      </w:r>
      <w:r w:rsidR="000C3AED">
        <w:rPr>
          <w:rFonts w:cs="Arial"/>
          <w:szCs w:val="22"/>
        </w:rPr>
        <w:t xml:space="preserve">within regulatory limits for HCN (where such regulatory limits exist) in all but two cases and at levels </w:t>
      </w:r>
      <w:r>
        <w:rPr>
          <w:rFonts w:cs="Arial"/>
          <w:szCs w:val="22"/>
        </w:rPr>
        <w:t>consistent with or lower than those reporte</w:t>
      </w:r>
      <w:r w:rsidR="004C36BB">
        <w:rPr>
          <w:rFonts w:cs="Arial"/>
          <w:szCs w:val="22"/>
        </w:rPr>
        <w:t>d in the scientific literature</w:t>
      </w:r>
      <w:r>
        <w:rPr>
          <w:rFonts w:cs="Arial"/>
          <w:szCs w:val="22"/>
        </w:rPr>
        <w:t>.</w:t>
      </w:r>
    </w:p>
    <w:p w:rsidR="00E209C0" w:rsidRDefault="00E209C0" w:rsidP="00D33562">
      <w:pPr>
        <w:rPr>
          <w:rFonts w:cs="Arial"/>
          <w:szCs w:val="22"/>
        </w:rPr>
      </w:pPr>
    </w:p>
    <w:p w:rsidR="00E209C0" w:rsidRPr="00AF0F3C" w:rsidRDefault="00E209C0" w:rsidP="00E209C0">
      <w:pPr>
        <w:rPr>
          <w:rFonts w:cs="Arial"/>
          <w:strike/>
          <w:szCs w:val="22"/>
        </w:rPr>
      </w:pPr>
      <w:r>
        <w:rPr>
          <w:rFonts w:cs="Arial"/>
          <w:szCs w:val="22"/>
        </w:rPr>
        <w:t>In considering the characterisation of the risk, it is important to note the limitations associated with the dietary exposure estimates, including the limited concentration data available for most foods and the small number of consumers that reported consuming some of the surveyed foods. W</w:t>
      </w:r>
      <w:r w:rsidRPr="00FE24BF">
        <w:rPr>
          <w:rFonts w:cs="Arial"/>
          <w:szCs w:val="22"/>
        </w:rPr>
        <w:t xml:space="preserve">here uncertainties in the data existed, a conservative approach was taken to </w:t>
      </w:r>
      <w:r>
        <w:rPr>
          <w:rFonts w:cs="Arial"/>
          <w:szCs w:val="22"/>
        </w:rPr>
        <w:t>estimate</w:t>
      </w:r>
      <w:r w:rsidRPr="00FE24BF">
        <w:rPr>
          <w:rFonts w:cs="Arial"/>
          <w:szCs w:val="22"/>
        </w:rPr>
        <w:t xml:space="preserve"> dietary exposure and to be protective of the health and safety of consumers</w:t>
      </w:r>
      <w:r w:rsidRPr="00AF0F3C">
        <w:rPr>
          <w:rFonts w:cs="Arial"/>
          <w:szCs w:val="22"/>
        </w:rPr>
        <w:t xml:space="preserve">. </w:t>
      </w:r>
    </w:p>
    <w:p w:rsidR="00824E88" w:rsidRDefault="00824E88" w:rsidP="00D33562">
      <w:pPr>
        <w:rPr>
          <w:rFonts w:cs="Arial"/>
          <w:szCs w:val="22"/>
        </w:rPr>
      </w:pPr>
    </w:p>
    <w:p w:rsidR="00D33562" w:rsidRPr="001F57A5" w:rsidRDefault="00824E88" w:rsidP="00D33562">
      <w:pPr>
        <w:rPr>
          <w:rFonts w:cs="Arial"/>
          <w:szCs w:val="22"/>
        </w:rPr>
      </w:pPr>
      <w:r>
        <w:rPr>
          <w:rFonts w:cs="Arial"/>
          <w:szCs w:val="22"/>
        </w:rPr>
        <w:t>A risk assessment based on these survey results indicated that t</w:t>
      </w:r>
      <w:r w:rsidR="00D33562" w:rsidRPr="001F57A5">
        <w:rPr>
          <w:rFonts w:cs="Arial"/>
          <w:szCs w:val="22"/>
        </w:rPr>
        <w:t>here were no public health and safety issues in relation to the estimates of chronic dietary exposure to HCN for the Australian and New Zealand populations.</w:t>
      </w:r>
    </w:p>
    <w:p w:rsidR="00D33562" w:rsidRPr="001F57A5" w:rsidRDefault="00D33562" w:rsidP="00D33562">
      <w:pPr>
        <w:rPr>
          <w:rFonts w:cs="Arial"/>
          <w:szCs w:val="22"/>
        </w:rPr>
      </w:pPr>
    </w:p>
    <w:p w:rsidR="00A8124C" w:rsidRDefault="00D33562" w:rsidP="00D33562">
      <w:pPr>
        <w:rPr>
          <w:rFonts w:cs="Arial"/>
          <w:szCs w:val="22"/>
        </w:rPr>
      </w:pPr>
      <w:r w:rsidRPr="001F57A5">
        <w:rPr>
          <w:rFonts w:cs="Arial"/>
          <w:szCs w:val="22"/>
        </w:rPr>
        <w:t xml:space="preserve">There </w:t>
      </w:r>
      <w:r w:rsidR="00660C8E">
        <w:rPr>
          <w:rFonts w:cs="Arial"/>
          <w:szCs w:val="22"/>
        </w:rPr>
        <w:t>were</w:t>
      </w:r>
      <w:r w:rsidRPr="001F57A5">
        <w:rPr>
          <w:rFonts w:cs="Arial"/>
          <w:szCs w:val="22"/>
        </w:rPr>
        <w:t xml:space="preserve"> a small number of foods (</w:t>
      </w:r>
      <w:r w:rsidR="00901F71">
        <w:rPr>
          <w:rFonts w:cs="Arial"/>
          <w:szCs w:val="22"/>
        </w:rPr>
        <w:t xml:space="preserve">raw </w:t>
      </w:r>
      <w:r w:rsidR="00824E88">
        <w:rPr>
          <w:rFonts w:cs="Arial"/>
          <w:szCs w:val="22"/>
        </w:rPr>
        <w:t xml:space="preserve">apricot kernels, </w:t>
      </w:r>
      <w:r w:rsidRPr="001F57A5">
        <w:rPr>
          <w:rFonts w:cs="Arial"/>
          <w:szCs w:val="22"/>
        </w:rPr>
        <w:t>cassava roots</w:t>
      </w:r>
      <w:r w:rsidR="00F548B7">
        <w:rPr>
          <w:rFonts w:cs="Arial"/>
          <w:szCs w:val="22"/>
        </w:rPr>
        <w:t xml:space="preserve"> </w:t>
      </w:r>
      <w:r w:rsidR="00824E88">
        <w:rPr>
          <w:rFonts w:cs="Arial"/>
          <w:szCs w:val="22"/>
        </w:rPr>
        <w:t xml:space="preserve">and </w:t>
      </w:r>
      <w:r w:rsidRPr="001F57A5">
        <w:rPr>
          <w:rFonts w:cs="Arial"/>
          <w:szCs w:val="22"/>
        </w:rPr>
        <w:t>bread containing linseed</w:t>
      </w:r>
      <w:r w:rsidR="00824E88">
        <w:rPr>
          <w:rFonts w:cs="Arial"/>
          <w:szCs w:val="22"/>
        </w:rPr>
        <w:t xml:space="preserve">) </w:t>
      </w:r>
      <w:r w:rsidRPr="001F57A5">
        <w:rPr>
          <w:rFonts w:cs="Arial"/>
          <w:szCs w:val="22"/>
        </w:rPr>
        <w:t>where it was estimated that acute dietary exposure had the potential to exceed the ARfD.</w:t>
      </w:r>
      <w:r w:rsidR="008535B5">
        <w:rPr>
          <w:rFonts w:cs="Arial"/>
          <w:szCs w:val="22"/>
        </w:rPr>
        <w:t xml:space="preserve"> </w:t>
      </w:r>
    </w:p>
    <w:p w:rsidR="00A8124C" w:rsidRDefault="00A8124C" w:rsidP="00D33562">
      <w:pPr>
        <w:rPr>
          <w:rFonts w:cs="Arial"/>
          <w:szCs w:val="22"/>
        </w:rPr>
      </w:pPr>
    </w:p>
    <w:p w:rsidR="00944DBE" w:rsidRDefault="00944DBE" w:rsidP="00944DBE">
      <w:pPr>
        <w:rPr>
          <w:rFonts w:cs="Arial"/>
          <w:szCs w:val="22"/>
        </w:rPr>
      </w:pPr>
      <w:r>
        <w:rPr>
          <w:rFonts w:cs="Arial"/>
          <w:szCs w:val="22"/>
        </w:rPr>
        <w:t xml:space="preserve">Consumption of raw apricot kernels both with and without skin can pose an acute public health and safety risk for </w:t>
      </w:r>
      <w:r w:rsidR="002F7ADF">
        <w:rPr>
          <w:rFonts w:cs="Arial"/>
          <w:szCs w:val="22"/>
        </w:rPr>
        <w:t xml:space="preserve">all </w:t>
      </w:r>
      <w:r>
        <w:rPr>
          <w:rFonts w:cs="Arial"/>
          <w:szCs w:val="22"/>
        </w:rPr>
        <w:t xml:space="preserve">Australian and New Zealand </w:t>
      </w:r>
      <w:r w:rsidR="002F7ADF">
        <w:rPr>
          <w:rFonts w:cs="Arial"/>
          <w:szCs w:val="22"/>
        </w:rPr>
        <w:t xml:space="preserve">population groups </w:t>
      </w:r>
      <w:r>
        <w:rPr>
          <w:rFonts w:cs="Arial"/>
          <w:szCs w:val="22"/>
        </w:rPr>
        <w:t xml:space="preserve">even at levels well below the serve sizes that accompany the sale of the product. </w:t>
      </w:r>
      <w:r w:rsidR="00A3335E">
        <w:rPr>
          <w:rFonts w:cs="Arial"/>
          <w:szCs w:val="22"/>
        </w:rPr>
        <w:t>R</w:t>
      </w:r>
      <w:r>
        <w:rPr>
          <w:rFonts w:cs="Arial"/>
          <w:szCs w:val="22"/>
        </w:rPr>
        <w:t>isk management options</w:t>
      </w:r>
      <w:r w:rsidR="008C6819">
        <w:rPr>
          <w:rFonts w:cs="Arial"/>
          <w:szCs w:val="22"/>
        </w:rPr>
        <w:t xml:space="preserve"> for managing this risk </w:t>
      </w:r>
      <w:r>
        <w:rPr>
          <w:rFonts w:cs="Arial"/>
          <w:szCs w:val="22"/>
        </w:rPr>
        <w:t>will be considered as part of the FSANZ Proposal P1016</w:t>
      </w:r>
      <w:r w:rsidR="00A155A4">
        <w:rPr>
          <w:rFonts w:cs="Arial"/>
          <w:szCs w:val="22"/>
        </w:rPr>
        <w:t xml:space="preserve"> in addition to providing advice for consumers on the FSANZ website</w:t>
      </w:r>
      <w:r w:rsidR="001D017B">
        <w:rPr>
          <w:rFonts w:cs="Arial"/>
          <w:szCs w:val="22"/>
        </w:rPr>
        <w:t>.</w:t>
      </w:r>
    </w:p>
    <w:p w:rsidR="00944DBE" w:rsidRDefault="00944DBE" w:rsidP="006D4FA6">
      <w:pPr>
        <w:rPr>
          <w:rFonts w:cs="Arial"/>
          <w:szCs w:val="22"/>
        </w:rPr>
      </w:pPr>
    </w:p>
    <w:p w:rsidR="00803F7F" w:rsidRDefault="00944DBE" w:rsidP="00803F7F">
      <w:pPr>
        <w:rPr>
          <w:rFonts w:cs="Arial"/>
          <w:szCs w:val="22"/>
        </w:rPr>
      </w:pPr>
      <w:r>
        <w:rPr>
          <w:rFonts w:cs="Arial"/>
          <w:szCs w:val="22"/>
        </w:rPr>
        <w:t xml:space="preserve">For cassava roots, </w:t>
      </w:r>
      <w:r w:rsidR="00BA4F54">
        <w:rPr>
          <w:rFonts w:cs="Arial"/>
          <w:szCs w:val="22"/>
        </w:rPr>
        <w:t xml:space="preserve">there is potential for high consumers to exceed the ARfD. </w:t>
      </w:r>
      <w:r>
        <w:rPr>
          <w:rFonts w:cs="Arial"/>
          <w:szCs w:val="22"/>
        </w:rPr>
        <w:t xml:space="preserve">However, </w:t>
      </w:r>
      <w:r w:rsidR="00E4090A" w:rsidRPr="00065A5C">
        <w:rPr>
          <w:rFonts w:cs="Arial"/>
          <w:szCs w:val="22"/>
        </w:rPr>
        <w:t xml:space="preserve">due to the </w:t>
      </w:r>
      <w:r w:rsidR="00803F7F" w:rsidRPr="00065A5C">
        <w:rPr>
          <w:rFonts w:cs="Arial"/>
          <w:szCs w:val="22"/>
        </w:rPr>
        <w:t>conservative approach taken</w:t>
      </w:r>
      <w:r w:rsidR="00E4090A" w:rsidRPr="00065A5C">
        <w:rPr>
          <w:rFonts w:cs="Arial"/>
          <w:szCs w:val="22"/>
        </w:rPr>
        <w:t xml:space="preserve"> in calculating estimated dietary exposures and</w:t>
      </w:r>
      <w:r w:rsidR="00B47B12" w:rsidRPr="00065A5C">
        <w:rPr>
          <w:rFonts w:cs="Arial"/>
          <w:szCs w:val="22"/>
        </w:rPr>
        <w:t xml:space="preserve"> the absence of any reports on poisonings in Australia and New Zealand,</w:t>
      </w:r>
      <w:r w:rsidR="00E4090A" w:rsidRPr="00065A5C">
        <w:rPr>
          <w:rFonts w:cs="Arial"/>
          <w:szCs w:val="22"/>
        </w:rPr>
        <w:t xml:space="preserve"> </w:t>
      </w:r>
      <w:r w:rsidR="00803F7F" w:rsidRPr="00065A5C">
        <w:rPr>
          <w:rFonts w:cs="Arial"/>
          <w:szCs w:val="22"/>
        </w:rPr>
        <w:t>FSANZ</w:t>
      </w:r>
      <w:r w:rsidR="00F41894" w:rsidRPr="00065A5C">
        <w:rPr>
          <w:rFonts w:cs="Arial"/>
          <w:szCs w:val="22"/>
        </w:rPr>
        <w:t xml:space="preserve"> concludes no additional risk management measures for cassava are needed at this time</w:t>
      </w:r>
      <w:r w:rsidR="00A155A4" w:rsidRPr="00065A5C">
        <w:rPr>
          <w:rFonts w:cs="Arial"/>
          <w:szCs w:val="22"/>
        </w:rPr>
        <w:t xml:space="preserve"> and r</w:t>
      </w:r>
      <w:r w:rsidR="00F41894" w:rsidRPr="00065A5C">
        <w:rPr>
          <w:rFonts w:cs="Arial"/>
          <w:szCs w:val="22"/>
        </w:rPr>
        <w:t xml:space="preserve">isk management actions should focus on enforcement of the current standards. </w:t>
      </w:r>
      <w:r w:rsidR="000E6B7C" w:rsidRPr="00065A5C">
        <w:rPr>
          <w:rFonts w:cs="Arial"/>
          <w:szCs w:val="22"/>
        </w:rPr>
        <w:t xml:space="preserve">Food enforcement agencies may also wish to consider whether any other </w:t>
      </w:r>
      <w:r w:rsidR="00F809D5" w:rsidRPr="00065A5C">
        <w:rPr>
          <w:rFonts w:cs="Arial"/>
          <w:szCs w:val="22"/>
        </w:rPr>
        <w:t xml:space="preserve">enforcement and compliance </w:t>
      </w:r>
      <w:r w:rsidR="000E6B7C" w:rsidRPr="00065A5C">
        <w:rPr>
          <w:rFonts w:cs="Arial"/>
          <w:szCs w:val="22"/>
        </w:rPr>
        <w:t xml:space="preserve">actions </w:t>
      </w:r>
      <w:r w:rsidR="00F809D5" w:rsidRPr="00065A5C">
        <w:rPr>
          <w:rFonts w:cs="Arial"/>
          <w:szCs w:val="22"/>
        </w:rPr>
        <w:t>are needed</w:t>
      </w:r>
      <w:r w:rsidR="000E6B7C" w:rsidRPr="00065A5C">
        <w:rPr>
          <w:rFonts w:cs="Arial"/>
          <w:szCs w:val="22"/>
        </w:rPr>
        <w:t xml:space="preserve"> </w:t>
      </w:r>
      <w:r w:rsidR="00F809D5" w:rsidRPr="00065A5C">
        <w:rPr>
          <w:rFonts w:cs="Arial"/>
          <w:szCs w:val="22"/>
        </w:rPr>
        <w:t>in relation to</w:t>
      </w:r>
      <w:r w:rsidR="000E6B7C" w:rsidRPr="00065A5C">
        <w:rPr>
          <w:rFonts w:cs="Arial"/>
          <w:szCs w:val="22"/>
        </w:rPr>
        <w:t xml:space="preserve"> compliance with labelling requirements. This may also be relevant for bamboo shoots.</w:t>
      </w:r>
    </w:p>
    <w:p w:rsidR="00A155A4" w:rsidRDefault="00A155A4" w:rsidP="00803F7F">
      <w:pPr>
        <w:rPr>
          <w:rFonts w:cs="Arial"/>
          <w:szCs w:val="22"/>
        </w:rPr>
      </w:pPr>
    </w:p>
    <w:p w:rsidR="006D4FA6" w:rsidRDefault="006D4FA6" w:rsidP="006D4FA6">
      <w:pPr>
        <w:rPr>
          <w:rFonts w:cs="Arial"/>
          <w:szCs w:val="22"/>
        </w:rPr>
      </w:pPr>
      <w:r>
        <w:rPr>
          <w:rFonts w:cs="Arial"/>
          <w:szCs w:val="22"/>
        </w:rPr>
        <w:t xml:space="preserve">For bread containing linseed, although the estimated </w:t>
      </w:r>
      <w:r w:rsidR="00E56FD4">
        <w:rPr>
          <w:rFonts w:cs="Arial"/>
          <w:szCs w:val="22"/>
        </w:rPr>
        <w:t xml:space="preserve">acute </w:t>
      </w:r>
      <w:r>
        <w:rPr>
          <w:rFonts w:cs="Arial"/>
          <w:szCs w:val="22"/>
        </w:rPr>
        <w:t xml:space="preserve">dietary exposures resulted in exceedances of the ARfD for all population groups assessed, current exposures are not considered to represent a health and safety risk based on the </w:t>
      </w:r>
      <w:r w:rsidR="00B7751A" w:rsidRPr="00065A5C">
        <w:rPr>
          <w:rFonts w:cs="Arial"/>
          <w:szCs w:val="22"/>
        </w:rPr>
        <w:t xml:space="preserve">absence of any clinical reports of poisonings or detectable levels of cyanide in the blood of human volunteers </w:t>
      </w:r>
      <w:r w:rsidRPr="00065A5C">
        <w:rPr>
          <w:rFonts w:cs="Arial"/>
          <w:szCs w:val="22"/>
        </w:rPr>
        <w:t>following consumption of ground linseed.</w:t>
      </w:r>
      <w:r>
        <w:rPr>
          <w:rFonts w:cs="Arial"/>
          <w:szCs w:val="22"/>
        </w:rPr>
        <w:t xml:space="preserve"> </w:t>
      </w:r>
    </w:p>
    <w:p w:rsidR="003E1A44" w:rsidRDefault="003E1A44" w:rsidP="00D33562">
      <w:pPr>
        <w:rPr>
          <w:rFonts w:cs="Arial"/>
          <w:szCs w:val="22"/>
        </w:rPr>
      </w:pPr>
    </w:p>
    <w:p w:rsidR="00E27A5D" w:rsidRDefault="00E27A5D" w:rsidP="00E27A5D">
      <w:r>
        <w:br w:type="page"/>
      </w:r>
    </w:p>
    <w:p w:rsidR="00E27A5D" w:rsidRPr="00E27A5D" w:rsidRDefault="002A48C8" w:rsidP="00E27A5D">
      <w:pPr>
        <w:pStyle w:val="Heading1"/>
      </w:pPr>
      <w:bookmarkStart w:id="180" w:name="_Toc367957660"/>
      <w:bookmarkStart w:id="181" w:name="_Toc367957759"/>
      <w:bookmarkStart w:id="182" w:name="_Toc384293535"/>
      <w:r>
        <w:lastRenderedPageBreak/>
        <w:t>8</w:t>
      </w:r>
      <w:r w:rsidR="00E27A5D" w:rsidRPr="00E27A5D">
        <w:t>.</w:t>
      </w:r>
      <w:r w:rsidR="00E27A5D" w:rsidRPr="00E27A5D">
        <w:tab/>
        <w:t>ACKNOWLEDGEMENTS</w:t>
      </w:r>
      <w:bookmarkEnd w:id="180"/>
      <w:bookmarkEnd w:id="181"/>
      <w:bookmarkEnd w:id="182"/>
    </w:p>
    <w:p w:rsidR="00E27A5D" w:rsidRPr="00E27A5D" w:rsidRDefault="00E27A5D" w:rsidP="00E27A5D">
      <w:pPr>
        <w:rPr>
          <w:rFonts w:cs="Arial"/>
          <w:szCs w:val="22"/>
        </w:rPr>
      </w:pPr>
    </w:p>
    <w:p w:rsidR="00E27A5D" w:rsidRPr="00E27A5D" w:rsidRDefault="00E27A5D" w:rsidP="00E27A5D">
      <w:pPr>
        <w:rPr>
          <w:rFonts w:cs="Arial"/>
          <w:szCs w:val="22"/>
        </w:rPr>
      </w:pPr>
      <w:r w:rsidRPr="00E27A5D">
        <w:rPr>
          <w:rFonts w:cs="Arial"/>
          <w:szCs w:val="22"/>
        </w:rPr>
        <w:t>FSANZ and NZ MPI would like to acknowledge the following organisations and people:</w:t>
      </w:r>
    </w:p>
    <w:p w:rsidR="00E27A5D" w:rsidRPr="00E27A5D" w:rsidRDefault="00E27A5D" w:rsidP="00E27A5D">
      <w:pPr>
        <w:rPr>
          <w:rFonts w:cs="Arial"/>
          <w:szCs w:val="22"/>
        </w:rPr>
      </w:pPr>
    </w:p>
    <w:p w:rsidR="00E27A5D" w:rsidRPr="00E27A5D" w:rsidRDefault="00E27A5D" w:rsidP="00E27A5D">
      <w:pPr>
        <w:ind w:left="567" w:hanging="567"/>
        <w:rPr>
          <w:rFonts w:cs="Arial"/>
          <w:szCs w:val="22"/>
        </w:rPr>
      </w:pPr>
      <w:r w:rsidRPr="00E27A5D">
        <w:rPr>
          <w:rFonts w:cs="Arial"/>
          <w:szCs w:val="22"/>
        </w:rPr>
        <w:t>•</w:t>
      </w:r>
      <w:r w:rsidRPr="00E27A5D">
        <w:rPr>
          <w:rFonts w:cs="Arial"/>
          <w:szCs w:val="22"/>
        </w:rPr>
        <w:tab/>
        <w:t xml:space="preserve">Officers from each </w:t>
      </w:r>
      <w:r>
        <w:rPr>
          <w:rFonts w:cs="Arial"/>
          <w:szCs w:val="22"/>
        </w:rPr>
        <w:t>s</w:t>
      </w:r>
      <w:r w:rsidRPr="00E27A5D">
        <w:rPr>
          <w:rFonts w:cs="Arial"/>
          <w:szCs w:val="22"/>
        </w:rPr>
        <w:t xml:space="preserve">tate and </w:t>
      </w:r>
      <w:r>
        <w:rPr>
          <w:rFonts w:cs="Arial"/>
          <w:szCs w:val="22"/>
        </w:rPr>
        <w:t>t</w:t>
      </w:r>
      <w:r w:rsidRPr="00E27A5D">
        <w:rPr>
          <w:rFonts w:cs="Arial"/>
          <w:szCs w:val="22"/>
        </w:rPr>
        <w:t>erritory food regulatory agency in Australia, for the collection of samples and their dispatch to the laboratory</w:t>
      </w:r>
    </w:p>
    <w:p w:rsidR="00E27A5D" w:rsidRPr="00E27A5D" w:rsidRDefault="00E27A5D" w:rsidP="00E27A5D">
      <w:pPr>
        <w:rPr>
          <w:rFonts w:cs="Arial"/>
          <w:szCs w:val="22"/>
        </w:rPr>
      </w:pPr>
    </w:p>
    <w:p w:rsidR="00E27A5D" w:rsidRPr="00E27A5D" w:rsidRDefault="00E27A5D" w:rsidP="00E27A5D">
      <w:pPr>
        <w:ind w:left="567" w:hanging="567"/>
        <w:rPr>
          <w:rFonts w:cs="Arial"/>
          <w:szCs w:val="22"/>
        </w:rPr>
      </w:pPr>
      <w:r w:rsidRPr="00E27A5D">
        <w:rPr>
          <w:rFonts w:cs="Arial"/>
          <w:szCs w:val="22"/>
        </w:rPr>
        <w:t>•</w:t>
      </w:r>
      <w:r w:rsidRPr="00E27A5D">
        <w:rPr>
          <w:rFonts w:cs="Arial"/>
          <w:szCs w:val="22"/>
        </w:rPr>
        <w:tab/>
        <w:t>ESR for the preparation and analysis of samples, and the provision of analytical reports.</w:t>
      </w:r>
    </w:p>
    <w:p w:rsidR="00FE24BF" w:rsidRPr="001F57A5" w:rsidRDefault="00FE24BF" w:rsidP="00D33562">
      <w:pPr>
        <w:rPr>
          <w:rFonts w:cs="Arial"/>
          <w:szCs w:val="22"/>
        </w:rPr>
      </w:pPr>
    </w:p>
    <w:p w:rsidR="00D33562" w:rsidRPr="001F57A5" w:rsidRDefault="00D33562" w:rsidP="00D33562">
      <w:pPr>
        <w:rPr>
          <w:rFonts w:cs="Arial"/>
          <w:szCs w:val="22"/>
        </w:rPr>
      </w:pPr>
    </w:p>
    <w:p w:rsidR="00D33562" w:rsidRDefault="002A6C9A" w:rsidP="0018507B">
      <w:pPr>
        <w:spacing w:after="200" w:line="276" w:lineRule="auto"/>
      </w:pPr>
      <w:r w:rsidRPr="001F57A5">
        <w:rPr>
          <w:rFonts w:cs="Arial"/>
          <w:szCs w:val="22"/>
        </w:rPr>
        <w:br w:type="page"/>
      </w:r>
      <w:r w:rsidR="00FE24BF">
        <w:rPr>
          <w:rFonts w:cs="Arial"/>
          <w:szCs w:val="22"/>
        </w:rPr>
        <w:lastRenderedPageBreak/>
        <w:t xml:space="preserve"> </w:t>
      </w:r>
    </w:p>
    <w:p w:rsidR="00D33562" w:rsidRPr="005E0409" w:rsidRDefault="002A48C8" w:rsidP="00E91CD4">
      <w:pPr>
        <w:pStyle w:val="Heading1"/>
        <w:tabs>
          <w:tab w:val="clear" w:pos="567"/>
        </w:tabs>
      </w:pPr>
      <w:bookmarkStart w:id="183" w:name="_Toc367957661"/>
      <w:bookmarkStart w:id="184" w:name="_Toc367957760"/>
      <w:bookmarkStart w:id="185" w:name="_Toc384293536"/>
      <w:bookmarkStart w:id="186" w:name="_Toc360111853"/>
      <w:r>
        <w:t>9</w:t>
      </w:r>
      <w:r w:rsidR="005E0409">
        <w:t>.</w:t>
      </w:r>
      <w:r w:rsidR="005E0409">
        <w:tab/>
        <w:t>REFERENCES</w:t>
      </w:r>
      <w:bookmarkEnd w:id="183"/>
      <w:bookmarkEnd w:id="184"/>
      <w:bookmarkEnd w:id="185"/>
      <w:r w:rsidR="005E0409">
        <w:t xml:space="preserve"> </w:t>
      </w:r>
      <w:bookmarkEnd w:id="186"/>
    </w:p>
    <w:p w:rsidR="005E0409" w:rsidRDefault="005E0409" w:rsidP="00D33562">
      <w:pPr>
        <w:rPr>
          <w:rFonts w:cs="Arial"/>
        </w:rPr>
      </w:pPr>
    </w:p>
    <w:p w:rsidR="005850B7" w:rsidRDefault="005850B7" w:rsidP="005850B7">
      <w:pPr>
        <w:rPr>
          <w:rFonts w:cs="Arial"/>
          <w:szCs w:val="22"/>
        </w:rPr>
      </w:pPr>
      <w:r>
        <w:rPr>
          <w:rFonts w:cs="Arial"/>
          <w:szCs w:val="22"/>
        </w:rPr>
        <w:t xml:space="preserve">Adeparusi (2001) </w:t>
      </w:r>
      <w:r w:rsidRPr="00524D81">
        <w:rPr>
          <w:rFonts w:cs="Arial"/>
          <w:szCs w:val="22"/>
        </w:rPr>
        <w:t>Effect of processing on the nutrients and anti-nutrients of lima bean (Phaseolus lunatus L.) flour.</w:t>
      </w:r>
      <w:r>
        <w:rPr>
          <w:rFonts w:cs="Arial"/>
          <w:szCs w:val="22"/>
        </w:rPr>
        <w:t xml:space="preserve"> </w:t>
      </w:r>
      <w:r w:rsidRPr="00524D81">
        <w:rPr>
          <w:rFonts w:cs="Arial"/>
          <w:szCs w:val="22"/>
        </w:rPr>
        <w:t>Nahrung 45</w:t>
      </w:r>
      <w:r>
        <w:rPr>
          <w:rFonts w:cs="Arial"/>
          <w:szCs w:val="22"/>
        </w:rPr>
        <w:t>(</w:t>
      </w:r>
      <w:r w:rsidRPr="00524D81">
        <w:rPr>
          <w:rFonts w:cs="Arial"/>
          <w:szCs w:val="22"/>
        </w:rPr>
        <w:t>2</w:t>
      </w:r>
      <w:r>
        <w:rPr>
          <w:rFonts w:cs="Arial"/>
          <w:szCs w:val="22"/>
        </w:rPr>
        <w:t>):</w:t>
      </w:r>
      <w:r w:rsidRPr="00524D81">
        <w:rPr>
          <w:rFonts w:cs="Arial"/>
          <w:szCs w:val="22"/>
        </w:rPr>
        <w:t xml:space="preserve"> 94-6.</w:t>
      </w:r>
    </w:p>
    <w:p w:rsidR="0018507B" w:rsidRDefault="0018507B" w:rsidP="005850B7">
      <w:pPr>
        <w:rPr>
          <w:rFonts w:cs="Arial"/>
          <w:szCs w:val="22"/>
        </w:rPr>
      </w:pPr>
    </w:p>
    <w:p w:rsidR="00922B91" w:rsidRPr="00922B91" w:rsidRDefault="00922B91" w:rsidP="00922B91">
      <w:pPr>
        <w:rPr>
          <w:rFonts w:cs="Arial"/>
          <w:szCs w:val="22"/>
        </w:rPr>
      </w:pPr>
      <w:r w:rsidRPr="00922B91">
        <w:rPr>
          <w:rFonts w:cs="Arial"/>
          <w:szCs w:val="22"/>
        </w:rPr>
        <w:t>Akıl M et al (2013) Acute cyanide intoxication due to apricot seed ingestion</w:t>
      </w:r>
      <w:r w:rsidR="00E37F33">
        <w:rPr>
          <w:rFonts w:cs="Arial"/>
          <w:szCs w:val="22"/>
        </w:rPr>
        <w:t>.</w:t>
      </w:r>
      <w:r w:rsidRPr="00922B91">
        <w:rPr>
          <w:rFonts w:cs="Arial"/>
          <w:szCs w:val="22"/>
        </w:rPr>
        <w:t xml:space="preserve"> J Emerg Med. 44: 285-6</w:t>
      </w:r>
      <w:r w:rsidR="00E37F33">
        <w:rPr>
          <w:rFonts w:cs="Arial"/>
          <w:szCs w:val="22"/>
        </w:rPr>
        <w:t>.</w:t>
      </w:r>
    </w:p>
    <w:p w:rsidR="00922B91" w:rsidRPr="00922B91" w:rsidRDefault="00922B91" w:rsidP="00922B91">
      <w:pPr>
        <w:rPr>
          <w:rFonts w:cs="Arial"/>
          <w:szCs w:val="22"/>
        </w:rPr>
      </w:pPr>
    </w:p>
    <w:p w:rsidR="00922B91" w:rsidRDefault="00922B91" w:rsidP="00922B91">
      <w:pPr>
        <w:rPr>
          <w:rFonts w:cs="Arial"/>
          <w:szCs w:val="22"/>
        </w:rPr>
      </w:pPr>
      <w:r w:rsidRPr="00922B91">
        <w:rPr>
          <w:rFonts w:cs="Arial"/>
          <w:szCs w:val="22"/>
        </w:rPr>
        <w:t xml:space="preserve">Akyildiz BN </w:t>
      </w:r>
      <w:r w:rsidR="00E37F33">
        <w:rPr>
          <w:rFonts w:cs="Arial"/>
          <w:szCs w:val="22"/>
        </w:rPr>
        <w:t>e</w:t>
      </w:r>
      <w:r w:rsidRPr="00922B91">
        <w:rPr>
          <w:rFonts w:cs="Arial"/>
          <w:szCs w:val="22"/>
        </w:rPr>
        <w:t>t al (2010) Cyanide poisoning caused by ingestion of apricot seeds. Ann Trop Paediatr. 30:39-43.</w:t>
      </w:r>
    </w:p>
    <w:p w:rsidR="00922B91" w:rsidRDefault="00922B91" w:rsidP="00922B91">
      <w:pPr>
        <w:rPr>
          <w:rFonts w:cs="Arial"/>
          <w:szCs w:val="22"/>
        </w:rPr>
      </w:pPr>
    </w:p>
    <w:p w:rsidR="00D33562" w:rsidRPr="00EE59F4" w:rsidRDefault="00D33562" w:rsidP="00922B91">
      <w:pPr>
        <w:rPr>
          <w:rFonts w:cs="Arial"/>
          <w:szCs w:val="22"/>
        </w:rPr>
      </w:pPr>
      <w:r w:rsidRPr="00EE59F4">
        <w:rPr>
          <w:rFonts w:cs="Arial"/>
          <w:szCs w:val="22"/>
        </w:rPr>
        <w:t xml:space="preserve">ANZFA (1999) Contaminants in foods - </w:t>
      </w:r>
      <w:r w:rsidR="005E0409" w:rsidRPr="00EE59F4">
        <w:rPr>
          <w:rFonts w:cs="Arial"/>
          <w:szCs w:val="22"/>
        </w:rPr>
        <w:t>m</w:t>
      </w:r>
      <w:r w:rsidRPr="00EE59F4">
        <w:rPr>
          <w:rFonts w:cs="Arial"/>
          <w:szCs w:val="22"/>
        </w:rPr>
        <w:t xml:space="preserve">etals. Full </w:t>
      </w:r>
      <w:r w:rsidR="005E0409" w:rsidRPr="00EE59F4">
        <w:rPr>
          <w:rFonts w:cs="Arial"/>
          <w:szCs w:val="22"/>
        </w:rPr>
        <w:t>a</w:t>
      </w:r>
      <w:r w:rsidRPr="00EE59F4">
        <w:rPr>
          <w:rFonts w:cs="Arial"/>
          <w:szCs w:val="22"/>
        </w:rPr>
        <w:t xml:space="preserve">ssessment </w:t>
      </w:r>
      <w:r w:rsidR="005E0409" w:rsidRPr="00EE59F4">
        <w:rPr>
          <w:rFonts w:cs="Arial"/>
          <w:szCs w:val="22"/>
        </w:rPr>
        <w:t>r</w:t>
      </w:r>
      <w:r w:rsidRPr="00EE59F4">
        <w:rPr>
          <w:rFonts w:cs="Arial"/>
          <w:szCs w:val="22"/>
        </w:rPr>
        <w:t>eport. Proposal P157. Attachment 5. Dietary exposure assessments. ANZFA, Canberra.</w:t>
      </w:r>
    </w:p>
    <w:p w:rsidR="00D33562" w:rsidRPr="00EE59F4" w:rsidRDefault="00D33562" w:rsidP="00EE59F4">
      <w:pPr>
        <w:rPr>
          <w:rFonts w:cs="Arial"/>
          <w:szCs w:val="22"/>
        </w:rPr>
      </w:pPr>
    </w:p>
    <w:p w:rsidR="00D33562" w:rsidRPr="00EE59F4" w:rsidRDefault="00D33562" w:rsidP="00EE59F4">
      <w:pPr>
        <w:rPr>
          <w:rFonts w:cs="Arial"/>
          <w:szCs w:val="22"/>
        </w:rPr>
      </w:pPr>
      <w:r w:rsidRPr="00EE59F4">
        <w:rPr>
          <w:rFonts w:cs="Arial"/>
          <w:szCs w:val="22"/>
        </w:rPr>
        <w:t xml:space="preserve">Apricot Seeds Australia (2013) </w:t>
      </w:r>
      <w:r w:rsidR="005E0409" w:rsidRPr="00EE59F4">
        <w:rPr>
          <w:rFonts w:cs="Arial"/>
          <w:szCs w:val="22"/>
        </w:rPr>
        <w:t>What is m</w:t>
      </w:r>
      <w:r w:rsidRPr="00EE59F4">
        <w:rPr>
          <w:rFonts w:cs="Arial"/>
          <w:szCs w:val="22"/>
        </w:rPr>
        <w:t xml:space="preserve">etabolic </w:t>
      </w:r>
      <w:r w:rsidR="005E0409" w:rsidRPr="00EE59F4">
        <w:rPr>
          <w:rFonts w:cs="Arial"/>
          <w:szCs w:val="22"/>
        </w:rPr>
        <w:t>t</w:t>
      </w:r>
      <w:r w:rsidRPr="00EE59F4">
        <w:rPr>
          <w:rFonts w:cs="Arial"/>
          <w:szCs w:val="22"/>
        </w:rPr>
        <w:t>herapy?</w:t>
      </w:r>
    </w:p>
    <w:p w:rsidR="00D33562" w:rsidRPr="00EE59F4" w:rsidRDefault="000A0E74" w:rsidP="00EE59F4">
      <w:pPr>
        <w:rPr>
          <w:rFonts w:cs="Arial"/>
          <w:szCs w:val="22"/>
        </w:rPr>
      </w:pPr>
      <w:hyperlink r:id="rId26" w:history="1">
        <w:r w:rsidR="005E0409" w:rsidRPr="00EE59F4">
          <w:rPr>
            <w:rStyle w:val="Hyperlink"/>
          </w:rPr>
          <w:t>http://apricotseeds.com.au/metabolic-therapy.html</w:t>
        </w:r>
      </w:hyperlink>
      <w:r w:rsidR="005E0409" w:rsidRPr="00EE59F4">
        <w:rPr>
          <w:rFonts w:cs="Arial"/>
          <w:szCs w:val="22"/>
        </w:rPr>
        <w:t xml:space="preserve">. </w:t>
      </w:r>
      <w:r w:rsidR="00D33562" w:rsidRPr="00EE59F4">
        <w:rPr>
          <w:rFonts w:cs="Arial"/>
          <w:szCs w:val="22"/>
        </w:rPr>
        <w:t>Accessed 11 June 2013.</w:t>
      </w:r>
    </w:p>
    <w:p w:rsidR="00D33562" w:rsidRPr="00EE59F4" w:rsidRDefault="00D33562" w:rsidP="00EE59F4">
      <w:pPr>
        <w:rPr>
          <w:rFonts w:cs="Arial"/>
          <w:szCs w:val="22"/>
        </w:rPr>
      </w:pPr>
    </w:p>
    <w:p w:rsidR="00D33562" w:rsidRPr="00EE59F4" w:rsidRDefault="00D33562" w:rsidP="00EE59F4">
      <w:pPr>
        <w:rPr>
          <w:rFonts w:cs="Arial"/>
          <w:szCs w:val="22"/>
        </w:rPr>
      </w:pPr>
      <w:r w:rsidRPr="00EE59F4">
        <w:rPr>
          <w:rFonts w:cs="Arial"/>
          <w:szCs w:val="22"/>
        </w:rPr>
        <w:t>b17 (2013) Laetrile. Vitamin B17. How many kernels should I eat!</w:t>
      </w:r>
    </w:p>
    <w:p w:rsidR="00D33562" w:rsidRDefault="000A0E74" w:rsidP="00EE59F4">
      <w:pPr>
        <w:rPr>
          <w:rFonts w:cs="Arial"/>
          <w:szCs w:val="22"/>
        </w:rPr>
      </w:pPr>
      <w:hyperlink r:id="rId27" w:history="1">
        <w:r w:rsidR="005B1735" w:rsidRPr="002B6D49">
          <w:rPr>
            <w:rStyle w:val="Hyperlink"/>
          </w:rPr>
          <w:t>http://www.b17.com.au/index.php/how-many-kernels-should-i-eat. Accessed 11 June 2013</w:t>
        </w:r>
      </w:hyperlink>
      <w:r w:rsidR="00D33562" w:rsidRPr="00EE59F4">
        <w:rPr>
          <w:rFonts w:cs="Arial"/>
          <w:szCs w:val="22"/>
        </w:rPr>
        <w:t>.</w:t>
      </w:r>
    </w:p>
    <w:p w:rsidR="005B1735" w:rsidRDefault="005B1735" w:rsidP="00EE59F4">
      <w:pPr>
        <w:rPr>
          <w:rFonts w:cs="Arial"/>
          <w:szCs w:val="22"/>
        </w:rPr>
      </w:pPr>
    </w:p>
    <w:p w:rsidR="005B1735" w:rsidRDefault="005B1735" w:rsidP="00EE59F4">
      <w:pPr>
        <w:rPr>
          <w:rFonts w:cs="Arial"/>
          <w:szCs w:val="22"/>
        </w:rPr>
      </w:pPr>
      <w:r>
        <w:rPr>
          <w:rFonts w:cs="Arial"/>
          <w:szCs w:val="22"/>
        </w:rPr>
        <w:t>Chandra</w:t>
      </w:r>
      <w:r w:rsidRPr="005B1735">
        <w:t xml:space="preserve"> </w:t>
      </w:r>
      <w:r w:rsidRPr="005B1735">
        <w:rPr>
          <w:rFonts w:cs="Arial"/>
          <w:szCs w:val="22"/>
        </w:rPr>
        <w:t xml:space="preserve">AK, Ghosh D, Mukhopadhyay S, Tripathy S (2004) Effect of bamboo shoot, </w:t>
      </w:r>
      <w:r w:rsidRPr="009859DC">
        <w:rPr>
          <w:rFonts w:cs="Arial"/>
          <w:i/>
          <w:szCs w:val="22"/>
        </w:rPr>
        <w:t xml:space="preserve">Bambusa arundinacea </w:t>
      </w:r>
      <w:r w:rsidRPr="009859DC">
        <w:rPr>
          <w:rFonts w:cs="Arial"/>
          <w:szCs w:val="22"/>
        </w:rPr>
        <w:t>(Retz.)</w:t>
      </w:r>
      <w:r w:rsidRPr="005B1735">
        <w:rPr>
          <w:rFonts w:cs="Arial"/>
          <w:szCs w:val="22"/>
        </w:rPr>
        <w:t xml:space="preserve"> Willd. on thyroid status under conditions of varying iodine intake in rats. Indian Journal of Experimental Biology 42(8): 781-786.</w:t>
      </w:r>
    </w:p>
    <w:p w:rsidR="0037490E" w:rsidRDefault="0037490E" w:rsidP="00EE59F4">
      <w:pPr>
        <w:rPr>
          <w:rFonts w:cs="Arial"/>
          <w:szCs w:val="22"/>
        </w:rPr>
      </w:pPr>
    </w:p>
    <w:p w:rsidR="003F0820" w:rsidRDefault="003F0820" w:rsidP="003F0820">
      <w:pPr>
        <w:rPr>
          <w:rFonts w:cs="Arial"/>
          <w:szCs w:val="22"/>
        </w:rPr>
      </w:pPr>
      <w:r>
        <w:rPr>
          <w:rFonts w:cs="Arial"/>
          <w:szCs w:val="22"/>
        </w:rPr>
        <w:t>Chassagne D, C</w:t>
      </w:r>
      <w:r w:rsidRPr="00E20F6C">
        <w:rPr>
          <w:rFonts w:cs="Arial"/>
          <w:szCs w:val="22"/>
        </w:rPr>
        <w:t>rouzet</w:t>
      </w:r>
      <w:r>
        <w:rPr>
          <w:rFonts w:cs="Arial"/>
          <w:szCs w:val="22"/>
        </w:rPr>
        <w:t xml:space="preserve"> JC</w:t>
      </w:r>
      <w:r w:rsidRPr="00E20F6C">
        <w:rPr>
          <w:rFonts w:cs="Arial"/>
          <w:szCs w:val="22"/>
        </w:rPr>
        <w:t>, Bayonove</w:t>
      </w:r>
      <w:r>
        <w:rPr>
          <w:rFonts w:cs="Arial"/>
          <w:szCs w:val="22"/>
        </w:rPr>
        <w:t xml:space="preserve"> CL</w:t>
      </w:r>
      <w:r w:rsidRPr="00E20F6C">
        <w:rPr>
          <w:rFonts w:cs="Arial"/>
          <w:szCs w:val="22"/>
        </w:rPr>
        <w:t>, Baumes</w:t>
      </w:r>
      <w:r>
        <w:rPr>
          <w:rFonts w:cs="Arial"/>
          <w:szCs w:val="22"/>
        </w:rPr>
        <w:t xml:space="preserve"> RL (1996) Identification and quantification of passion fruit cyanogenic glycosides. Journal of Agriculture and Food Chemistry 44(12) 3817-3820.</w:t>
      </w:r>
    </w:p>
    <w:p w:rsidR="003F0820" w:rsidRDefault="003F0820" w:rsidP="003F0820">
      <w:pPr>
        <w:rPr>
          <w:rFonts w:cs="Arial"/>
          <w:szCs w:val="22"/>
        </w:rPr>
      </w:pPr>
    </w:p>
    <w:p w:rsidR="00922B91" w:rsidRDefault="00922B91" w:rsidP="003F0820">
      <w:pPr>
        <w:rPr>
          <w:rFonts w:cs="Arial"/>
          <w:szCs w:val="22"/>
        </w:rPr>
      </w:pPr>
      <w:r w:rsidRPr="00922B91">
        <w:rPr>
          <w:rFonts w:cs="Arial"/>
          <w:szCs w:val="22"/>
        </w:rPr>
        <w:t>Cigolini D et al (2011) Hydroxocobalamin treatment of acute cyanide poisoning from apricot kernels. Emerg Med J. 28: 804-5.</w:t>
      </w:r>
    </w:p>
    <w:p w:rsidR="00922B91" w:rsidRDefault="00922B91" w:rsidP="003F0820">
      <w:pPr>
        <w:rPr>
          <w:rFonts w:cs="Arial"/>
          <w:szCs w:val="22"/>
        </w:rPr>
      </w:pPr>
    </w:p>
    <w:p w:rsidR="003F0820" w:rsidRDefault="003F0820" w:rsidP="003F0820">
      <w:pPr>
        <w:rPr>
          <w:rFonts w:cs="Arial"/>
          <w:szCs w:val="22"/>
        </w:rPr>
      </w:pPr>
      <w:r w:rsidRPr="00093DD5">
        <w:rPr>
          <w:rFonts w:cs="Arial"/>
          <w:szCs w:val="22"/>
        </w:rPr>
        <w:t xml:space="preserve">Codex (1989) Codex </w:t>
      </w:r>
      <w:r>
        <w:rPr>
          <w:rFonts w:cs="Arial"/>
          <w:szCs w:val="22"/>
        </w:rPr>
        <w:t>s</w:t>
      </w:r>
      <w:r w:rsidRPr="00093DD5">
        <w:rPr>
          <w:rFonts w:cs="Arial"/>
          <w:szCs w:val="22"/>
        </w:rPr>
        <w:t xml:space="preserve">tandard </w:t>
      </w:r>
      <w:r>
        <w:rPr>
          <w:rFonts w:cs="Arial"/>
          <w:szCs w:val="22"/>
        </w:rPr>
        <w:t>for gari (</w:t>
      </w:r>
      <w:r w:rsidRPr="00093DD5">
        <w:rPr>
          <w:rFonts w:cs="Arial"/>
          <w:szCs w:val="22"/>
        </w:rPr>
        <w:t>CODEX STAN 151-1989</w:t>
      </w:r>
      <w:r>
        <w:rPr>
          <w:rFonts w:cs="Arial"/>
          <w:szCs w:val="22"/>
        </w:rPr>
        <w:t>)</w:t>
      </w:r>
      <w:r w:rsidRPr="00093DD5">
        <w:rPr>
          <w:rFonts w:cs="Arial"/>
          <w:szCs w:val="22"/>
        </w:rPr>
        <w:t>.</w:t>
      </w:r>
    </w:p>
    <w:p w:rsidR="003F0820" w:rsidRDefault="003F0820" w:rsidP="003F0820">
      <w:pPr>
        <w:rPr>
          <w:rFonts w:cs="Arial"/>
          <w:szCs w:val="22"/>
        </w:rPr>
      </w:pPr>
    </w:p>
    <w:p w:rsidR="003F0820" w:rsidRDefault="003F0820" w:rsidP="003F0820">
      <w:pPr>
        <w:rPr>
          <w:rFonts w:cs="Arial"/>
          <w:szCs w:val="22"/>
        </w:rPr>
      </w:pPr>
      <w:r w:rsidRPr="00CB29A1">
        <w:rPr>
          <w:rFonts w:cs="Arial"/>
          <w:szCs w:val="22"/>
        </w:rPr>
        <w:t>Codex (1995) C</w:t>
      </w:r>
      <w:r>
        <w:rPr>
          <w:rFonts w:cs="Arial"/>
          <w:szCs w:val="22"/>
        </w:rPr>
        <w:t>odex standard for edible cassava flour (</w:t>
      </w:r>
      <w:r w:rsidRPr="00CB29A1">
        <w:rPr>
          <w:rFonts w:cs="Arial"/>
          <w:szCs w:val="22"/>
        </w:rPr>
        <w:t>C</w:t>
      </w:r>
      <w:r>
        <w:rPr>
          <w:rFonts w:cs="Arial"/>
          <w:szCs w:val="22"/>
        </w:rPr>
        <w:t>ODEX STAN</w:t>
      </w:r>
      <w:r w:rsidRPr="00CB29A1">
        <w:rPr>
          <w:rFonts w:cs="Arial"/>
          <w:szCs w:val="22"/>
        </w:rPr>
        <w:t xml:space="preserve"> 176-1989</w:t>
      </w:r>
      <w:r>
        <w:rPr>
          <w:rFonts w:cs="Arial"/>
          <w:szCs w:val="22"/>
        </w:rPr>
        <w:t>)</w:t>
      </w:r>
      <w:r w:rsidRPr="00CB29A1">
        <w:rPr>
          <w:rFonts w:cs="Arial"/>
          <w:szCs w:val="22"/>
        </w:rPr>
        <w:t xml:space="preserve">. </w:t>
      </w:r>
    </w:p>
    <w:p w:rsidR="003F0820" w:rsidRDefault="003F0820" w:rsidP="003F0820">
      <w:pPr>
        <w:rPr>
          <w:rFonts w:cs="Arial"/>
          <w:szCs w:val="22"/>
        </w:rPr>
      </w:pPr>
    </w:p>
    <w:p w:rsidR="003F0820" w:rsidRDefault="003F0820" w:rsidP="003F0820">
      <w:pPr>
        <w:rPr>
          <w:rFonts w:cs="Arial"/>
          <w:szCs w:val="22"/>
          <w:highlight w:val="yellow"/>
        </w:rPr>
      </w:pPr>
      <w:r>
        <w:rPr>
          <w:rFonts w:cs="Arial"/>
          <w:szCs w:val="22"/>
        </w:rPr>
        <w:t>Codex (2005) Codex s</w:t>
      </w:r>
      <w:r w:rsidRPr="00EC1A44">
        <w:rPr>
          <w:rFonts w:cs="Arial"/>
          <w:szCs w:val="22"/>
        </w:rPr>
        <w:t xml:space="preserve">tandard for </w:t>
      </w:r>
      <w:r>
        <w:rPr>
          <w:rFonts w:cs="Arial"/>
          <w:szCs w:val="22"/>
        </w:rPr>
        <w:t>sweet c</w:t>
      </w:r>
      <w:r w:rsidRPr="00EC1A44">
        <w:rPr>
          <w:rFonts w:cs="Arial"/>
          <w:szCs w:val="22"/>
        </w:rPr>
        <w:t>assava (CODEX STAN 238-2003</w:t>
      </w:r>
      <w:r>
        <w:rPr>
          <w:rFonts w:cs="Arial"/>
          <w:szCs w:val="22"/>
        </w:rPr>
        <w:t xml:space="preserve">, </w:t>
      </w:r>
      <w:r w:rsidRPr="00EC1A44">
        <w:rPr>
          <w:rFonts w:cs="Arial"/>
          <w:szCs w:val="22"/>
        </w:rPr>
        <w:t>AMD. 1-2005).</w:t>
      </w:r>
    </w:p>
    <w:p w:rsidR="003F0820" w:rsidRPr="00EC2834" w:rsidRDefault="003F0820" w:rsidP="003F0820">
      <w:pPr>
        <w:rPr>
          <w:rFonts w:cs="Arial"/>
          <w:szCs w:val="22"/>
        </w:rPr>
      </w:pPr>
    </w:p>
    <w:p w:rsidR="003F0820" w:rsidRDefault="003F0820" w:rsidP="003F0820">
      <w:pPr>
        <w:rPr>
          <w:rFonts w:cs="Arial"/>
          <w:szCs w:val="22"/>
        </w:rPr>
      </w:pPr>
      <w:r w:rsidRPr="00EC2834">
        <w:rPr>
          <w:rFonts w:cs="Arial"/>
          <w:szCs w:val="22"/>
        </w:rPr>
        <w:t>Codex (2010) Codex standard for bitter cassava (CODEX STAN 300-2010).</w:t>
      </w:r>
    </w:p>
    <w:p w:rsidR="00EE75F2" w:rsidRDefault="00EE75F2" w:rsidP="003F0820">
      <w:pPr>
        <w:rPr>
          <w:rFonts w:cs="Arial"/>
          <w:szCs w:val="22"/>
        </w:rPr>
      </w:pPr>
    </w:p>
    <w:p w:rsidR="00EE75F2" w:rsidRDefault="00EE75F2" w:rsidP="003F0820">
      <w:pPr>
        <w:rPr>
          <w:rFonts w:cs="Arial"/>
          <w:szCs w:val="22"/>
        </w:rPr>
      </w:pPr>
      <w:r>
        <w:rPr>
          <w:rFonts w:cs="Arial"/>
          <w:szCs w:val="22"/>
        </w:rPr>
        <w:t>Codex Committee on Contaminants in Foods (2008) Discussion paper on cyanogenic glycosides. CX/CF 09/3/11. FAO/WHO, Rome.</w:t>
      </w:r>
    </w:p>
    <w:p w:rsidR="008F2755" w:rsidRDefault="008F2755" w:rsidP="003F0820">
      <w:pPr>
        <w:rPr>
          <w:rFonts w:cs="Arial"/>
          <w:szCs w:val="22"/>
        </w:rPr>
      </w:pPr>
    </w:p>
    <w:p w:rsidR="008F2755" w:rsidRPr="00EC2834" w:rsidRDefault="008F2755" w:rsidP="003F0820">
      <w:pPr>
        <w:rPr>
          <w:rFonts w:cs="Arial"/>
          <w:szCs w:val="22"/>
        </w:rPr>
      </w:pPr>
      <w:r w:rsidRPr="008F2755">
        <w:rPr>
          <w:rFonts w:cs="Arial"/>
          <w:szCs w:val="22"/>
        </w:rPr>
        <w:t>Codex Committe</w:t>
      </w:r>
      <w:r>
        <w:rPr>
          <w:rFonts w:cs="Arial"/>
          <w:szCs w:val="22"/>
        </w:rPr>
        <w:t>e on Contaminants in Foods (2013) Proposed draft maximum levels for hydrocyanic acid in cassava and cassava products. CX/CF 13/7/10. FAO/WHO, Rome.</w:t>
      </w:r>
    </w:p>
    <w:p w:rsidR="003F0820" w:rsidRDefault="003F0820" w:rsidP="00EE59F4">
      <w:pPr>
        <w:rPr>
          <w:rFonts w:cs="Arial"/>
          <w:szCs w:val="22"/>
          <w:lang w:val="en-US" w:eastAsia="en-GB"/>
        </w:rPr>
      </w:pPr>
    </w:p>
    <w:p w:rsidR="00D33562" w:rsidRPr="00EE59F4" w:rsidRDefault="00D33562" w:rsidP="00EE59F4">
      <w:pPr>
        <w:rPr>
          <w:rFonts w:cs="Arial"/>
          <w:iCs/>
          <w:szCs w:val="22"/>
          <w:lang w:val="en-US" w:eastAsia="en-GB"/>
        </w:rPr>
      </w:pPr>
      <w:r w:rsidRPr="00EE59F4">
        <w:rPr>
          <w:rFonts w:cs="Arial"/>
          <w:szCs w:val="22"/>
          <w:lang w:val="en-US" w:eastAsia="en-GB"/>
        </w:rPr>
        <w:t xml:space="preserve">CSIRO (2008) </w:t>
      </w:r>
      <w:r w:rsidRPr="00EE59F4">
        <w:rPr>
          <w:rFonts w:cs="Arial"/>
          <w:iCs/>
          <w:szCs w:val="22"/>
          <w:lang w:val="en-US" w:eastAsia="en-GB"/>
        </w:rPr>
        <w:t>2007 Australian national children’s nutrition and physical activity survey.</w:t>
      </w:r>
    </w:p>
    <w:p w:rsidR="00D33562" w:rsidRPr="00EE59F4" w:rsidRDefault="00D33562" w:rsidP="00EE59F4">
      <w:pPr>
        <w:rPr>
          <w:rFonts w:cs="Arial"/>
          <w:szCs w:val="22"/>
        </w:rPr>
      </w:pPr>
      <w:r w:rsidRPr="00EE59F4">
        <w:rPr>
          <w:rFonts w:cs="Arial"/>
          <w:iCs/>
          <w:szCs w:val="22"/>
          <w:lang w:val="en-US" w:eastAsia="en-GB"/>
        </w:rPr>
        <w:t xml:space="preserve">Main findings. </w:t>
      </w:r>
      <w:r w:rsidRPr="00EE59F4">
        <w:rPr>
          <w:rFonts w:cs="Arial"/>
          <w:szCs w:val="22"/>
          <w:lang w:val="en-US" w:eastAsia="en-GB"/>
        </w:rPr>
        <w:t>Canberra: Australian Government Department of Health and Ageing.</w:t>
      </w:r>
    </w:p>
    <w:p w:rsidR="00D33562" w:rsidRPr="00EE59F4" w:rsidRDefault="00D33562" w:rsidP="00EE59F4">
      <w:pPr>
        <w:rPr>
          <w:rFonts w:cs="Arial"/>
          <w:szCs w:val="22"/>
        </w:rPr>
      </w:pPr>
    </w:p>
    <w:p w:rsidR="00D33562" w:rsidRPr="00EE59F4" w:rsidRDefault="00D33562" w:rsidP="00EE59F4">
      <w:pPr>
        <w:rPr>
          <w:rFonts w:cs="Arial"/>
          <w:szCs w:val="22"/>
          <w:lang w:val="en-US" w:eastAsia="en-GB"/>
        </w:rPr>
      </w:pPr>
      <w:r w:rsidRPr="00EE59F4">
        <w:rPr>
          <w:rFonts w:cs="Arial"/>
          <w:szCs w:val="22"/>
          <w:lang w:val="en-US" w:eastAsia="en-GB"/>
        </w:rPr>
        <w:t xml:space="preserve">Daniels LA, Magarey A, Battistutta D, Nicholson JM, Farrell A, Davidson G and Cleghorn G (2009) The NOURISH randomised control trial: Positive feeding practices and food preferences in early childhood - a primary prevention program for childhood obesity. In </w:t>
      </w:r>
      <w:r w:rsidRPr="00EE59F4">
        <w:rPr>
          <w:rFonts w:cs="Arial"/>
          <w:iCs/>
          <w:szCs w:val="22"/>
          <w:lang w:eastAsia="en-GB"/>
        </w:rPr>
        <w:t>BMC Public Health</w:t>
      </w:r>
      <w:r w:rsidR="00EE59F4" w:rsidRPr="00EE59F4">
        <w:rPr>
          <w:rFonts w:cs="Arial"/>
          <w:iCs/>
          <w:szCs w:val="22"/>
          <w:lang w:eastAsia="en-GB"/>
        </w:rPr>
        <w:t>.</w:t>
      </w:r>
      <w:r w:rsidRPr="00EE59F4">
        <w:rPr>
          <w:rFonts w:cs="Arial"/>
          <w:szCs w:val="22"/>
          <w:lang w:eastAsia="en-GB"/>
        </w:rPr>
        <w:t xml:space="preserve"> Volume </w:t>
      </w:r>
      <w:r w:rsidRPr="00EE59F4">
        <w:rPr>
          <w:rFonts w:cs="Arial"/>
          <w:bCs/>
          <w:szCs w:val="22"/>
          <w:lang w:eastAsia="en-GB"/>
        </w:rPr>
        <w:t xml:space="preserve">9 pp </w:t>
      </w:r>
      <w:r w:rsidRPr="00EE59F4">
        <w:rPr>
          <w:rFonts w:cs="Arial"/>
          <w:szCs w:val="22"/>
          <w:lang w:eastAsia="en-GB"/>
        </w:rPr>
        <w:t>387-396.</w:t>
      </w:r>
    </w:p>
    <w:p w:rsidR="00EE59F4" w:rsidRPr="00EE59F4" w:rsidRDefault="00EE59F4" w:rsidP="00EE59F4">
      <w:pPr>
        <w:rPr>
          <w:rFonts w:cs="Arial"/>
          <w:bCs/>
          <w:szCs w:val="22"/>
        </w:rPr>
      </w:pPr>
    </w:p>
    <w:p w:rsidR="00D33562" w:rsidRPr="00EE59F4" w:rsidRDefault="00D33562" w:rsidP="00EE59F4">
      <w:pPr>
        <w:rPr>
          <w:rFonts w:cs="Arial"/>
          <w:bCs/>
          <w:szCs w:val="22"/>
        </w:rPr>
      </w:pPr>
      <w:r w:rsidRPr="00EE59F4">
        <w:rPr>
          <w:rFonts w:cs="Arial"/>
          <w:bCs/>
          <w:szCs w:val="22"/>
        </w:rPr>
        <w:t>ESR (Cressey P</w:t>
      </w:r>
      <w:r w:rsidR="00EE59F4">
        <w:rPr>
          <w:rFonts w:cs="Arial"/>
          <w:bCs/>
          <w:szCs w:val="22"/>
        </w:rPr>
        <w:t xml:space="preserve"> and</w:t>
      </w:r>
      <w:r w:rsidRPr="00EE59F4">
        <w:rPr>
          <w:rFonts w:cs="Arial"/>
          <w:bCs/>
          <w:szCs w:val="22"/>
        </w:rPr>
        <w:t xml:space="preserve"> Saunders D) (Unpublished</w:t>
      </w:r>
      <w:r w:rsidR="002B244C">
        <w:rPr>
          <w:rFonts w:cs="Arial"/>
          <w:bCs/>
          <w:szCs w:val="22"/>
        </w:rPr>
        <w:t xml:space="preserve"> 2010</w:t>
      </w:r>
      <w:r w:rsidRPr="00EE59F4">
        <w:rPr>
          <w:rFonts w:cs="Arial"/>
          <w:bCs/>
          <w:szCs w:val="22"/>
        </w:rPr>
        <w:t xml:space="preserve">) Report FW10037: Survey of </w:t>
      </w:r>
      <w:r w:rsidR="005850B7">
        <w:rPr>
          <w:rFonts w:cs="Arial"/>
          <w:bCs/>
          <w:szCs w:val="22"/>
        </w:rPr>
        <w:t>c</w:t>
      </w:r>
      <w:r w:rsidRPr="00EE59F4">
        <w:rPr>
          <w:rFonts w:cs="Arial"/>
          <w:bCs/>
          <w:szCs w:val="22"/>
        </w:rPr>
        <w:t xml:space="preserve">yanogenic </w:t>
      </w:r>
      <w:r w:rsidR="005850B7">
        <w:rPr>
          <w:rFonts w:cs="Arial"/>
          <w:bCs/>
          <w:szCs w:val="22"/>
        </w:rPr>
        <w:t>g</w:t>
      </w:r>
      <w:r w:rsidRPr="00EE59F4">
        <w:rPr>
          <w:rFonts w:cs="Arial"/>
          <w:bCs/>
          <w:szCs w:val="22"/>
        </w:rPr>
        <w:t xml:space="preserve">lycosides in </w:t>
      </w:r>
      <w:r w:rsidR="005850B7">
        <w:rPr>
          <w:rFonts w:cs="Arial"/>
          <w:bCs/>
          <w:szCs w:val="22"/>
        </w:rPr>
        <w:t>p</w:t>
      </w:r>
      <w:r w:rsidRPr="00EE59F4">
        <w:rPr>
          <w:rFonts w:cs="Arial"/>
          <w:bCs/>
          <w:szCs w:val="22"/>
        </w:rPr>
        <w:t>lant-</w:t>
      </w:r>
      <w:r w:rsidR="005850B7">
        <w:rPr>
          <w:rFonts w:cs="Arial"/>
          <w:bCs/>
          <w:szCs w:val="22"/>
        </w:rPr>
        <w:t>b</w:t>
      </w:r>
      <w:r w:rsidRPr="00EE59F4">
        <w:rPr>
          <w:rFonts w:cs="Arial"/>
          <w:bCs/>
          <w:szCs w:val="22"/>
        </w:rPr>
        <w:t xml:space="preserve">ased </w:t>
      </w:r>
      <w:r w:rsidR="005850B7">
        <w:rPr>
          <w:rFonts w:cs="Arial"/>
          <w:bCs/>
          <w:szCs w:val="22"/>
        </w:rPr>
        <w:t>f</w:t>
      </w:r>
      <w:r w:rsidRPr="00EE59F4">
        <w:rPr>
          <w:rFonts w:cs="Arial"/>
          <w:bCs/>
          <w:szCs w:val="22"/>
        </w:rPr>
        <w:t>oods. October 2010</w:t>
      </w:r>
      <w:r w:rsidR="005850B7">
        <w:rPr>
          <w:rFonts w:cs="Arial"/>
          <w:bCs/>
          <w:szCs w:val="22"/>
        </w:rPr>
        <w:t>.</w:t>
      </w:r>
      <w:r w:rsidRPr="00EE59F4">
        <w:rPr>
          <w:rFonts w:cs="Arial"/>
          <w:bCs/>
          <w:szCs w:val="22"/>
        </w:rPr>
        <w:t xml:space="preserve"> Institute of Environmental Science &amp; Research Limited contracted by the New Zealand </w:t>
      </w:r>
      <w:r w:rsidR="002B244C">
        <w:rPr>
          <w:rFonts w:cs="Arial"/>
          <w:bCs/>
          <w:szCs w:val="22"/>
        </w:rPr>
        <w:t>Food Safety Authority</w:t>
      </w:r>
      <w:r w:rsidR="00646AD2">
        <w:rPr>
          <w:rFonts w:cs="Arial"/>
          <w:bCs/>
          <w:szCs w:val="22"/>
        </w:rPr>
        <w:t>,</w:t>
      </w:r>
      <w:r w:rsidR="005850B7">
        <w:rPr>
          <w:rFonts w:cs="Arial"/>
          <w:bCs/>
          <w:szCs w:val="22"/>
        </w:rPr>
        <w:t xml:space="preserve"> </w:t>
      </w:r>
      <w:r w:rsidRPr="00EE59F4">
        <w:rPr>
          <w:rFonts w:cs="Arial"/>
          <w:bCs/>
          <w:szCs w:val="22"/>
        </w:rPr>
        <w:t>Christchurch.</w:t>
      </w:r>
    </w:p>
    <w:p w:rsidR="00D33562" w:rsidRPr="005850B7" w:rsidRDefault="00D33562" w:rsidP="00D33562">
      <w:pPr>
        <w:rPr>
          <w:rFonts w:cs="Arial"/>
          <w:szCs w:val="22"/>
        </w:rPr>
      </w:pPr>
    </w:p>
    <w:p w:rsidR="002B244C" w:rsidRPr="00EE59F4" w:rsidRDefault="002B244C" w:rsidP="002B244C">
      <w:pPr>
        <w:rPr>
          <w:rFonts w:cs="Arial"/>
          <w:bCs/>
          <w:szCs w:val="22"/>
        </w:rPr>
      </w:pPr>
      <w:r w:rsidRPr="00EE59F4">
        <w:rPr>
          <w:rFonts w:cs="Arial"/>
          <w:bCs/>
          <w:szCs w:val="22"/>
        </w:rPr>
        <w:t>ESR (Cressey P</w:t>
      </w:r>
      <w:r>
        <w:rPr>
          <w:rFonts w:cs="Arial"/>
          <w:bCs/>
          <w:szCs w:val="22"/>
        </w:rPr>
        <w:t xml:space="preserve"> and</w:t>
      </w:r>
      <w:r w:rsidRPr="00EE59F4">
        <w:rPr>
          <w:rFonts w:cs="Arial"/>
          <w:bCs/>
          <w:szCs w:val="22"/>
        </w:rPr>
        <w:t xml:space="preserve"> Saunders D) (Unpublished</w:t>
      </w:r>
      <w:r>
        <w:rPr>
          <w:rFonts w:cs="Arial"/>
          <w:bCs/>
          <w:szCs w:val="22"/>
        </w:rPr>
        <w:t xml:space="preserve"> 2011</w:t>
      </w:r>
      <w:r w:rsidRPr="00EE59F4">
        <w:rPr>
          <w:rFonts w:cs="Arial"/>
          <w:bCs/>
          <w:szCs w:val="22"/>
        </w:rPr>
        <w:t>) Report FW1</w:t>
      </w:r>
      <w:r>
        <w:rPr>
          <w:rFonts w:cs="Arial"/>
          <w:bCs/>
          <w:szCs w:val="22"/>
        </w:rPr>
        <w:t>1005</w:t>
      </w:r>
      <w:r w:rsidRPr="00EE59F4">
        <w:rPr>
          <w:rFonts w:cs="Arial"/>
          <w:bCs/>
          <w:szCs w:val="22"/>
        </w:rPr>
        <w:t xml:space="preserve">: </w:t>
      </w:r>
      <w:r>
        <w:rPr>
          <w:rFonts w:cs="Arial"/>
          <w:bCs/>
          <w:szCs w:val="22"/>
        </w:rPr>
        <w:t>Total hydrocyanic acid levels in a sample of ready-to-eat cassava chips available in New Zealand</w:t>
      </w:r>
      <w:r w:rsidRPr="00EE59F4">
        <w:rPr>
          <w:rFonts w:cs="Arial"/>
          <w:bCs/>
          <w:szCs w:val="22"/>
        </w:rPr>
        <w:t xml:space="preserve">. </w:t>
      </w:r>
      <w:r>
        <w:rPr>
          <w:rFonts w:cs="Arial"/>
          <w:bCs/>
          <w:szCs w:val="22"/>
        </w:rPr>
        <w:t xml:space="preserve">March </w:t>
      </w:r>
      <w:r w:rsidRPr="00EE59F4">
        <w:rPr>
          <w:rFonts w:cs="Arial"/>
          <w:bCs/>
          <w:szCs w:val="22"/>
        </w:rPr>
        <w:t>201</w:t>
      </w:r>
      <w:r>
        <w:rPr>
          <w:rFonts w:cs="Arial"/>
          <w:bCs/>
          <w:szCs w:val="22"/>
        </w:rPr>
        <w:t>1.</w:t>
      </w:r>
      <w:r w:rsidRPr="00EE59F4">
        <w:rPr>
          <w:rFonts w:cs="Arial"/>
          <w:bCs/>
          <w:szCs w:val="22"/>
        </w:rPr>
        <w:t xml:space="preserve"> Institute of Environmental Science &amp; Research Limited contracted by the New Zealand </w:t>
      </w:r>
      <w:r>
        <w:rPr>
          <w:rFonts w:cs="Arial"/>
          <w:bCs/>
          <w:szCs w:val="22"/>
        </w:rPr>
        <w:t xml:space="preserve">Food Safety Authority, </w:t>
      </w:r>
      <w:r w:rsidRPr="00EE59F4">
        <w:rPr>
          <w:rFonts w:cs="Arial"/>
          <w:bCs/>
          <w:szCs w:val="22"/>
        </w:rPr>
        <w:t>Christchurch.</w:t>
      </w:r>
    </w:p>
    <w:p w:rsidR="002B244C" w:rsidRDefault="002B244C" w:rsidP="00D33562">
      <w:pPr>
        <w:rPr>
          <w:rFonts w:cs="Arial"/>
          <w:szCs w:val="22"/>
        </w:rPr>
      </w:pPr>
    </w:p>
    <w:p w:rsidR="00D33562" w:rsidRPr="005850B7" w:rsidRDefault="00D33562" w:rsidP="00D33562">
      <w:pPr>
        <w:rPr>
          <w:rFonts w:cs="Arial"/>
          <w:szCs w:val="22"/>
        </w:rPr>
      </w:pPr>
      <w:r w:rsidRPr="005850B7">
        <w:rPr>
          <w:rFonts w:cs="Arial"/>
          <w:szCs w:val="22"/>
        </w:rPr>
        <w:t>ESR (Cressey P</w:t>
      </w:r>
      <w:r w:rsidR="005850B7">
        <w:rPr>
          <w:rFonts w:cs="Arial"/>
          <w:szCs w:val="22"/>
        </w:rPr>
        <w:t xml:space="preserve"> and</w:t>
      </w:r>
      <w:r w:rsidRPr="005850B7">
        <w:rPr>
          <w:rFonts w:cs="Arial"/>
          <w:szCs w:val="22"/>
        </w:rPr>
        <w:t xml:space="preserve"> Saunders D) (Unpublished</w:t>
      </w:r>
      <w:r w:rsidR="002B244C">
        <w:rPr>
          <w:rFonts w:cs="Arial"/>
          <w:szCs w:val="22"/>
        </w:rPr>
        <w:t xml:space="preserve"> 2012</w:t>
      </w:r>
      <w:r w:rsidRPr="005850B7">
        <w:rPr>
          <w:rFonts w:cs="Arial"/>
          <w:szCs w:val="22"/>
        </w:rPr>
        <w:t>) Report FW12032: Determination of presence of cyanogenic residues in apple juices in Australia and New Zealand. June 2012</w:t>
      </w:r>
      <w:r w:rsidR="005850B7">
        <w:rPr>
          <w:rFonts w:cs="Arial"/>
          <w:szCs w:val="22"/>
        </w:rPr>
        <w:t xml:space="preserve">. </w:t>
      </w:r>
      <w:r w:rsidRPr="005850B7">
        <w:rPr>
          <w:rFonts w:cs="Arial"/>
          <w:szCs w:val="22"/>
        </w:rPr>
        <w:t>Institute of Environmental Science &amp; Research Limited contracted by the New Zealand Ministry for Primary</w:t>
      </w:r>
      <w:r w:rsidR="005850B7">
        <w:rPr>
          <w:rFonts w:cs="Arial"/>
          <w:szCs w:val="22"/>
        </w:rPr>
        <w:t xml:space="preserve"> Industries</w:t>
      </w:r>
      <w:r w:rsidR="00646AD2">
        <w:rPr>
          <w:rFonts w:cs="Arial"/>
          <w:szCs w:val="22"/>
        </w:rPr>
        <w:t>,</w:t>
      </w:r>
      <w:r w:rsidRPr="005850B7">
        <w:rPr>
          <w:rFonts w:cs="Arial"/>
          <w:szCs w:val="22"/>
        </w:rPr>
        <w:t xml:space="preserve"> Christchurch.</w:t>
      </w:r>
    </w:p>
    <w:p w:rsidR="00D33562" w:rsidRPr="005850B7" w:rsidRDefault="00D33562" w:rsidP="00D33562">
      <w:pPr>
        <w:rPr>
          <w:rFonts w:cs="Arial"/>
          <w:szCs w:val="22"/>
        </w:rPr>
      </w:pPr>
    </w:p>
    <w:p w:rsidR="00D33562" w:rsidRDefault="00D33562" w:rsidP="00D33562">
      <w:pPr>
        <w:rPr>
          <w:rFonts w:cs="Arial"/>
          <w:szCs w:val="22"/>
        </w:rPr>
      </w:pPr>
      <w:r w:rsidRPr="005850B7">
        <w:rPr>
          <w:rFonts w:cs="Arial"/>
          <w:szCs w:val="22"/>
        </w:rPr>
        <w:t>ESR (Saunders D</w:t>
      </w:r>
      <w:r w:rsidR="005850B7">
        <w:rPr>
          <w:rFonts w:cs="Arial"/>
          <w:szCs w:val="22"/>
        </w:rPr>
        <w:t xml:space="preserve"> and </w:t>
      </w:r>
      <w:r w:rsidRPr="005850B7">
        <w:rPr>
          <w:rFonts w:cs="Arial"/>
          <w:szCs w:val="22"/>
        </w:rPr>
        <w:t>Cressey P) (Unpublished</w:t>
      </w:r>
      <w:r w:rsidR="00143D2E">
        <w:rPr>
          <w:rFonts w:cs="Arial"/>
          <w:szCs w:val="22"/>
        </w:rPr>
        <w:t xml:space="preserve"> 2013a</w:t>
      </w:r>
      <w:r w:rsidRPr="005850B7">
        <w:rPr>
          <w:rFonts w:cs="Arial"/>
          <w:szCs w:val="22"/>
        </w:rPr>
        <w:t>) Report FW13027: Determination of presence of cyanogenic glycosides in apricot kernels and other plant-based foods in Australia and New Zealand. June 2013</w:t>
      </w:r>
      <w:r w:rsidR="005850B7">
        <w:rPr>
          <w:rFonts w:cs="Arial"/>
          <w:szCs w:val="22"/>
        </w:rPr>
        <w:t xml:space="preserve">. </w:t>
      </w:r>
      <w:r w:rsidRPr="005850B7">
        <w:rPr>
          <w:rFonts w:cs="Arial"/>
          <w:szCs w:val="22"/>
        </w:rPr>
        <w:t>Institute of Environmental Science &amp; Research Limited contracted by the New Zealand Ministry for Primary Industries</w:t>
      </w:r>
      <w:r w:rsidR="00646AD2">
        <w:rPr>
          <w:rFonts w:cs="Arial"/>
          <w:szCs w:val="22"/>
        </w:rPr>
        <w:t>,</w:t>
      </w:r>
      <w:r w:rsidRPr="005850B7">
        <w:rPr>
          <w:rFonts w:cs="Arial"/>
          <w:szCs w:val="22"/>
        </w:rPr>
        <w:t xml:space="preserve"> Christchurch.</w:t>
      </w:r>
    </w:p>
    <w:p w:rsidR="00143D2E" w:rsidRDefault="00143D2E" w:rsidP="00D33562">
      <w:pPr>
        <w:rPr>
          <w:rFonts w:cs="Arial"/>
          <w:szCs w:val="22"/>
        </w:rPr>
      </w:pPr>
    </w:p>
    <w:p w:rsidR="003F0820" w:rsidRDefault="003F0820" w:rsidP="003F0820">
      <w:pPr>
        <w:rPr>
          <w:rFonts w:cs="Arial"/>
          <w:szCs w:val="22"/>
        </w:rPr>
      </w:pPr>
      <w:r>
        <w:rPr>
          <w:rFonts w:cs="Arial"/>
          <w:szCs w:val="22"/>
        </w:rPr>
        <w:t>European Food Safety Authority (EFSA) Panel on Food Additives, Flavourings, Processing Aids and Materials in Contact with Food (2004) Opinion of the Scientific Panel on Food Additives, Flavourings, Processing Aids and Materials in Contact with Food on hydrocyanic acid in flavourings and other food ingredients with flavouring properties. Question number EFSA-Q-2003-145. The EFSA Journal 2004 105:1-28.</w:t>
      </w:r>
    </w:p>
    <w:p w:rsidR="009E3C38" w:rsidRDefault="009E3C38" w:rsidP="003F0820">
      <w:pPr>
        <w:rPr>
          <w:rFonts w:cs="Arial"/>
          <w:szCs w:val="22"/>
        </w:rPr>
      </w:pPr>
    </w:p>
    <w:p w:rsidR="009E3C38" w:rsidRDefault="009E3C38" w:rsidP="003F0820">
      <w:pPr>
        <w:rPr>
          <w:rFonts w:cs="Arial"/>
          <w:szCs w:val="22"/>
        </w:rPr>
      </w:pPr>
      <w:r>
        <w:rPr>
          <w:rFonts w:cs="Arial"/>
          <w:szCs w:val="22"/>
        </w:rPr>
        <w:t xml:space="preserve">European Committee for Standardization (2012) </w:t>
      </w:r>
      <w:r w:rsidRPr="009E3C38">
        <w:rPr>
          <w:rFonts w:cs="Arial"/>
          <w:szCs w:val="22"/>
        </w:rPr>
        <w:t>Animal feeding stuffs – Determination of hydrocyanic acid by HPLC. EN 16160</w:t>
      </w:r>
      <w:r w:rsidR="00412308">
        <w:rPr>
          <w:rFonts w:cs="Arial"/>
          <w:szCs w:val="22"/>
        </w:rPr>
        <w:t>:2012</w:t>
      </w:r>
      <w:r>
        <w:rPr>
          <w:rFonts w:cs="Arial"/>
          <w:szCs w:val="22"/>
        </w:rPr>
        <w:t xml:space="preserve">. Available at: </w:t>
      </w:r>
    </w:p>
    <w:p w:rsidR="009E3C38" w:rsidRDefault="000A0E74" w:rsidP="003F0820">
      <w:pPr>
        <w:rPr>
          <w:rFonts w:cs="Arial"/>
          <w:szCs w:val="22"/>
        </w:rPr>
      </w:pPr>
      <w:hyperlink r:id="rId28" w:history="1">
        <w:r w:rsidR="009E3C38" w:rsidRPr="00EE16D2">
          <w:rPr>
            <w:rStyle w:val="Hyperlink"/>
          </w:rPr>
          <w:t>http://esearch.cen.eu/esearch/Details.aspx?id=14802441</w:t>
        </w:r>
      </w:hyperlink>
    </w:p>
    <w:p w:rsidR="003F0820" w:rsidRPr="005850B7" w:rsidRDefault="003F0820" w:rsidP="00D33562">
      <w:pPr>
        <w:rPr>
          <w:rFonts w:cs="Arial"/>
          <w:szCs w:val="22"/>
        </w:rPr>
      </w:pPr>
    </w:p>
    <w:p w:rsidR="00D33562" w:rsidRPr="00646AD2" w:rsidRDefault="00D33562" w:rsidP="00D33562">
      <w:pPr>
        <w:rPr>
          <w:rFonts w:cs="Arial"/>
          <w:szCs w:val="22"/>
        </w:rPr>
      </w:pPr>
      <w:r w:rsidRPr="00646AD2">
        <w:rPr>
          <w:rFonts w:cs="Arial"/>
          <w:szCs w:val="22"/>
        </w:rPr>
        <w:t>FAO/WHO (2009) Environmental Healt</w:t>
      </w:r>
      <w:r w:rsidR="008B5F6A" w:rsidRPr="00646AD2">
        <w:rPr>
          <w:rFonts w:cs="Arial"/>
          <w:szCs w:val="22"/>
        </w:rPr>
        <w:t>h Criteria 240. Principles and me</w:t>
      </w:r>
      <w:r w:rsidRPr="00646AD2">
        <w:rPr>
          <w:rFonts w:cs="Arial"/>
          <w:szCs w:val="22"/>
        </w:rPr>
        <w:t xml:space="preserve">thods for the </w:t>
      </w:r>
      <w:r w:rsidR="008B5F6A" w:rsidRPr="00646AD2">
        <w:rPr>
          <w:rFonts w:cs="Arial"/>
          <w:szCs w:val="22"/>
        </w:rPr>
        <w:t>r</w:t>
      </w:r>
      <w:r w:rsidRPr="00646AD2">
        <w:rPr>
          <w:rFonts w:cs="Arial"/>
          <w:szCs w:val="22"/>
        </w:rPr>
        <w:t xml:space="preserve">isk </w:t>
      </w:r>
      <w:r w:rsidR="008B5F6A" w:rsidRPr="00646AD2">
        <w:rPr>
          <w:rFonts w:cs="Arial"/>
          <w:szCs w:val="22"/>
        </w:rPr>
        <w:t>a</w:t>
      </w:r>
      <w:r w:rsidRPr="00646AD2">
        <w:rPr>
          <w:rFonts w:cs="Arial"/>
          <w:szCs w:val="22"/>
        </w:rPr>
        <w:t xml:space="preserve">ssessment of </w:t>
      </w:r>
      <w:r w:rsidR="008B5F6A" w:rsidRPr="00646AD2">
        <w:rPr>
          <w:rFonts w:cs="Arial"/>
          <w:szCs w:val="22"/>
        </w:rPr>
        <w:t>c</w:t>
      </w:r>
      <w:r w:rsidRPr="00646AD2">
        <w:rPr>
          <w:rFonts w:cs="Arial"/>
          <w:szCs w:val="22"/>
        </w:rPr>
        <w:t xml:space="preserve">hemicals in </w:t>
      </w:r>
      <w:r w:rsidR="008B5F6A" w:rsidRPr="00646AD2">
        <w:rPr>
          <w:rFonts w:cs="Arial"/>
          <w:szCs w:val="22"/>
        </w:rPr>
        <w:t>f</w:t>
      </w:r>
      <w:r w:rsidRPr="00646AD2">
        <w:rPr>
          <w:rFonts w:cs="Arial"/>
          <w:szCs w:val="22"/>
        </w:rPr>
        <w:t>ood. World Health Organization</w:t>
      </w:r>
      <w:r w:rsidR="00646AD2" w:rsidRPr="00646AD2">
        <w:rPr>
          <w:rFonts w:cs="Arial"/>
          <w:szCs w:val="22"/>
        </w:rPr>
        <w:t>,</w:t>
      </w:r>
      <w:r w:rsidRPr="00646AD2">
        <w:rPr>
          <w:rFonts w:cs="Arial"/>
          <w:szCs w:val="22"/>
        </w:rPr>
        <w:t xml:space="preserve"> Geneva.</w:t>
      </w:r>
    </w:p>
    <w:p w:rsidR="00D33562" w:rsidRPr="00C56EC0" w:rsidRDefault="00D33562" w:rsidP="00D33562">
      <w:pPr>
        <w:rPr>
          <w:rFonts w:cs="Arial"/>
          <w:szCs w:val="22"/>
        </w:rPr>
      </w:pPr>
    </w:p>
    <w:p w:rsidR="00D33562" w:rsidRDefault="00D33562" w:rsidP="00D33562">
      <w:pPr>
        <w:rPr>
          <w:rFonts w:cs="Arial"/>
          <w:szCs w:val="22"/>
        </w:rPr>
      </w:pPr>
      <w:r w:rsidRPr="00C56EC0">
        <w:rPr>
          <w:rFonts w:cs="Arial"/>
          <w:szCs w:val="22"/>
        </w:rPr>
        <w:t>FAO/WHO (2012) WHO Food Additive Series: 65. Safety evaluation of certain food additives and contaminants. Prepared by the seventy-fourth meeting of the Joint FAO/WHO Expert Committee on Food Additives (JECFA). World Health Organization</w:t>
      </w:r>
      <w:r w:rsidR="00646AD2">
        <w:rPr>
          <w:rFonts w:cs="Arial"/>
          <w:szCs w:val="22"/>
        </w:rPr>
        <w:t>,</w:t>
      </w:r>
      <w:r w:rsidRPr="00C56EC0">
        <w:rPr>
          <w:rFonts w:cs="Arial"/>
          <w:szCs w:val="22"/>
        </w:rPr>
        <w:t xml:space="preserve"> Geneva.</w:t>
      </w:r>
    </w:p>
    <w:p w:rsidR="008B5F6A" w:rsidRDefault="008B5F6A" w:rsidP="00D33562">
      <w:pPr>
        <w:rPr>
          <w:rFonts w:cs="Arial"/>
          <w:szCs w:val="22"/>
        </w:rPr>
      </w:pPr>
    </w:p>
    <w:p w:rsidR="008B5F6A" w:rsidRPr="00284AB4" w:rsidRDefault="008B5F6A" w:rsidP="008B5F6A">
      <w:pPr>
        <w:rPr>
          <w:rFonts w:cs="Arial"/>
          <w:szCs w:val="22"/>
        </w:rPr>
      </w:pPr>
      <w:r>
        <w:rPr>
          <w:rFonts w:cs="Arial"/>
          <w:szCs w:val="22"/>
        </w:rPr>
        <w:t xml:space="preserve">Ferreira VLP, Yotsuyanagi K, Carvalho CRL (1995) Elimination of cyanogenic compounds from bamboo shoots </w:t>
      </w:r>
      <w:r>
        <w:rPr>
          <w:rFonts w:cs="Arial"/>
          <w:i/>
          <w:szCs w:val="22"/>
        </w:rPr>
        <w:t xml:space="preserve">Dendrocalamus giganteus </w:t>
      </w:r>
      <w:r>
        <w:rPr>
          <w:rFonts w:cs="Arial"/>
          <w:szCs w:val="22"/>
        </w:rPr>
        <w:t>Munro. Tropical Science 35:342-346.</w:t>
      </w:r>
    </w:p>
    <w:p w:rsidR="008B5F6A" w:rsidRPr="00C56EC0" w:rsidRDefault="008B5F6A" w:rsidP="00D33562">
      <w:pPr>
        <w:rPr>
          <w:rFonts w:cs="Arial"/>
          <w:szCs w:val="22"/>
        </w:rPr>
      </w:pPr>
    </w:p>
    <w:p w:rsidR="008B5F6A" w:rsidRDefault="008B5F6A" w:rsidP="008B5F6A">
      <w:pPr>
        <w:rPr>
          <w:rFonts w:cs="Arial"/>
          <w:szCs w:val="22"/>
          <w:highlight w:val="yellow"/>
        </w:rPr>
      </w:pPr>
      <w:r w:rsidRPr="00520C36">
        <w:rPr>
          <w:rFonts w:cs="Arial"/>
          <w:szCs w:val="22"/>
        </w:rPr>
        <w:t>F</w:t>
      </w:r>
      <w:r>
        <w:rPr>
          <w:rFonts w:cs="Arial"/>
          <w:szCs w:val="22"/>
        </w:rPr>
        <w:t>SANZ (2004</w:t>
      </w:r>
      <w:r w:rsidR="004D789B">
        <w:rPr>
          <w:rFonts w:cs="Arial"/>
          <w:szCs w:val="22"/>
        </w:rPr>
        <w:t>a</w:t>
      </w:r>
      <w:r>
        <w:rPr>
          <w:rFonts w:cs="Arial"/>
          <w:szCs w:val="22"/>
        </w:rPr>
        <w:t xml:space="preserve">) Proposal P257 – Advice on the preparation of cassava and bamboo shoots. Final Assessment Report. 17 March 2004. FSANZ, Canberra. Available at: </w:t>
      </w:r>
    </w:p>
    <w:p w:rsidR="004D789B" w:rsidRPr="00E220BA" w:rsidRDefault="000A0E74" w:rsidP="00D33562">
      <w:pPr>
        <w:autoSpaceDE w:val="0"/>
        <w:autoSpaceDN w:val="0"/>
        <w:adjustRightInd w:val="0"/>
        <w:rPr>
          <w:rFonts w:cs="Arial"/>
          <w:szCs w:val="22"/>
        </w:rPr>
      </w:pPr>
      <w:hyperlink r:id="rId29" w:history="1">
        <w:r w:rsidR="00E220BA" w:rsidRPr="00E220BA">
          <w:rPr>
            <w:rStyle w:val="Hyperlink"/>
          </w:rPr>
          <w:t>http://www.foodstandards.gov.au/code/proposals/Pages/proposalp257preparationofcassava21august2002/Default.aspx</w:t>
        </w:r>
      </w:hyperlink>
    </w:p>
    <w:p w:rsidR="00E220BA" w:rsidRDefault="00E220BA" w:rsidP="00D33562">
      <w:pPr>
        <w:autoSpaceDE w:val="0"/>
        <w:autoSpaceDN w:val="0"/>
        <w:adjustRightInd w:val="0"/>
        <w:rPr>
          <w:rFonts w:cs="Arial"/>
          <w:bCs/>
          <w:lang w:eastAsia="en-GB"/>
        </w:rPr>
      </w:pPr>
    </w:p>
    <w:p w:rsidR="004D789B" w:rsidRDefault="004D789B" w:rsidP="004D789B">
      <w:pPr>
        <w:rPr>
          <w:rFonts w:cs="Arial"/>
          <w:szCs w:val="22"/>
        </w:rPr>
      </w:pPr>
      <w:r>
        <w:rPr>
          <w:rFonts w:cs="Arial"/>
          <w:szCs w:val="22"/>
        </w:rPr>
        <w:t xml:space="preserve">FSANZ (2004b) </w:t>
      </w:r>
      <w:r w:rsidRPr="004D789B">
        <w:rPr>
          <w:rFonts w:cs="Arial"/>
          <w:szCs w:val="22"/>
        </w:rPr>
        <w:t>Cyanogenic glycosides in cassava and bamboo shoots</w:t>
      </w:r>
      <w:r>
        <w:rPr>
          <w:rFonts w:cs="Arial"/>
          <w:szCs w:val="22"/>
        </w:rPr>
        <w:t>: A h</w:t>
      </w:r>
      <w:r w:rsidRPr="004D789B">
        <w:rPr>
          <w:rFonts w:cs="Arial"/>
          <w:szCs w:val="22"/>
        </w:rPr>
        <w:t xml:space="preserve">uman </w:t>
      </w:r>
      <w:r>
        <w:rPr>
          <w:rFonts w:cs="Arial"/>
          <w:szCs w:val="22"/>
        </w:rPr>
        <w:t>h</w:t>
      </w:r>
      <w:r w:rsidRPr="004D789B">
        <w:rPr>
          <w:rFonts w:cs="Arial"/>
          <w:szCs w:val="22"/>
        </w:rPr>
        <w:t xml:space="preserve">ealth </w:t>
      </w:r>
      <w:r>
        <w:rPr>
          <w:rFonts w:cs="Arial"/>
          <w:szCs w:val="22"/>
        </w:rPr>
        <w:t>r</w:t>
      </w:r>
      <w:r w:rsidRPr="004D789B">
        <w:rPr>
          <w:rFonts w:cs="Arial"/>
          <w:szCs w:val="22"/>
        </w:rPr>
        <w:t xml:space="preserve">isk </w:t>
      </w:r>
      <w:r>
        <w:rPr>
          <w:rFonts w:cs="Arial"/>
          <w:szCs w:val="22"/>
        </w:rPr>
        <w:t>a</w:t>
      </w:r>
      <w:r w:rsidRPr="004D789B">
        <w:rPr>
          <w:rFonts w:cs="Arial"/>
          <w:szCs w:val="22"/>
        </w:rPr>
        <w:t>ssessment</w:t>
      </w:r>
      <w:r>
        <w:rPr>
          <w:rFonts w:cs="Arial"/>
          <w:szCs w:val="22"/>
        </w:rPr>
        <w:t>. Technical report series no. 28. FSANZ, Canberra. Available at:</w:t>
      </w:r>
    </w:p>
    <w:p w:rsidR="004D789B" w:rsidRDefault="000A0E74" w:rsidP="004D789B">
      <w:pPr>
        <w:rPr>
          <w:rFonts w:cs="Arial"/>
          <w:szCs w:val="22"/>
        </w:rPr>
      </w:pPr>
      <w:hyperlink r:id="rId30" w:history="1">
        <w:r w:rsidR="004D789B" w:rsidRPr="00FA02D2">
          <w:rPr>
            <w:rStyle w:val="Hyperlink"/>
          </w:rPr>
          <w:t>http://www.foodstandards.gov.au/publications/Pages/technicalreportserie1338.aspx</w:t>
        </w:r>
      </w:hyperlink>
    </w:p>
    <w:p w:rsidR="004D789B" w:rsidRDefault="004D789B" w:rsidP="004D789B">
      <w:pPr>
        <w:rPr>
          <w:rFonts w:cs="Arial"/>
          <w:szCs w:val="22"/>
        </w:rPr>
      </w:pPr>
    </w:p>
    <w:p w:rsidR="004D789B" w:rsidRDefault="004D789B" w:rsidP="008B5F6A">
      <w:pPr>
        <w:rPr>
          <w:rFonts w:cs="Arial"/>
          <w:szCs w:val="22"/>
        </w:rPr>
      </w:pPr>
    </w:p>
    <w:p w:rsidR="008B5F6A" w:rsidRDefault="008B5F6A" w:rsidP="008B5F6A">
      <w:r w:rsidRPr="00520C36">
        <w:rPr>
          <w:rFonts w:cs="Arial"/>
          <w:szCs w:val="22"/>
        </w:rPr>
        <w:t>FSANZ (2008</w:t>
      </w:r>
      <w:r>
        <w:rPr>
          <w:rFonts w:cs="Arial"/>
          <w:szCs w:val="22"/>
        </w:rPr>
        <w:t>a</w:t>
      </w:r>
      <w:r w:rsidRPr="00520C36">
        <w:rPr>
          <w:rFonts w:cs="Arial"/>
          <w:szCs w:val="22"/>
        </w:rPr>
        <w:t xml:space="preserve">) Proposal P1002 – Hydrocyanic acid in ready-to-eat cassava chips. Assessment Report. 6 March 2008. FSANZ, Canberra. Available at: </w:t>
      </w:r>
      <w:hyperlink r:id="rId31" w:history="1">
        <w:r w:rsidR="00E220BA" w:rsidRPr="00E220BA">
          <w:rPr>
            <w:rStyle w:val="Hyperlink"/>
          </w:rPr>
          <w:t>http://www.foodstandards.gov.au/code/proposals/Pages/proposalp1002hydrocy3848.aspx</w:t>
        </w:r>
      </w:hyperlink>
    </w:p>
    <w:p w:rsidR="008B5F6A" w:rsidRDefault="008B5F6A" w:rsidP="008B5F6A">
      <w:pPr>
        <w:rPr>
          <w:rFonts w:cs="Arial"/>
          <w:szCs w:val="22"/>
        </w:rPr>
      </w:pPr>
    </w:p>
    <w:p w:rsidR="008B5F6A" w:rsidRDefault="008B5F6A" w:rsidP="008B5F6A">
      <w:pPr>
        <w:autoSpaceDE w:val="0"/>
        <w:autoSpaceDN w:val="0"/>
        <w:adjustRightInd w:val="0"/>
      </w:pPr>
      <w:r w:rsidRPr="00900D1D">
        <w:rPr>
          <w:rFonts w:cs="Arial"/>
          <w:bCs/>
          <w:szCs w:val="22"/>
          <w:lang w:eastAsia="en-GB"/>
        </w:rPr>
        <w:t>FSANZ (2008</w:t>
      </w:r>
      <w:r>
        <w:rPr>
          <w:rFonts w:cs="Arial"/>
          <w:bCs/>
          <w:szCs w:val="22"/>
          <w:lang w:eastAsia="en-GB"/>
        </w:rPr>
        <w:t>b</w:t>
      </w:r>
      <w:r w:rsidRPr="00900D1D">
        <w:rPr>
          <w:rFonts w:cs="Arial"/>
          <w:bCs/>
          <w:szCs w:val="22"/>
          <w:lang w:eastAsia="en-GB"/>
        </w:rPr>
        <w:t xml:space="preserve">) Proposal P1002 – Hydrocyanic acid in ready-to-eat cassava chips. Approval Report. 15 September 2008. FSANZ, Canberra. </w:t>
      </w:r>
      <w:r w:rsidRPr="00900D1D">
        <w:rPr>
          <w:rFonts w:cs="Arial"/>
          <w:color w:val="000000"/>
          <w:szCs w:val="22"/>
        </w:rPr>
        <w:t xml:space="preserve">Available at: </w:t>
      </w:r>
      <w:hyperlink r:id="rId32" w:history="1">
        <w:r w:rsidR="00E220BA" w:rsidRPr="00E220BA">
          <w:rPr>
            <w:rStyle w:val="Hyperlink"/>
          </w:rPr>
          <w:t>http://www.foodstandards.gov.au/code/proposals/Pages/proposalp1002hydrocy3848.aspx</w:t>
        </w:r>
      </w:hyperlink>
    </w:p>
    <w:p w:rsidR="00E220BA" w:rsidRPr="00900D1D" w:rsidRDefault="00E220BA" w:rsidP="008B5F6A">
      <w:pPr>
        <w:autoSpaceDE w:val="0"/>
        <w:autoSpaceDN w:val="0"/>
        <w:adjustRightInd w:val="0"/>
        <w:rPr>
          <w:rFonts w:cs="Arial"/>
          <w:bCs/>
          <w:szCs w:val="22"/>
          <w:lang w:eastAsia="en-GB"/>
        </w:rPr>
      </w:pPr>
    </w:p>
    <w:p w:rsidR="00D33562" w:rsidRPr="008B5F6A" w:rsidRDefault="00D33562" w:rsidP="00D33562">
      <w:pPr>
        <w:rPr>
          <w:rFonts w:cs="Arial"/>
          <w:szCs w:val="22"/>
        </w:rPr>
      </w:pPr>
      <w:r w:rsidRPr="008B5F6A">
        <w:rPr>
          <w:rFonts w:cs="Arial"/>
          <w:szCs w:val="22"/>
        </w:rPr>
        <w:t xml:space="preserve">FSANZ (2009) Principles and Practices of dietary exposure assessment for </w:t>
      </w:r>
      <w:r w:rsidR="008B5F6A">
        <w:rPr>
          <w:rFonts w:cs="Arial"/>
          <w:szCs w:val="22"/>
        </w:rPr>
        <w:t>f</w:t>
      </w:r>
      <w:r w:rsidRPr="008B5F6A">
        <w:rPr>
          <w:rFonts w:cs="Arial"/>
          <w:szCs w:val="22"/>
        </w:rPr>
        <w:t xml:space="preserve">ood </w:t>
      </w:r>
      <w:r w:rsidR="008B5F6A">
        <w:rPr>
          <w:rFonts w:cs="Arial"/>
          <w:szCs w:val="22"/>
        </w:rPr>
        <w:t>r</w:t>
      </w:r>
      <w:r w:rsidRPr="008B5F6A">
        <w:rPr>
          <w:rFonts w:cs="Arial"/>
          <w:szCs w:val="22"/>
        </w:rPr>
        <w:t xml:space="preserve">egulatory </w:t>
      </w:r>
      <w:r w:rsidR="008B5F6A">
        <w:rPr>
          <w:rFonts w:cs="Arial"/>
          <w:szCs w:val="22"/>
        </w:rPr>
        <w:t>p</w:t>
      </w:r>
      <w:r w:rsidRPr="008B5F6A">
        <w:rPr>
          <w:rFonts w:cs="Arial"/>
          <w:szCs w:val="22"/>
        </w:rPr>
        <w:t>urposes. FSANZ</w:t>
      </w:r>
      <w:r w:rsidR="00646AD2">
        <w:rPr>
          <w:rFonts w:cs="Arial"/>
          <w:szCs w:val="22"/>
        </w:rPr>
        <w:t>,</w:t>
      </w:r>
      <w:r w:rsidRPr="008B5F6A">
        <w:rPr>
          <w:rFonts w:cs="Arial"/>
          <w:szCs w:val="22"/>
        </w:rPr>
        <w:t xml:space="preserve"> Canberra.</w:t>
      </w:r>
    </w:p>
    <w:p w:rsidR="00D33562" w:rsidRPr="002401EB" w:rsidRDefault="00D33562" w:rsidP="00D33562">
      <w:pPr>
        <w:rPr>
          <w:rFonts w:cs="Arial"/>
        </w:rPr>
      </w:pPr>
    </w:p>
    <w:p w:rsidR="00D33562" w:rsidRPr="00646AD2" w:rsidRDefault="00D33562" w:rsidP="00D33562">
      <w:pPr>
        <w:rPr>
          <w:rFonts w:cs="Arial"/>
          <w:bCs/>
          <w:szCs w:val="22"/>
          <w:lang w:val="en-US"/>
        </w:rPr>
      </w:pPr>
      <w:r w:rsidRPr="00646AD2">
        <w:rPr>
          <w:rFonts w:cs="Arial"/>
          <w:bCs/>
          <w:kern w:val="36"/>
          <w:szCs w:val="22"/>
        </w:rPr>
        <w:t xml:space="preserve">FSANZ (2011) FSANZ warns against consuming raw apricot kernels. </w:t>
      </w:r>
      <w:r w:rsidRPr="00646AD2">
        <w:rPr>
          <w:rFonts w:cs="Arial"/>
          <w:bCs/>
          <w:szCs w:val="22"/>
          <w:lang w:val="en-US"/>
        </w:rPr>
        <w:t xml:space="preserve">4 November 2011. </w:t>
      </w:r>
      <w:hyperlink r:id="rId33" w:history="1">
        <w:r w:rsidRPr="00646AD2">
          <w:rPr>
            <w:rStyle w:val="Hyperlink"/>
            <w:bCs/>
            <w:lang w:val="en-US"/>
          </w:rPr>
          <w:t>http://www.foodstandards.gov.au/media/Pages/mediareleases/mediareleases2011/fsanzwarnsagainstcon5338.aspx</w:t>
        </w:r>
      </w:hyperlink>
      <w:r w:rsidRPr="00646AD2">
        <w:rPr>
          <w:rFonts w:cs="Arial"/>
          <w:bCs/>
          <w:szCs w:val="22"/>
          <w:lang w:val="en-US"/>
        </w:rPr>
        <w:t xml:space="preserve"> </w:t>
      </w:r>
    </w:p>
    <w:p w:rsidR="00D33562" w:rsidRPr="00646AD2" w:rsidRDefault="00D33562" w:rsidP="00D33562">
      <w:pPr>
        <w:rPr>
          <w:rFonts w:cs="Arial"/>
          <w:bCs/>
          <w:szCs w:val="22"/>
          <w:lang w:val="en-US"/>
        </w:rPr>
      </w:pPr>
    </w:p>
    <w:p w:rsidR="00646AD2" w:rsidRDefault="00646AD2" w:rsidP="00646AD2">
      <w:pPr>
        <w:rPr>
          <w:rFonts w:cs="Arial"/>
          <w:szCs w:val="22"/>
        </w:rPr>
      </w:pPr>
      <w:r w:rsidRPr="00520C36">
        <w:rPr>
          <w:rFonts w:cs="Arial"/>
          <w:szCs w:val="22"/>
        </w:rPr>
        <w:t>FSANZ (201</w:t>
      </w:r>
      <w:r>
        <w:rPr>
          <w:rFonts w:cs="Arial"/>
          <w:szCs w:val="22"/>
        </w:rPr>
        <w:t>2a</w:t>
      </w:r>
      <w:r w:rsidRPr="00520C36">
        <w:rPr>
          <w:rFonts w:cs="Arial"/>
          <w:szCs w:val="22"/>
        </w:rPr>
        <w:t>) Australia New Zealand Food Stand</w:t>
      </w:r>
      <w:r>
        <w:rPr>
          <w:rFonts w:cs="Arial"/>
          <w:szCs w:val="22"/>
        </w:rPr>
        <w:t>ards Code. Up to and including a</w:t>
      </w:r>
      <w:r w:rsidRPr="00520C36">
        <w:rPr>
          <w:rFonts w:cs="Arial"/>
          <w:szCs w:val="22"/>
        </w:rPr>
        <w:t>mendment 1</w:t>
      </w:r>
      <w:r>
        <w:rPr>
          <w:rFonts w:cs="Arial"/>
          <w:szCs w:val="22"/>
        </w:rPr>
        <w:t>35</w:t>
      </w:r>
      <w:r w:rsidRPr="00520C36">
        <w:rPr>
          <w:rFonts w:cs="Arial"/>
          <w:szCs w:val="22"/>
        </w:rPr>
        <w:t>. FSANZ, Canberra.</w:t>
      </w:r>
    </w:p>
    <w:p w:rsidR="00D33562" w:rsidRPr="00646AD2" w:rsidRDefault="00D33562" w:rsidP="00D33562">
      <w:pPr>
        <w:autoSpaceDE w:val="0"/>
        <w:autoSpaceDN w:val="0"/>
        <w:adjustRightInd w:val="0"/>
        <w:rPr>
          <w:rFonts w:cs="Arial"/>
          <w:bCs/>
          <w:szCs w:val="22"/>
          <w:lang w:eastAsia="en-GB"/>
        </w:rPr>
      </w:pPr>
    </w:p>
    <w:p w:rsidR="00D33562" w:rsidRPr="00646AD2" w:rsidRDefault="00D33562" w:rsidP="00D33562">
      <w:pPr>
        <w:autoSpaceDE w:val="0"/>
        <w:autoSpaceDN w:val="0"/>
        <w:adjustRightInd w:val="0"/>
        <w:rPr>
          <w:rFonts w:cs="Arial"/>
          <w:bCs/>
          <w:szCs w:val="22"/>
          <w:highlight w:val="yellow"/>
          <w:lang w:eastAsia="en-GB"/>
        </w:rPr>
      </w:pPr>
      <w:r w:rsidRPr="00646AD2">
        <w:rPr>
          <w:rFonts w:cs="Arial"/>
          <w:bCs/>
          <w:szCs w:val="22"/>
          <w:lang w:eastAsia="en-GB"/>
        </w:rPr>
        <w:t xml:space="preserve">FSANZ (2012b) </w:t>
      </w:r>
      <w:r w:rsidRPr="00646AD2">
        <w:rPr>
          <w:rFonts w:cs="Arial"/>
          <w:szCs w:val="22"/>
          <w:lang w:eastAsia="en-GB"/>
        </w:rPr>
        <w:t xml:space="preserve">Hydrocyanic </w:t>
      </w:r>
      <w:r w:rsidR="00646AD2">
        <w:rPr>
          <w:rFonts w:cs="Arial"/>
          <w:szCs w:val="22"/>
          <w:lang w:eastAsia="en-GB"/>
        </w:rPr>
        <w:t>a</w:t>
      </w:r>
      <w:r w:rsidRPr="00646AD2">
        <w:rPr>
          <w:rFonts w:cs="Arial"/>
          <w:szCs w:val="22"/>
          <w:lang w:eastAsia="en-GB"/>
        </w:rPr>
        <w:t xml:space="preserve">cid in </w:t>
      </w:r>
      <w:r w:rsidR="00646AD2">
        <w:rPr>
          <w:rFonts w:cs="Arial"/>
          <w:szCs w:val="22"/>
          <w:lang w:eastAsia="en-GB"/>
        </w:rPr>
        <w:t>apricot k</w:t>
      </w:r>
      <w:r w:rsidRPr="00646AD2">
        <w:rPr>
          <w:rFonts w:cs="Arial"/>
          <w:szCs w:val="22"/>
          <w:lang w:eastAsia="en-GB"/>
        </w:rPr>
        <w:t xml:space="preserve">ernels &amp; </w:t>
      </w:r>
      <w:r w:rsidR="00646AD2">
        <w:rPr>
          <w:rFonts w:cs="Arial"/>
          <w:szCs w:val="22"/>
          <w:lang w:eastAsia="en-GB"/>
        </w:rPr>
        <w:t>o</w:t>
      </w:r>
      <w:r w:rsidRPr="00646AD2">
        <w:rPr>
          <w:rFonts w:cs="Arial"/>
          <w:szCs w:val="22"/>
          <w:lang w:eastAsia="en-GB"/>
        </w:rPr>
        <w:t xml:space="preserve">ther </w:t>
      </w:r>
      <w:r w:rsidR="00646AD2">
        <w:rPr>
          <w:rFonts w:cs="Arial"/>
          <w:szCs w:val="22"/>
          <w:lang w:eastAsia="en-GB"/>
        </w:rPr>
        <w:t>f</w:t>
      </w:r>
      <w:r w:rsidRPr="00646AD2">
        <w:rPr>
          <w:rFonts w:cs="Arial"/>
          <w:szCs w:val="22"/>
          <w:lang w:eastAsia="en-GB"/>
        </w:rPr>
        <w:t xml:space="preserve">oods. Administrative </w:t>
      </w:r>
      <w:r w:rsidR="00646AD2">
        <w:rPr>
          <w:rFonts w:cs="Arial"/>
          <w:szCs w:val="22"/>
          <w:lang w:eastAsia="en-GB"/>
        </w:rPr>
        <w:t>a</w:t>
      </w:r>
      <w:r w:rsidRPr="00646AD2">
        <w:rPr>
          <w:rFonts w:cs="Arial"/>
          <w:szCs w:val="22"/>
          <w:lang w:eastAsia="en-GB"/>
        </w:rPr>
        <w:t xml:space="preserve">ssessment </w:t>
      </w:r>
      <w:r w:rsidR="00646AD2">
        <w:rPr>
          <w:rFonts w:cs="Arial"/>
          <w:szCs w:val="22"/>
          <w:lang w:eastAsia="en-GB"/>
        </w:rPr>
        <w:t>r</w:t>
      </w:r>
      <w:r w:rsidRPr="00646AD2">
        <w:rPr>
          <w:rFonts w:cs="Arial"/>
          <w:szCs w:val="22"/>
          <w:lang w:eastAsia="en-GB"/>
        </w:rPr>
        <w:t xml:space="preserve">eport. FSANZ, Canberra. </w:t>
      </w:r>
    </w:p>
    <w:p w:rsidR="00E220BA" w:rsidRDefault="000A0E74" w:rsidP="00D33562">
      <w:pPr>
        <w:rPr>
          <w:rStyle w:val="Hyperlink"/>
        </w:rPr>
      </w:pPr>
      <w:hyperlink r:id="rId34" w:history="1">
        <w:r w:rsidR="00E220BA" w:rsidRPr="00E220BA">
          <w:rPr>
            <w:rStyle w:val="Hyperlink"/>
          </w:rPr>
          <w:t>http://www.foodstandards.gov.au/code/proposals/Pages/proposalp1016hydrocy5438.aspx</w:t>
        </w:r>
      </w:hyperlink>
    </w:p>
    <w:p w:rsidR="002B5BD7" w:rsidRDefault="002B5BD7" w:rsidP="00D33562">
      <w:pPr>
        <w:rPr>
          <w:rStyle w:val="Hyperlink"/>
        </w:rPr>
      </w:pPr>
    </w:p>
    <w:p w:rsidR="002B5BD7" w:rsidRPr="00E220BA" w:rsidRDefault="002B5BD7" w:rsidP="00D33562">
      <w:pPr>
        <w:rPr>
          <w:rFonts w:cs="Arial"/>
          <w:szCs w:val="22"/>
        </w:rPr>
      </w:pPr>
      <w:r w:rsidRPr="002B5BD7">
        <w:rPr>
          <w:rFonts w:cs="Arial"/>
          <w:szCs w:val="22"/>
        </w:rPr>
        <w:t>Haorongbam S, Elangbam D, Nirmala C (2009) Cyanogenic glucosides in juvenile edible shoots of some Indian bamboos. 8th World Bamboo Conference</w:t>
      </w:r>
      <w:r>
        <w:rPr>
          <w:rFonts w:cs="Arial"/>
          <w:szCs w:val="22"/>
        </w:rPr>
        <w:t>.</w:t>
      </w:r>
      <w:r w:rsidRPr="002B5BD7">
        <w:rPr>
          <w:rFonts w:cs="Arial"/>
          <w:szCs w:val="22"/>
        </w:rPr>
        <w:t xml:space="preserve"> Bangkok</w:t>
      </w:r>
      <w:r>
        <w:rPr>
          <w:rFonts w:cs="Arial"/>
          <w:szCs w:val="22"/>
        </w:rPr>
        <w:t>,</w:t>
      </w:r>
      <w:r w:rsidRPr="002B5BD7">
        <w:rPr>
          <w:rFonts w:cs="Arial"/>
          <w:szCs w:val="22"/>
        </w:rPr>
        <w:t xml:space="preserve"> Thailand.</w:t>
      </w:r>
    </w:p>
    <w:p w:rsidR="00D33562" w:rsidRPr="00646AD2" w:rsidRDefault="00D33562" w:rsidP="00D33562">
      <w:pPr>
        <w:rPr>
          <w:rFonts w:cs="Arial"/>
          <w:szCs w:val="22"/>
          <w:highlight w:val="yellow"/>
        </w:rPr>
      </w:pPr>
      <w:r w:rsidRPr="00646AD2">
        <w:rPr>
          <w:rFonts w:cs="Arial"/>
          <w:szCs w:val="22"/>
          <w:highlight w:val="yellow"/>
        </w:rPr>
        <w:t xml:space="preserve"> </w:t>
      </w:r>
    </w:p>
    <w:p w:rsidR="00646AD2" w:rsidRDefault="00646AD2" w:rsidP="00646AD2">
      <w:pPr>
        <w:rPr>
          <w:rFonts w:cs="Arial"/>
          <w:szCs w:val="22"/>
          <w:highlight w:val="yellow"/>
        </w:rPr>
      </w:pPr>
      <w:r w:rsidRPr="00F73538">
        <w:rPr>
          <w:rFonts w:cs="Arial"/>
          <w:szCs w:val="22"/>
        </w:rPr>
        <w:t>Haque MR, Bradbury JH (2002) Total cyanide determination of plants and foods using the picrate and acid hydrolysis methods. Food Chemistry</w:t>
      </w:r>
      <w:r>
        <w:rPr>
          <w:rFonts w:cs="Arial"/>
          <w:szCs w:val="22"/>
        </w:rPr>
        <w:t xml:space="preserve"> 77(1):1</w:t>
      </w:r>
      <w:r w:rsidRPr="00F73538">
        <w:rPr>
          <w:rFonts w:cs="Arial"/>
          <w:szCs w:val="22"/>
        </w:rPr>
        <w:t>07-114.</w:t>
      </w:r>
    </w:p>
    <w:p w:rsidR="002926EA" w:rsidRDefault="002926EA" w:rsidP="002926EA">
      <w:pPr>
        <w:rPr>
          <w:rFonts w:cs="Arial"/>
          <w:szCs w:val="22"/>
        </w:rPr>
      </w:pPr>
    </w:p>
    <w:p w:rsidR="002926EA" w:rsidRDefault="002926EA" w:rsidP="002926EA">
      <w:pPr>
        <w:rPr>
          <w:rFonts w:cs="Arial"/>
          <w:szCs w:val="22"/>
        </w:rPr>
      </w:pPr>
      <w:r>
        <w:rPr>
          <w:rFonts w:cs="Arial"/>
          <w:szCs w:val="22"/>
        </w:rPr>
        <w:t xml:space="preserve">Holzbecher </w:t>
      </w:r>
      <w:r w:rsidRPr="00CF422D">
        <w:rPr>
          <w:rFonts w:cs="Arial"/>
          <w:szCs w:val="22"/>
        </w:rPr>
        <w:t>MD</w:t>
      </w:r>
      <w:r>
        <w:rPr>
          <w:rFonts w:cs="Arial"/>
          <w:szCs w:val="22"/>
        </w:rPr>
        <w:t xml:space="preserve">, </w:t>
      </w:r>
      <w:r w:rsidRPr="00CF422D">
        <w:rPr>
          <w:rFonts w:cs="Arial"/>
          <w:szCs w:val="22"/>
        </w:rPr>
        <w:t>Moss MA</w:t>
      </w:r>
      <w:r>
        <w:rPr>
          <w:rFonts w:cs="Arial"/>
          <w:szCs w:val="22"/>
        </w:rPr>
        <w:t xml:space="preserve">, </w:t>
      </w:r>
      <w:r w:rsidRPr="00CF422D">
        <w:rPr>
          <w:rFonts w:cs="Arial"/>
          <w:szCs w:val="22"/>
        </w:rPr>
        <w:t>Ellenberger HA</w:t>
      </w:r>
      <w:r>
        <w:rPr>
          <w:rFonts w:cs="Arial"/>
          <w:szCs w:val="22"/>
        </w:rPr>
        <w:t xml:space="preserve"> (1984) </w:t>
      </w:r>
      <w:r w:rsidRPr="00CF422D">
        <w:rPr>
          <w:rFonts w:cs="Arial"/>
          <w:szCs w:val="22"/>
        </w:rPr>
        <w:t>The cyanide content of laetrile preparations, apricot, peach and apple seeds.</w:t>
      </w:r>
      <w:r>
        <w:rPr>
          <w:rFonts w:cs="Arial"/>
          <w:szCs w:val="22"/>
        </w:rPr>
        <w:t xml:space="preserve"> Journal o</w:t>
      </w:r>
      <w:r w:rsidRPr="00CF422D">
        <w:rPr>
          <w:rFonts w:cs="Arial"/>
          <w:szCs w:val="22"/>
        </w:rPr>
        <w:t>f Toxicology. Clinical Toxicology</w:t>
      </w:r>
      <w:r>
        <w:rPr>
          <w:rFonts w:cs="Arial"/>
          <w:szCs w:val="22"/>
        </w:rPr>
        <w:t xml:space="preserve"> </w:t>
      </w:r>
      <w:r w:rsidRPr="00CF422D">
        <w:rPr>
          <w:rFonts w:cs="Arial"/>
          <w:szCs w:val="22"/>
        </w:rPr>
        <w:t>22 (4)</w:t>
      </w:r>
      <w:r>
        <w:rPr>
          <w:rFonts w:cs="Arial"/>
          <w:szCs w:val="22"/>
        </w:rPr>
        <w:t>:</w:t>
      </w:r>
      <w:r w:rsidRPr="00CF422D">
        <w:rPr>
          <w:rFonts w:cs="Arial"/>
          <w:szCs w:val="22"/>
        </w:rPr>
        <w:t xml:space="preserve"> 341-</w:t>
      </w:r>
      <w:r>
        <w:rPr>
          <w:rFonts w:cs="Arial"/>
          <w:szCs w:val="22"/>
        </w:rPr>
        <w:t>34</w:t>
      </w:r>
      <w:r w:rsidRPr="00CF422D">
        <w:rPr>
          <w:rFonts w:cs="Arial"/>
          <w:szCs w:val="22"/>
        </w:rPr>
        <w:t>7.</w:t>
      </w:r>
    </w:p>
    <w:p w:rsidR="00646AD2" w:rsidRDefault="00646AD2" w:rsidP="00646AD2">
      <w:pPr>
        <w:rPr>
          <w:rFonts w:cs="Arial"/>
          <w:szCs w:val="22"/>
        </w:rPr>
      </w:pPr>
    </w:p>
    <w:p w:rsidR="00646AD2" w:rsidRDefault="00646AD2" w:rsidP="00646AD2">
      <w:pPr>
        <w:rPr>
          <w:rFonts w:cs="Arial"/>
          <w:szCs w:val="22"/>
        </w:rPr>
      </w:pPr>
      <w:r w:rsidRPr="00694A39">
        <w:rPr>
          <w:rFonts w:cs="Arial"/>
          <w:szCs w:val="22"/>
        </w:rPr>
        <w:t>Joint FAO/WHO Expert Committee on Food Additives (1992) Evaluation of certain food additives and naturally occur</w:t>
      </w:r>
      <w:r>
        <w:rPr>
          <w:rFonts w:cs="Arial"/>
          <w:szCs w:val="22"/>
        </w:rPr>
        <w:t>r</w:t>
      </w:r>
      <w:r w:rsidRPr="00694A39">
        <w:rPr>
          <w:rFonts w:cs="Arial"/>
          <w:szCs w:val="22"/>
        </w:rPr>
        <w:t>ing toxicants: thirty-ninth report of the Joint FAO/WHO Expert Committee on Food Additives</w:t>
      </w:r>
      <w:r>
        <w:rPr>
          <w:rFonts w:cs="Arial"/>
          <w:szCs w:val="22"/>
        </w:rPr>
        <w:t>. WHO technical report series 828, Geneva.</w:t>
      </w:r>
      <w:r w:rsidRPr="00694A39">
        <w:rPr>
          <w:rFonts w:cs="Arial"/>
          <w:szCs w:val="22"/>
        </w:rPr>
        <w:t xml:space="preserve"> </w:t>
      </w:r>
    </w:p>
    <w:p w:rsidR="00646AD2" w:rsidRDefault="00646AD2" w:rsidP="00646AD2">
      <w:pPr>
        <w:rPr>
          <w:rFonts w:cs="Arial"/>
          <w:szCs w:val="22"/>
        </w:rPr>
      </w:pPr>
    </w:p>
    <w:p w:rsidR="00646AD2" w:rsidRDefault="00646AD2" w:rsidP="00646AD2">
      <w:pPr>
        <w:rPr>
          <w:rFonts w:cs="Arial"/>
          <w:szCs w:val="22"/>
        </w:rPr>
      </w:pPr>
      <w:r w:rsidRPr="00694A39">
        <w:rPr>
          <w:rFonts w:cs="Arial"/>
          <w:szCs w:val="22"/>
        </w:rPr>
        <w:t>Joint FAO/WHO Expert Committee on Food Additives (</w:t>
      </w:r>
      <w:r>
        <w:rPr>
          <w:rFonts w:cs="Arial"/>
          <w:szCs w:val="22"/>
        </w:rPr>
        <w:t>2011</w:t>
      </w:r>
      <w:r w:rsidRPr="00694A39">
        <w:rPr>
          <w:rFonts w:cs="Arial"/>
          <w:szCs w:val="22"/>
        </w:rPr>
        <w:t xml:space="preserve">) </w:t>
      </w:r>
      <w:r>
        <w:rPr>
          <w:rFonts w:cs="Arial"/>
          <w:szCs w:val="22"/>
        </w:rPr>
        <w:t xml:space="preserve">Safety evaluation of certain food </w:t>
      </w:r>
      <w:r w:rsidRPr="00694A39">
        <w:rPr>
          <w:rFonts w:cs="Arial"/>
          <w:szCs w:val="22"/>
        </w:rPr>
        <w:t>additives and</w:t>
      </w:r>
      <w:r>
        <w:rPr>
          <w:rFonts w:cs="Arial"/>
          <w:szCs w:val="22"/>
        </w:rPr>
        <w:t xml:space="preserve"> contaminants</w:t>
      </w:r>
      <w:r w:rsidRPr="00694A39">
        <w:rPr>
          <w:rFonts w:cs="Arial"/>
          <w:szCs w:val="22"/>
        </w:rPr>
        <w:t xml:space="preserve">: </w:t>
      </w:r>
      <w:r>
        <w:rPr>
          <w:rFonts w:cs="Arial"/>
          <w:szCs w:val="22"/>
        </w:rPr>
        <w:t xml:space="preserve">prepared by the seventy-fourth meeting </w:t>
      </w:r>
      <w:r w:rsidRPr="00694A39">
        <w:rPr>
          <w:rFonts w:cs="Arial"/>
          <w:szCs w:val="22"/>
        </w:rPr>
        <w:t>of the Joint FAO/WHO Expert Committee on Food Additives</w:t>
      </w:r>
      <w:r>
        <w:rPr>
          <w:rFonts w:cs="Arial"/>
          <w:szCs w:val="22"/>
        </w:rPr>
        <w:t>. WHO food additives series 65, Geneva.</w:t>
      </w:r>
      <w:r w:rsidRPr="00694A39">
        <w:rPr>
          <w:rFonts w:cs="Arial"/>
          <w:szCs w:val="22"/>
        </w:rPr>
        <w:t xml:space="preserve"> </w:t>
      </w:r>
    </w:p>
    <w:p w:rsidR="00646AD2" w:rsidRDefault="00646AD2" w:rsidP="00646AD2">
      <w:pPr>
        <w:rPr>
          <w:rFonts w:cs="Arial"/>
          <w:szCs w:val="22"/>
        </w:rPr>
      </w:pPr>
    </w:p>
    <w:p w:rsidR="00646AD2" w:rsidRDefault="00646AD2" w:rsidP="00646AD2">
      <w:pPr>
        <w:rPr>
          <w:rFonts w:cs="Arial"/>
          <w:szCs w:val="22"/>
        </w:rPr>
      </w:pPr>
      <w:r>
        <w:rPr>
          <w:rFonts w:cs="Arial"/>
          <w:szCs w:val="22"/>
        </w:rPr>
        <w:t xml:space="preserve">Jones D A (1998) </w:t>
      </w:r>
      <w:r w:rsidRPr="00D646E8">
        <w:rPr>
          <w:rFonts w:cs="Arial"/>
          <w:szCs w:val="22"/>
        </w:rPr>
        <w:t>W</w:t>
      </w:r>
      <w:r>
        <w:rPr>
          <w:rFonts w:cs="Arial"/>
          <w:szCs w:val="22"/>
        </w:rPr>
        <w:t xml:space="preserve">hy are so many food plants cyanogenic? </w:t>
      </w:r>
      <w:r w:rsidRPr="00CF170F">
        <w:rPr>
          <w:rFonts w:cs="Arial"/>
          <w:szCs w:val="22"/>
        </w:rPr>
        <w:t>Phytoche</w:t>
      </w:r>
      <w:r>
        <w:rPr>
          <w:rFonts w:cs="Arial"/>
          <w:szCs w:val="22"/>
        </w:rPr>
        <w:t>m</w:t>
      </w:r>
      <w:r w:rsidRPr="00CF170F">
        <w:rPr>
          <w:rFonts w:cs="Arial"/>
          <w:szCs w:val="22"/>
        </w:rPr>
        <w:t>istry 47</w:t>
      </w:r>
      <w:r>
        <w:rPr>
          <w:rFonts w:cs="Arial"/>
          <w:szCs w:val="22"/>
        </w:rPr>
        <w:t>(</w:t>
      </w:r>
      <w:r w:rsidRPr="00CF170F">
        <w:rPr>
          <w:rFonts w:cs="Arial"/>
          <w:szCs w:val="22"/>
        </w:rPr>
        <w:t>2</w:t>
      </w:r>
      <w:r>
        <w:rPr>
          <w:rFonts w:cs="Arial"/>
          <w:szCs w:val="22"/>
        </w:rPr>
        <w:t xml:space="preserve">): </w:t>
      </w:r>
      <w:r w:rsidRPr="00CF170F">
        <w:rPr>
          <w:rFonts w:cs="Arial"/>
          <w:szCs w:val="22"/>
        </w:rPr>
        <w:t>155-162</w:t>
      </w:r>
      <w:r w:rsidR="00FB216A">
        <w:rPr>
          <w:rFonts w:cs="Arial"/>
          <w:szCs w:val="22"/>
        </w:rPr>
        <w:t>.</w:t>
      </w:r>
    </w:p>
    <w:p w:rsidR="00646AD2" w:rsidRDefault="00646AD2" w:rsidP="00646AD2">
      <w:pPr>
        <w:tabs>
          <w:tab w:val="left" w:pos="1884"/>
        </w:tabs>
        <w:rPr>
          <w:rFonts w:cs="Arial"/>
          <w:szCs w:val="22"/>
        </w:rPr>
      </w:pPr>
      <w:r>
        <w:rPr>
          <w:rFonts w:cs="Arial"/>
          <w:szCs w:val="22"/>
        </w:rPr>
        <w:tab/>
      </w:r>
    </w:p>
    <w:p w:rsidR="00646AD2" w:rsidRPr="00A431E2" w:rsidRDefault="00646AD2" w:rsidP="00646AD2">
      <w:pPr>
        <w:rPr>
          <w:rFonts w:cs="Arial"/>
          <w:szCs w:val="22"/>
        </w:rPr>
      </w:pPr>
      <w:r w:rsidRPr="00A431E2">
        <w:rPr>
          <w:rFonts w:cs="Arial"/>
          <w:szCs w:val="22"/>
        </w:rPr>
        <w:t>Karkocha I (1973) Semiquantitative method of determination of hydrogen cyanide in bitter and sweet almonds. Annales of the National Institute of Hygiene (in Polish) 24(6): 703-705.</w:t>
      </w:r>
    </w:p>
    <w:p w:rsidR="00646AD2" w:rsidRDefault="00646AD2" w:rsidP="00646AD2">
      <w:pPr>
        <w:rPr>
          <w:rFonts w:cs="Arial"/>
          <w:szCs w:val="22"/>
        </w:rPr>
      </w:pPr>
    </w:p>
    <w:p w:rsidR="00646AD2" w:rsidRDefault="00646AD2" w:rsidP="00646AD2">
      <w:pPr>
        <w:rPr>
          <w:rFonts w:cs="Arial"/>
          <w:szCs w:val="22"/>
        </w:rPr>
      </w:pPr>
      <w:r w:rsidRPr="00524D81">
        <w:rPr>
          <w:rFonts w:cs="Arial"/>
          <w:szCs w:val="22"/>
        </w:rPr>
        <w:t>Kawamura Y</w:t>
      </w:r>
      <w:r>
        <w:rPr>
          <w:rFonts w:cs="Arial"/>
          <w:szCs w:val="22"/>
        </w:rPr>
        <w:t>,</w:t>
      </w:r>
      <w:r w:rsidRPr="00524D81">
        <w:rPr>
          <w:rFonts w:cs="Arial"/>
          <w:szCs w:val="22"/>
        </w:rPr>
        <w:t xml:space="preserve"> Hikidi S</w:t>
      </w:r>
      <w:r>
        <w:rPr>
          <w:rFonts w:cs="Arial"/>
          <w:szCs w:val="22"/>
        </w:rPr>
        <w:t>,</w:t>
      </w:r>
      <w:r w:rsidRPr="00524D81">
        <w:rPr>
          <w:rFonts w:cs="Arial"/>
          <w:szCs w:val="22"/>
        </w:rPr>
        <w:t xml:space="preserve"> Maruyama K</w:t>
      </w:r>
      <w:r>
        <w:rPr>
          <w:rFonts w:cs="Arial"/>
          <w:szCs w:val="22"/>
        </w:rPr>
        <w:t>,</w:t>
      </w:r>
      <w:r w:rsidRPr="00524D81">
        <w:rPr>
          <w:rFonts w:cs="Arial"/>
          <w:szCs w:val="22"/>
        </w:rPr>
        <w:t xml:space="preserve"> Uchiyama S</w:t>
      </w:r>
      <w:r>
        <w:rPr>
          <w:rFonts w:cs="Arial"/>
          <w:szCs w:val="22"/>
        </w:rPr>
        <w:t>,</w:t>
      </w:r>
      <w:r w:rsidRPr="00524D81">
        <w:rPr>
          <w:rFonts w:cs="Arial"/>
          <w:szCs w:val="22"/>
        </w:rPr>
        <w:t xml:space="preserve"> Saito Y</w:t>
      </w:r>
      <w:r>
        <w:rPr>
          <w:rFonts w:cs="Arial"/>
          <w:szCs w:val="22"/>
        </w:rPr>
        <w:t xml:space="preserve"> (1993) </w:t>
      </w:r>
      <w:r w:rsidRPr="00524D81">
        <w:rPr>
          <w:rFonts w:cs="Arial"/>
          <w:szCs w:val="22"/>
        </w:rPr>
        <w:t>Fate of cyanogenic compounds in beans during the manufacture of bean paste.</w:t>
      </w:r>
      <w:r>
        <w:rPr>
          <w:rFonts w:cs="Arial"/>
          <w:szCs w:val="22"/>
        </w:rPr>
        <w:t xml:space="preserve"> </w:t>
      </w:r>
      <w:r w:rsidRPr="00524D81">
        <w:rPr>
          <w:rFonts w:cs="Arial"/>
          <w:szCs w:val="22"/>
        </w:rPr>
        <w:t xml:space="preserve">Journal of the </w:t>
      </w:r>
      <w:r>
        <w:rPr>
          <w:rFonts w:cs="Arial"/>
          <w:szCs w:val="22"/>
        </w:rPr>
        <w:t xml:space="preserve">Food Hygienic Society of Japan </w:t>
      </w:r>
      <w:r w:rsidRPr="00524D81">
        <w:rPr>
          <w:rFonts w:cs="Arial"/>
          <w:szCs w:val="22"/>
        </w:rPr>
        <w:t>34 (1)</w:t>
      </w:r>
      <w:r>
        <w:rPr>
          <w:rFonts w:cs="Arial"/>
          <w:szCs w:val="22"/>
        </w:rPr>
        <w:t>:</w:t>
      </w:r>
      <w:r w:rsidRPr="00524D81">
        <w:rPr>
          <w:rFonts w:cs="Arial"/>
          <w:szCs w:val="22"/>
        </w:rPr>
        <w:t xml:space="preserve"> 80-83.</w:t>
      </w:r>
    </w:p>
    <w:p w:rsidR="00646AD2" w:rsidRDefault="00646AD2" w:rsidP="00646AD2">
      <w:pPr>
        <w:rPr>
          <w:rFonts w:cs="Arial"/>
          <w:szCs w:val="22"/>
        </w:rPr>
      </w:pPr>
    </w:p>
    <w:p w:rsidR="00EC3E5A" w:rsidRDefault="00EC3E5A" w:rsidP="00646AD2">
      <w:pPr>
        <w:rPr>
          <w:rFonts w:cs="Arial"/>
          <w:szCs w:val="22"/>
        </w:rPr>
      </w:pPr>
      <w:r w:rsidRPr="00EC3E5A">
        <w:rPr>
          <w:rFonts w:cs="Arial"/>
          <w:szCs w:val="22"/>
        </w:rPr>
        <w:t>Kobaisy M, Oomah BD, Mazza G (1996) Determination of cyanogenic glycosides in flaxseed by barbituric acid-Pyridine, Pyridine-Pyrazolone, and High-Performance Liquid Chromatography Methods. Journal of Agricultural and Food Chemistry 44(10): 3178-3181.</w:t>
      </w:r>
    </w:p>
    <w:p w:rsidR="00EC3E5A" w:rsidRPr="00FB216A" w:rsidRDefault="00EC3E5A" w:rsidP="00646AD2">
      <w:pPr>
        <w:rPr>
          <w:rFonts w:cs="Arial"/>
          <w:szCs w:val="22"/>
        </w:rPr>
      </w:pPr>
    </w:p>
    <w:p w:rsidR="00922B91" w:rsidRPr="00922B91" w:rsidRDefault="00922B91" w:rsidP="00922B91">
      <w:pPr>
        <w:autoSpaceDE w:val="0"/>
        <w:autoSpaceDN w:val="0"/>
        <w:adjustRightInd w:val="0"/>
        <w:rPr>
          <w:rFonts w:cs="Arial"/>
          <w:szCs w:val="22"/>
          <w:lang w:val="en-US" w:eastAsia="en-GB"/>
        </w:rPr>
      </w:pPr>
      <w:r w:rsidRPr="00922B91">
        <w:rPr>
          <w:rFonts w:cs="Arial"/>
          <w:szCs w:val="22"/>
          <w:lang w:val="en-US" w:eastAsia="en-GB"/>
        </w:rPr>
        <w:t xml:space="preserve">Lasch </w:t>
      </w:r>
      <w:r w:rsidR="00DF7757">
        <w:rPr>
          <w:rFonts w:cs="Arial"/>
          <w:szCs w:val="22"/>
          <w:lang w:val="en-US" w:eastAsia="en-GB"/>
        </w:rPr>
        <w:t xml:space="preserve">E </w:t>
      </w:r>
      <w:r w:rsidRPr="00922B91">
        <w:rPr>
          <w:rFonts w:cs="Arial"/>
          <w:szCs w:val="22"/>
          <w:lang w:val="en-US" w:eastAsia="en-GB"/>
        </w:rPr>
        <w:t>et al (1981) Multiple cases of cyanide poisoning by apricot kernels in children from Gaza. Pediatrics 68: 5-7</w:t>
      </w:r>
      <w:r w:rsidR="00E37F33">
        <w:rPr>
          <w:rFonts w:cs="Arial"/>
          <w:szCs w:val="22"/>
          <w:lang w:val="en-US" w:eastAsia="en-GB"/>
        </w:rPr>
        <w:t>.</w:t>
      </w:r>
    </w:p>
    <w:p w:rsidR="00922B91" w:rsidRPr="00922B91" w:rsidRDefault="00922B91" w:rsidP="00922B91">
      <w:pPr>
        <w:autoSpaceDE w:val="0"/>
        <w:autoSpaceDN w:val="0"/>
        <w:adjustRightInd w:val="0"/>
        <w:rPr>
          <w:rFonts w:cs="Arial"/>
          <w:szCs w:val="22"/>
          <w:lang w:val="en-US" w:eastAsia="en-GB"/>
        </w:rPr>
      </w:pPr>
    </w:p>
    <w:p w:rsidR="00D33562" w:rsidRPr="00FB216A" w:rsidRDefault="00D33562" w:rsidP="00922B91">
      <w:pPr>
        <w:autoSpaceDE w:val="0"/>
        <w:autoSpaceDN w:val="0"/>
        <w:adjustRightInd w:val="0"/>
        <w:rPr>
          <w:rFonts w:cs="Arial"/>
          <w:szCs w:val="22"/>
          <w:lang w:val="en-US" w:eastAsia="en-GB"/>
        </w:rPr>
      </w:pPr>
      <w:r w:rsidRPr="00FB216A">
        <w:rPr>
          <w:rFonts w:cs="Arial"/>
          <w:szCs w:val="22"/>
          <w:lang w:val="en-US" w:eastAsia="en-GB"/>
        </w:rPr>
        <w:t>McLennan</w:t>
      </w:r>
      <w:r w:rsidR="00FB216A">
        <w:rPr>
          <w:rFonts w:cs="Arial"/>
          <w:szCs w:val="22"/>
          <w:lang w:val="en-US" w:eastAsia="en-GB"/>
        </w:rPr>
        <w:t xml:space="preserve"> W,</w:t>
      </w:r>
      <w:r w:rsidRPr="00FB216A">
        <w:rPr>
          <w:rFonts w:cs="Arial"/>
          <w:szCs w:val="22"/>
          <w:lang w:val="en-US" w:eastAsia="en-GB"/>
        </w:rPr>
        <w:t xml:space="preserve"> and Podger A (1997) </w:t>
      </w:r>
      <w:r w:rsidRPr="00FB216A">
        <w:rPr>
          <w:rFonts w:cs="Arial"/>
          <w:iCs/>
          <w:szCs w:val="22"/>
          <w:lang w:val="en-US" w:eastAsia="en-GB"/>
        </w:rPr>
        <w:t xml:space="preserve">National Nutrition Survey </w:t>
      </w:r>
      <w:r w:rsidR="00FB216A">
        <w:rPr>
          <w:rFonts w:cs="Arial"/>
          <w:iCs/>
          <w:szCs w:val="22"/>
          <w:lang w:val="en-US" w:eastAsia="en-GB"/>
        </w:rPr>
        <w:t>s</w:t>
      </w:r>
      <w:r w:rsidRPr="00FB216A">
        <w:rPr>
          <w:rFonts w:cs="Arial"/>
          <w:iCs/>
          <w:szCs w:val="22"/>
          <w:lang w:val="en-US" w:eastAsia="en-GB"/>
        </w:rPr>
        <w:t xml:space="preserve">elected </w:t>
      </w:r>
      <w:r w:rsidR="00FB216A">
        <w:rPr>
          <w:rFonts w:cs="Arial"/>
          <w:iCs/>
          <w:szCs w:val="22"/>
          <w:lang w:val="en-US" w:eastAsia="en-GB"/>
        </w:rPr>
        <w:t>h</w:t>
      </w:r>
      <w:r w:rsidRPr="00FB216A">
        <w:rPr>
          <w:rFonts w:cs="Arial"/>
          <w:iCs/>
          <w:szCs w:val="22"/>
          <w:lang w:val="en-US" w:eastAsia="en-GB"/>
        </w:rPr>
        <w:t>ighlights Australia. 1995</w:t>
      </w:r>
      <w:r w:rsidRPr="00FB216A">
        <w:rPr>
          <w:rFonts w:cs="Arial"/>
          <w:szCs w:val="22"/>
          <w:lang w:val="en-US" w:eastAsia="en-GB"/>
        </w:rPr>
        <w:t>. (ABS Catalogue number 4802.0)</w:t>
      </w:r>
      <w:r w:rsidR="00FB216A">
        <w:rPr>
          <w:rFonts w:cs="Arial"/>
          <w:szCs w:val="22"/>
          <w:lang w:val="en-US" w:eastAsia="en-GB"/>
        </w:rPr>
        <w:t>.</w:t>
      </w:r>
      <w:r w:rsidRPr="00FB216A">
        <w:rPr>
          <w:rFonts w:cs="Arial"/>
          <w:szCs w:val="22"/>
          <w:lang w:val="en-US" w:eastAsia="en-GB"/>
        </w:rPr>
        <w:t xml:space="preserve"> Commonwealth of Australia, Canberra.</w:t>
      </w:r>
    </w:p>
    <w:p w:rsidR="00D33562" w:rsidRPr="00FB216A" w:rsidRDefault="00D33562" w:rsidP="00D33562">
      <w:pPr>
        <w:rPr>
          <w:rFonts w:cs="Arial"/>
          <w:szCs w:val="22"/>
        </w:rPr>
      </w:pPr>
    </w:p>
    <w:p w:rsidR="00FB216A" w:rsidRDefault="00FB216A" w:rsidP="00FB216A">
      <w:pPr>
        <w:rPr>
          <w:rFonts w:cs="Arial"/>
          <w:szCs w:val="22"/>
        </w:rPr>
      </w:pPr>
      <w:r w:rsidRPr="00070E16">
        <w:rPr>
          <w:rFonts w:cs="Arial"/>
          <w:szCs w:val="22"/>
        </w:rPr>
        <w:t>Miles</w:t>
      </w:r>
      <w:r>
        <w:rPr>
          <w:rFonts w:cs="Arial"/>
          <w:szCs w:val="22"/>
        </w:rPr>
        <w:t xml:space="preserve"> D,</w:t>
      </w:r>
      <w:r w:rsidRPr="00070E16">
        <w:rPr>
          <w:rFonts w:cs="Arial"/>
          <w:szCs w:val="22"/>
        </w:rPr>
        <w:t xml:space="preserve"> Jansson E</w:t>
      </w:r>
      <w:r>
        <w:rPr>
          <w:rFonts w:cs="Arial"/>
          <w:szCs w:val="22"/>
        </w:rPr>
        <w:t>,</w:t>
      </w:r>
      <w:r w:rsidRPr="00070E16">
        <w:rPr>
          <w:rFonts w:cs="Arial"/>
          <w:szCs w:val="22"/>
        </w:rPr>
        <w:t xml:space="preserve"> Ma</w:t>
      </w:r>
      <w:r>
        <w:rPr>
          <w:rFonts w:cs="Arial"/>
          <w:szCs w:val="22"/>
        </w:rPr>
        <w:t>i</w:t>
      </w:r>
      <w:r w:rsidRPr="00070E16">
        <w:rPr>
          <w:rFonts w:cs="Arial"/>
          <w:szCs w:val="22"/>
        </w:rPr>
        <w:t xml:space="preserve"> M, Azer M, Day P, Shadbolt C, Stitt</w:t>
      </w:r>
      <w:r>
        <w:rPr>
          <w:rFonts w:cs="Arial"/>
          <w:szCs w:val="22"/>
        </w:rPr>
        <w:t xml:space="preserve"> V</w:t>
      </w:r>
      <w:r w:rsidRPr="00070E16">
        <w:rPr>
          <w:rFonts w:cs="Arial"/>
          <w:szCs w:val="22"/>
        </w:rPr>
        <w:t>, Kiermeier A</w:t>
      </w:r>
      <w:r>
        <w:rPr>
          <w:rFonts w:cs="Arial"/>
          <w:szCs w:val="22"/>
        </w:rPr>
        <w:t>,</w:t>
      </w:r>
      <w:r w:rsidRPr="00070E16">
        <w:rPr>
          <w:rFonts w:cs="Arial"/>
          <w:szCs w:val="22"/>
        </w:rPr>
        <w:t xml:space="preserve"> Szabo E (2011) A survey of total hydrocyanic acid content in ready-to-eat cassava-based chips obtained in the Australian market in 2008. Journal of Food Protection 74:980-985.</w:t>
      </w:r>
    </w:p>
    <w:p w:rsidR="00D33562" w:rsidRDefault="00D33562" w:rsidP="00D33562">
      <w:pPr>
        <w:autoSpaceDE w:val="0"/>
        <w:autoSpaceDN w:val="0"/>
        <w:adjustRightInd w:val="0"/>
        <w:rPr>
          <w:rFonts w:cs="Arial"/>
          <w:lang w:val="en-US" w:eastAsia="en-GB"/>
        </w:rPr>
      </w:pPr>
    </w:p>
    <w:p w:rsidR="00D33562" w:rsidRPr="003708B7" w:rsidRDefault="00D33562" w:rsidP="00D33562">
      <w:pPr>
        <w:autoSpaceDE w:val="0"/>
        <w:autoSpaceDN w:val="0"/>
        <w:adjustRightInd w:val="0"/>
        <w:rPr>
          <w:rFonts w:cs="Arial"/>
          <w:iCs/>
          <w:szCs w:val="22"/>
          <w:lang w:val="en-US" w:eastAsia="en-GB"/>
        </w:rPr>
      </w:pPr>
      <w:r w:rsidRPr="003708B7">
        <w:rPr>
          <w:rFonts w:cs="Arial"/>
          <w:szCs w:val="22"/>
          <w:lang w:val="en-US" w:eastAsia="en-GB"/>
        </w:rPr>
        <w:t xml:space="preserve">Ministry of Health (1999) </w:t>
      </w:r>
      <w:r w:rsidRPr="003708B7">
        <w:rPr>
          <w:rFonts w:cs="Arial"/>
          <w:iCs/>
          <w:szCs w:val="22"/>
          <w:lang w:val="en-US" w:eastAsia="en-GB"/>
        </w:rPr>
        <w:t xml:space="preserve">NZ </w:t>
      </w:r>
      <w:r w:rsidR="003708B7">
        <w:rPr>
          <w:rFonts w:cs="Arial"/>
          <w:iCs/>
          <w:szCs w:val="22"/>
          <w:lang w:val="en-US" w:eastAsia="en-GB"/>
        </w:rPr>
        <w:t>f</w:t>
      </w:r>
      <w:r w:rsidRPr="003708B7">
        <w:rPr>
          <w:rFonts w:cs="Arial"/>
          <w:iCs/>
          <w:szCs w:val="22"/>
          <w:lang w:val="en-US" w:eastAsia="en-GB"/>
        </w:rPr>
        <w:t xml:space="preserve">ood: NZ </w:t>
      </w:r>
      <w:r w:rsidR="003708B7">
        <w:rPr>
          <w:rFonts w:cs="Arial"/>
          <w:iCs/>
          <w:szCs w:val="22"/>
          <w:lang w:val="en-US" w:eastAsia="en-GB"/>
        </w:rPr>
        <w:t>p</w:t>
      </w:r>
      <w:r w:rsidRPr="003708B7">
        <w:rPr>
          <w:rFonts w:cs="Arial"/>
          <w:iCs/>
          <w:szCs w:val="22"/>
          <w:lang w:val="en-US" w:eastAsia="en-GB"/>
        </w:rPr>
        <w:t>eople. Key results of the 1997 National</w:t>
      </w:r>
    </w:p>
    <w:p w:rsidR="00D33562" w:rsidRPr="003708B7" w:rsidRDefault="00D33562" w:rsidP="00D33562">
      <w:pPr>
        <w:rPr>
          <w:rFonts w:cs="Arial"/>
          <w:szCs w:val="22"/>
          <w:lang w:val="en-US" w:eastAsia="en-GB"/>
        </w:rPr>
      </w:pPr>
      <w:r w:rsidRPr="003708B7">
        <w:rPr>
          <w:rFonts w:cs="Arial"/>
          <w:iCs/>
          <w:szCs w:val="22"/>
          <w:lang w:val="en-US" w:eastAsia="en-GB"/>
        </w:rPr>
        <w:t>Nutrition Survey.</w:t>
      </w:r>
      <w:r w:rsidRPr="003708B7">
        <w:rPr>
          <w:rFonts w:cs="Arial"/>
          <w:i/>
          <w:iCs/>
          <w:szCs w:val="22"/>
          <w:lang w:val="en-US" w:eastAsia="en-GB"/>
        </w:rPr>
        <w:t xml:space="preserve"> </w:t>
      </w:r>
      <w:r w:rsidRPr="003708B7">
        <w:rPr>
          <w:rFonts w:cs="Arial"/>
          <w:szCs w:val="22"/>
          <w:lang w:val="en-US" w:eastAsia="en-GB"/>
        </w:rPr>
        <w:t>Ministry of Health, Wellington.</w:t>
      </w:r>
    </w:p>
    <w:p w:rsidR="00D33562" w:rsidRPr="003708B7" w:rsidRDefault="00D33562" w:rsidP="00D33562">
      <w:pPr>
        <w:rPr>
          <w:rFonts w:cs="Arial"/>
          <w:szCs w:val="22"/>
        </w:rPr>
      </w:pPr>
    </w:p>
    <w:p w:rsidR="00D33562" w:rsidRDefault="00D33562" w:rsidP="00D33562">
      <w:pPr>
        <w:autoSpaceDE w:val="0"/>
        <w:autoSpaceDN w:val="0"/>
        <w:adjustRightInd w:val="0"/>
        <w:rPr>
          <w:rFonts w:cs="Arial"/>
          <w:szCs w:val="22"/>
          <w:lang w:val="en-US" w:eastAsia="en-GB"/>
        </w:rPr>
      </w:pPr>
      <w:r w:rsidRPr="003708B7">
        <w:rPr>
          <w:rFonts w:cs="Arial"/>
          <w:szCs w:val="22"/>
          <w:lang w:val="en-US" w:eastAsia="en-GB"/>
        </w:rPr>
        <w:lastRenderedPageBreak/>
        <w:t>Ministry of Health (200</w:t>
      </w:r>
      <w:r w:rsidR="00294C72">
        <w:rPr>
          <w:rFonts w:cs="Arial"/>
          <w:szCs w:val="22"/>
          <w:lang w:val="en-US" w:eastAsia="en-GB"/>
        </w:rPr>
        <w:t>2</w:t>
      </w:r>
      <w:r w:rsidRPr="003708B7">
        <w:rPr>
          <w:rFonts w:cs="Arial"/>
          <w:szCs w:val="22"/>
          <w:lang w:val="en-US" w:eastAsia="en-GB"/>
        </w:rPr>
        <w:t xml:space="preserve">) </w:t>
      </w:r>
      <w:r w:rsidRPr="003708B7">
        <w:rPr>
          <w:rFonts w:cs="Arial"/>
          <w:iCs/>
          <w:szCs w:val="22"/>
          <w:lang w:val="en-US" w:eastAsia="en-GB"/>
        </w:rPr>
        <w:t xml:space="preserve">NZ </w:t>
      </w:r>
      <w:r w:rsidR="00294C72">
        <w:rPr>
          <w:rFonts w:cs="Arial"/>
          <w:iCs/>
          <w:szCs w:val="22"/>
          <w:lang w:val="en-US" w:eastAsia="en-GB"/>
        </w:rPr>
        <w:t>f</w:t>
      </w:r>
      <w:r w:rsidRPr="003708B7">
        <w:rPr>
          <w:rFonts w:cs="Arial"/>
          <w:iCs/>
          <w:szCs w:val="22"/>
          <w:lang w:val="en-US" w:eastAsia="en-GB"/>
        </w:rPr>
        <w:t>ood</w:t>
      </w:r>
      <w:r w:rsidR="00294C72">
        <w:rPr>
          <w:rFonts w:cs="Arial"/>
          <w:iCs/>
          <w:szCs w:val="22"/>
          <w:lang w:val="en-US" w:eastAsia="en-GB"/>
        </w:rPr>
        <w:t>:</w:t>
      </w:r>
      <w:r w:rsidRPr="003708B7">
        <w:rPr>
          <w:rFonts w:cs="Arial"/>
          <w:iCs/>
          <w:szCs w:val="22"/>
          <w:lang w:val="en-US" w:eastAsia="en-GB"/>
        </w:rPr>
        <w:t xml:space="preserve"> NZ </w:t>
      </w:r>
      <w:r w:rsidR="00294C72">
        <w:rPr>
          <w:rFonts w:cs="Arial"/>
          <w:iCs/>
          <w:szCs w:val="22"/>
          <w:lang w:val="en-US" w:eastAsia="en-GB"/>
        </w:rPr>
        <w:t>c</w:t>
      </w:r>
      <w:r w:rsidRPr="003708B7">
        <w:rPr>
          <w:rFonts w:cs="Arial"/>
          <w:iCs/>
          <w:szCs w:val="22"/>
          <w:lang w:val="en-US" w:eastAsia="en-GB"/>
        </w:rPr>
        <w:t>hildren: Key results of the 2002 National Children’s Nutrition Survey.</w:t>
      </w:r>
      <w:r w:rsidRPr="003708B7">
        <w:rPr>
          <w:rFonts w:cs="Arial"/>
          <w:i/>
          <w:iCs/>
          <w:szCs w:val="22"/>
          <w:lang w:val="en-US" w:eastAsia="en-GB"/>
        </w:rPr>
        <w:t xml:space="preserve"> </w:t>
      </w:r>
      <w:r w:rsidRPr="003708B7">
        <w:rPr>
          <w:rFonts w:cs="Arial"/>
          <w:szCs w:val="22"/>
          <w:lang w:val="en-US" w:eastAsia="en-GB"/>
        </w:rPr>
        <w:t>Ministry of Health, Wellington.</w:t>
      </w:r>
    </w:p>
    <w:p w:rsidR="000F4703" w:rsidRDefault="000F4703" w:rsidP="00D33562">
      <w:pPr>
        <w:autoSpaceDE w:val="0"/>
        <w:autoSpaceDN w:val="0"/>
        <w:adjustRightInd w:val="0"/>
        <w:rPr>
          <w:rFonts w:cs="Arial"/>
          <w:szCs w:val="22"/>
          <w:lang w:val="en-US" w:eastAsia="en-GB"/>
        </w:rPr>
      </w:pPr>
    </w:p>
    <w:p w:rsidR="000F4703" w:rsidRPr="003708B7" w:rsidRDefault="000F4703" w:rsidP="00D33562">
      <w:pPr>
        <w:autoSpaceDE w:val="0"/>
        <w:autoSpaceDN w:val="0"/>
        <w:adjustRightInd w:val="0"/>
        <w:rPr>
          <w:rFonts w:cs="Arial"/>
          <w:szCs w:val="22"/>
          <w:lang w:val="en-US" w:eastAsia="en-GB"/>
        </w:rPr>
      </w:pPr>
      <w:r w:rsidRPr="000F4703">
        <w:rPr>
          <w:rFonts w:cs="Arial"/>
          <w:szCs w:val="22"/>
          <w:lang w:val="en-US" w:eastAsia="en-GB"/>
        </w:rPr>
        <w:t>Montagnac JA, Davis CR</w:t>
      </w:r>
      <w:r>
        <w:rPr>
          <w:rFonts w:cs="Arial"/>
          <w:szCs w:val="22"/>
          <w:lang w:val="en-US" w:eastAsia="en-GB"/>
        </w:rPr>
        <w:t>,</w:t>
      </w:r>
      <w:r w:rsidRPr="000F4703">
        <w:rPr>
          <w:rFonts w:cs="Arial"/>
          <w:szCs w:val="22"/>
          <w:lang w:val="en-US" w:eastAsia="en-GB"/>
        </w:rPr>
        <w:t xml:space="preserve"> Tanumiharjo</w:t>
      </w:r>
      <w:r>
        <w:rPr>
          <w:rFonts w:cs="Arial"/>
          <w:szCs w:val="22"/>
          <w:lang w:val="en-US" w:eastAsia="en-GB"/>
        </w:rPr>
        <w:t xml:space="preserve"> </w:t>
      </w:r>
      <w:r w:rsidRPr="000F4703">
        <w:rPr>
          <w:rFonts w:cs="Arial"/>
          <w:szCs w:val="22"/>
          <w:lang w:val="en-US" w:eastAsia="en-GB"/>
        </w:rPr>
        <w:t xml:space="preserve">SA (2009) Processing </w:t>
      </w:r>
      <w:r>
        <w:rPr>
          <w:rFonts w:cs="Arial"/>
          <w:szCs w:val="22"/>
          <w:lang w:val="en-US" w:eastAsia="en-GB"/>
        </w:rPr>
        <w:t>t</w:t>
      </w:r>
      <w:r w:rsidRPr="000F4703">
        <w:rPr>
          <w:rFonts w:cs="Arial"/>
          <w:szCs w:val="22"/>
          <w:lang w:val="en-US" w:eastAsia="en-GB"/>
        </w:rPr>
        <w:t xml:space="preserve">echniques to </w:t>
      </w:r>
      <w:r>
        <w:rPr>
          <w:rFonts w:cs="Arial"/>
          <w:szCs w:val="22"/>
          <w:lang w:val="en-US" w:eastAsia="en-GB"/>
        </w:rPr>
        <w:t>r</w:t>
      </w:r>
      <w:r w:rsidRPr="000F4703">
        <w:rPr>
          <w:rFonts w:cs="Arial"/>
          <w:szCs w:val="22"/>
          <w:lang w:val="en-US" w:eastAsia="en-GB"/>
        </w:rPr>
        <w:t xml:space="preserve">educe </w:t>
      </w:r>
      <w:r>
        <w:rPr>
          <w:rFonts w:cs="Arial"/>
          <w:szCs w:val="22"/>
          <w:lang w:val="en-US" w:eastAsia="en-GB"/>
        </w:rPr>
        <w:t>t</w:t>
      </w:r>
      <w:r w:rsidRPr="000F4703">
        <w:rPr>
          <w:rFonts w:cs="Arial"/>
          <w:szCs w:val="22"/>
          <w:lang w:val="en-US" w:eastAsia="en-GB"/>
        </w:rPr>
        <w:t xml:space="preserve">oxicity and </w:t>
      </w:r>
      <w:r>
        <w:rPr>
          <w:rFonts w:cs="Arial"/>
          <w:szCs w:val="22"/>
          <w:lang w:val="en-US" w:eastAsia="en-GB"/>
        </w:rPr>
        <w:t>a</w:t>
      </w:r>
      <w:r w:rsidRPr="000F4703">
        <w:rPr>
          <w:rFonts w:cs="Arial"/>
          <w:szCs w:val="22"/>
          <w:lang w:val="en-US" w:eastAsia="en-GB"/>
        </w:rPr>
        <w:t xml:space="preserve">ntinutrients of </w:t>
      </w:r>
      <w:r>
        <w:rPr>
          <w:rFonts w:cs="Arial"/>
          <w:szCs w:val="22"/>
          <w:lang w:val="en-US" w:eastAsia="en-GB"/>
        </w:rPr>
        <w:t>c</w:t>
      </w:r>
      <w:r w:rsidRPr="000F4703">
        <w:rPr>
          <w:rFonts w:cs="Arial"/>
          <w:szCs w:val="22"/>
          <w:lang w:val="en-US" w:eastAsia="en-GB"/>
        </w:rPr>
        <w:t xml:space="preserve">assava for use as a </w:t>
      </w:r>
      <w:r>
        <w:rPr>
          <w:rFonts w:cs="Arial"/>
          <w:szCs w:val="22"/>
          <w:lang w:val="en-US" w:eastAsia="en-GB"/>
        </w:rPr>
        <w:t>s</w:t>
      </w:r>
      <w:r w:rsidRPr="000F4703">
        <w:rPr>
          <w:rFonts w:cs="Arial"/>
          <w:szCs w:val="22"/>
          <w:lang w:val="en-US" w:eastAsia="en-GB"/>
        </w:rPr>
        <w:t xml:space="preserve">taple </w:t>
      </w:r>
      <w:r>
        <w:rPr>
          <w:rFonts w:cs="Arial"/>
          <w:szCs w:val="22"/>
          <w:lang w:val="en-US" w:eastAsia="en-GB"/>
        </w:rPr>
        <w:t>f</w:t>
      </w:r>
      <w:r w:rsidRPr="000F4703">
        <w:rPr>
          <w:rFonts w:cs="Arial"/>
          <w:szCs w:val="22"/>
          <w:lang w:val="en-US" w:eastAsia="en-GB"/>
        </w:rPr>
        <w:t xml:space="preserve">ood, in </w:t>
      </w:r>
      <w:r>
        <w:rPr>
          <w:rFonts w:cs="Arial"/>
          <w:szCs w:val="22"/>
          <w:lang w:val="en-US" w:eastAsia="en-GB"/>
        </w:rPr>
        <w:t>C</w:t>
      </w:r>
      <w:r w:rsidRPr="000F4703">
        <w:rPr>
          <w:rFonts w:cs="Arial"/>
          <w:szCs w:val="22"/>
          <w:lang w:val="en-US" w:eastAsia="en-GB"/>
        </w:rPr>
        <w:t xml:space="preserve">omprehensive </w:t>
      </w:r>
      <w:r>
        <w:rPr>
          <w:rFonts w:cs="Arial"/>
          <w:szCs w:val="22"/>
          <w:lang w:val="en-US" w:eastAsia="en-GB"/>
        </w:rPr>
        <w:t>r</w:t>
      </w:r>
      <w:r w:rsidRPr="000F4703">
        <w:rPr>
          <w:rFonts w:cs="Arial"/>
          <w:szCs w:val="22"/>
          <w:lang w:val="en-US" w:eastAsia="en-GB"/>
        </w:rPr>
        <w:t xml:space="preserve">eviews in </w:t>
      </w:r>
      <w:r>
        <w:rPr>
          <w:rFonts w:cs="Arial"/>
          <w:szCs w:val="22"/>
          <w:lang w:val="en-US" w:eastAsia="en-GB"/>
        </w:rPr>
        <w:t>f</w:t>
      </w:r>
      <w:r w:rsidRPr="000F4703">
        <w:rPr>
          <w:rFonts w:cs="Arial"/>
          <w:szCs w:val="22"/>
          <w:lang w:val="en-US" w:eastAsia="en-GB"/>
        </w:rPr>
        <w:t xml:space="preserve">ood </w:t>
      </w:r>
      <w:r>
        <w:rPr>
          <w:rFonts w:cs="Arial"/>
          <w:szCs w:val="22"/>
          <w:lang w:val="en-US" w:eastAsia="en-GB"/>
        </w:rPr>
        <w:t>s</w:t>
      </w:r>
      <w:r w:rsidRPr="000F4703">
        <w:rPr>
          <w:rFonts w:cs="Arial"/>
          <w:szCs w:val="22"/>
          <w:lang w:val="en-US" w:eastAsia="en-GB"/>
        </w:rPr>
        <w:t xml:space="preserve">cience and </w:t>
      </w:r>
      <w:r>
        <w:rPr>
          <w:rFonts w:cs="Arial"/>
          <w:szCs w:val="22"/>
          <w:lang w:val="en-US" w:eastAsia="en-GB"/>
        </w:rPr>
        <w:t>f</w:t>
      </w:r>
      <w:r w:rsidRPr="000F4703">
        <w:rPr>
          <w:rFonts w:cs="Arial"/>
          <w:szCs w:val="22"/>
          <w:lang w:val="en-US" w:eastAsia="en-GB"/>
        </w:rPr>
        <w:t xml:space="preserve">ood </w:t>
      </w:r>
      <w:r>
        <w:rPr>
          <w:rFonts w:cs="Arial"/>
          <w:szCs w:val="22"/>
          <w:lang w:val="en-US" w:eastAsia="en-GB"/>
        </w:rPr>
        <w:t>s</w:t>
      </w:r>
      <w:r w:rsidRPr="000F4703">
        <w:rPr>
          <w:rFonts w:cs="Arial"/>
          <w:szCs w:val="22"/>
          <w:lang w:val="en-US" w:eastAsia="en-GB"/>
        </w:rPr>
        <w:t>afety, Volume 8.</w:t>
      </w:r>
    </w:p>
    <w:p w:rsidR="00D33562" w:rsidRPr="003708B7" w:rsidRDefault="00D33562" w:rsidP="00D33562">
      <w:pPr>
        <w:rPr>
          <w:rFonts w:cs="Arial"/>
          <w:szCs w:val="22"/>
        </w:rPr>
      </w:pPr>
    </w:p>
    <w:p w:rsidR="00D33562" w:rsidRPr="00294C72" w:rsidRDefault="00D33562" w:rsidP="00D33562">
      <w:pPr>
        <w:pStyle w:val="tahoma18redb"/>
        <w:spacing w:before="0" w:beforeAutospacing="0" w:after="0" w:afterAutospacing="0"/>
        <w:rPr>
          <w:rFonts w:ascii="Arial" w:hAnsi="Arial" w:cs="Arial"/>
          <w:b w:val="0"/>
          <w:color w:val="auto"/>
          <w:sz w:val="22"/>
          <w:szCs w:val="22"/>
        </w:rPr>
      </w:pPr>
      <w:r w:rsidRPr="00294C72">
        <w:rPr>
          <w:rFonts w:ascii="Arial" w:hAnsi="Arial" w:cs="Arial"/>
          <w:b w:val="0"/>
          <w:color w:val="auto"/>
          <w:sz w:val="22"/>
          <w:szCs w:val="22"/>
          <w:lang w:val="en-US" w:eastAsia="en-GB"/>
        </w:rPr>
        <w:t>My Apricot Seeds (2013) “</w:t>
      </w:r>
      <w:r w:rsidRPr="00294C72">
        <w:rPr>
          <w:rFonts w:ascii="Arial" w:hAnsi="Arial" w:cs="Arial"/>
          <w:b w:val="0"/>
          <w:color w:val="auto"/>
          <w:sz w:val="22"/>
          <w:szCs w:val="22"/>
        </w:rPr>
        <w:t xml:space="preserve">Answers </w:t>
      </w:r>
      <w:r w:rsidR="00294C72">
        <w:rPr>
          <w:rFonts w:ascii="Arial" w:hAnsi="Arial" w:cs="Arial"/>
          <w:b w:val="0"/>
          <w:color w:val="auto"/>
          <w:sz w:val="22"/>
          <w:szCs w:val="22"/>
        </w:rPr>
        <w:t>t</w:t>
      </w:r>
      <w:r w:rsidRPr="00294C72">
        <w:rPr>
          <w:rFonts w:ascii="Arial" w:hAnsi="Arial" w:cs="Arial"/>
          <w:b w:val="0"/>
          <w:color w:val="auto"/>
          <w:sz w:val="22"/>
          <w:szCs w:val="22"/>
        </w:rPr>
        <w:t xml:space="preserve">o </w:t>
      </w:r>
      <w:r w:rsidR="00294C72">
        <w:rPr>
          <w:rFonts w:ascii="Arial" w:hAnsi="Arial" w:cs="Arial"/>
          <w:b w:val="0"/>
          <w:color w:val="auto"/>
          <w:sz w:val="22"/>
          <w:szCs w:val="22"/>
        </w:rPr>
        <w:t>t</w:t>
      </w:r>
      <w:r w:rsidRPr="00294C72">
        <w:rPr>
          <w:rFonts w:ascii="Arial" w:hAnsi="Arial" w:cs="Arial"/>
          <w:b w:val="0"/>
          <w:color w:val="auto"/>
          <w:sz w:val="22"/>
          <w:szCs w:val="22"/>
        </w:rPr>
        <w:t xml:space="preserve">he </w:t>
      </w:r>
      <w:r w:rsidR="00294C72">
        <w:rPr>
          <w:rFonts w:ascii="Arial" w:hAnsi="Arial" w:cs="Arial"/>
          <w:b w:val="0"/>
          <w:color w:val="auto"/>
          <w:sz w:val="22"/>
          <w:szCs w:val="22"/>
        </w:rPr>
        <w:t>m</w:t>
      </w:r>
      <w:r w:rsidRPr="00294C72">
        <w:rPr>
          <w:rFonts w:ascii="Arial" w:hAnsi="Arial" w:cs="Arial"/>
          <w:b w:val="0"/>
          <w:color w:val="auto"/>
          <w:sz w:val="22"/>
          <w:szCs w:val="22"/>
        </w:rPr>
        <w:t xml:space="preserve">ost </w:t>
      </w:r>
      <w:r w:rsidR="00294C72">
        <w:rPr>
          <w:rFonts w:ascii="Arial" w:hAnsi="Arial" w:cs="Arial"/>
          <w:b w:val="0"/>
          <w:color w:val="auto"/>
          <w:sz w:val="22"/>
          <w:szCs w:val="22"/>
        </w:rPr>
        <w:t>f</w:t>
      </w:r>
      <w:r w:rsidRPr="00294C72">
        <w:rPr>
          <w:rFonts w:ascii="Arial" w:hAnsi="Arial" w:cs="Arial"/>
          <w:b w:val="0"/>
          <w:color w:val="auto"/>
          <w:sz w:val="22"/>
          <w:szCs w:val="22"/>
        </w:rPr>
        <w:t xml:space="preserve">requently </w:t>
      </w:r>
      <w:r w:rsidR="00294C72">
        <w:rPr>
          <w:rFonts w:ascii="Arial" w:hAnsi="Arial" w:cs="Arial"/>
          <w:b w:val="0"/>
          <w:color w:val="auto"/>
          <w:sz w:val="22"/>
          <w:szCs w:val="22"/>
        </w:rPr>
        <w:t>a</w:t>
      </w:r>
      <w:r w:rsidRPr="00294C72">
        <w:rPr>
          <w:rFonts w:ascii="Arial" w:hAnsi="Arial" w:cs="Arial"/>
          <w:b w:val="0"/>
          <w:color w:val="auto"/>
          <w:sz w:val="22"/>
          <w:szCs w:val="22"/>
        </w:rPr>
        <w:t xml:space="preserve">sked </w:t>
      </w:r>
      <w:r w:rsidR="00294C72">
        <w:rPr>
          <w:rFonts w:ascii="Arial" w:hAnsi="Arial" w:cs="Arial"/>
          <w:b w:val="0"/>
          <w:color w:val="auto"/>
          <w:sz w:val="22"/>
          <w:szCs w:val="22"/>
        </w:rPr>
        <w:t>q</w:t>
      </w:r>
      <w:r w:rsidRPr="00294C72">
        <w:rPr>
          <w:rFonts w:ascii="Arial" w:hAnsi="Arial" w:cs="Arial"/>
          <w:b w:val="0"/>
          <w:color w:val="auto"/>
          <w:sz w:val="22"/>
          <w:szCs w:val="22"/>
        </w:rPr>
        <w:t xml:space="preserve">uestions </w:t>
      </w:r>
      <w:r w:rsidR="00294C72">
        <w:rPr>
          <w:rFonts w:ascii="Arial" w:hAnsi="Arial" w:cs="Arial"/>
          <w:b w:val="0"/>
          <w:color w:val="auto"/>
          <w:sz w:val="22"/>
          <w:szCs w:val="22"/>
        </w:rPr>
        <w:t>a</w:t>
      </w:r>
      <w:r w:rsidRPr="00294C72">
        <w:rPr>
          <w:rFonts w:ascii="Arial" w:hAnsi="Arial" w:cs="Arial"/>
          <w:b w:val="0"/>
          <w:color w:val="auto"/>
          <w:sz w:val="22"/>
          <w:szCs w:val="22"/>
        </w:rPr>
        <w:t xml:space="preserve">bout </w:t>
      </w:r>
      <w:r w:rsidR="00294C72">
        <w:rPr>
          <w:rFonts w:ascii="Arial" w:hAnsi="Arial" w:cs="Arial"/>
          <w:b w:val="0"/>
          <w:color w:val="auto"/>
          <w:sz w:val="22"/>
          <w:szCs w:val="22"/>
        </w:rPr>
        <w:t>a</w:t>
      </w:r>
      <w:r w:rsidRPr="00294C72">
        <w:rPr>
          <w:rFonts w:ascii="Arial" w:hAnsi="Arial" w:cs="Arial"/>
          <w:b w:val="0"/>
          <w:color w:val="auto"/>
          <w:sz w:val="22"/>
          <w:szCs w:val="22"/>
        </w:rPr>
        <w:t xml:space="preserve">pricot </w:t>
      </w:r>
      <w:r w:rsidR="00294C72">
        <w:rPr>
          <w:rFonts w:ascii="Arial" w:hAnsi="Arial" w:cs="Arial"/>
          <w:b w:val="0"/>
          <w:color w:val="auto"/>
          <w:sz w:val="22"/>
          <w:szCs w:val="22"/>
        </w:rPr>
        <w:t>s</w:t>
      </w:r>
      <w:r w:rsidRPr="00294C72">
        <w:rPr>
          <w:rFonts w:ascii="Arial" w:hAnsi="Arial" w:cs="Arial"/>
          <w:b w:val="0"/>
          <w:color w:val="auto"/>
          <w:sz w:val="22"/>
          <w:szCs w:val="22"/>
        </w:rPr>
        <w:t>eeds...".</w:t>
      </w:r>
    </w:p>
    <w:p w:rsidR="00D33562" w:rsidRPr="00294C72" w:rsidRDefault="000A0E74" w:rsidP="00D33562">
      <w:pPr>
        <w:autoSpaceDE w:val="0"/>
        <w:autoSpaceDN w:val="0"/>
        <w:adjustRightInd w:val="0"/>
        <w:rPr>
          <w:rFonts w:cs="Arial"/>
          <w:szCs w:val="22"/>
          <w:lang w:val="en-US" w:eastAsia="en-GB"/>
        </w:rPr>
      </w:pPr>
      <w:hyperlink r:id="rId35" w:anchor="a7" w:history="1">
        <w:r w:rsidR="00D33562" w:rsidRPr="00294C72">
          <w:rPr>
            <w:rStyle w:val="Hyperlink"/>
            <w:lang w:val="en-US" w:eastAsia="en-GB"/>
          </w:rPr>
          <w:t>http://www.myapricotseeds.com/faq.html#a7</w:t>
        </w:r>
      </w:hyperlink>
      <w:r w:rsidR="00D33562" w:rsidRPr="00294C72">
        <w:rPr>
          <w:rFonts w:cs="Arial"/>
          <w:szCs w:val="22"/>
          <w:lang w:val="en-US" w:eastAsia="en-GB"/>
        </w:rPr>
        <w:t xml:space="preserve">. Accessed 11 June 2013. </w:t>
      </w:r>
    </w:p>
    <w:p w:rsidR="00D33562" w:rsidRDefault="00D33562" w:rsidP="00D33562">
      <w:pPr>
        <w:autoSpaceDE w:val="0"/>
        <w:autoSpaceDN w:val="0"/>
        <w:adjustRightInd w:val="0"/>
        <w:rPr>
          <w:rFonts w:cs="Arial"/>
          <w:lang w:val="en-US" w:eastAsia="en-GB"/>
        </w:rPr>
      </w:pPr>
    </w:p>
    <w:p w:rsidR="00D33562" w:rsidRPr="00294C72" w:rsidRDefault="00D33562" w:rsidP="00D33562">
      <w:pPr>
        <w:autoSpaceDE w:val="0"/>
        <w:autoSpaceDN w:val="0"/>
        <w:adjustRightInd w:val="0"/>
        <w:rPr>
          <w:rFonts w:cs="Arial"/>
          <w:szCs w:val="22"/>
          <w:lang w:val="en-US" w:eastAsia="en-GB"/>
        </w:rPr>
      </w:pPr>
      <w:r w:rsidRPr="00294C72">
        <w:rPr>
          <w:rFonts w:cs="Arial"/>
          <w:szCs w:val="22"/>
          <w:lang w:val="en-US" w:eastAsia="en-GB"/>
        </w:rPr>
        <w:t xml:space="preserve">Nu-Gen Nutrition (2013a) Apricot </w:t>
      </w:r>
      <w:r w:rsidR="00294C72">
        <w:rPr>
          <w:rFonts w:cs="Arial"/>
          <w:szCs w:val="22"/>
          <w:lang w:val="en-US" w:eastAsia="en-GB"/>
        </w:rPr>
        <w:t>k</w:t>
      </w:r>
      <w:r w:rsidRPr="00294C72">
        <w:rPr>
          <w:rFonts w:cs="Arial"/>
          <w:szCs w:val="22"/>
          <w:lang w:val="en-US" w:eastAsia="en-GB"/>
        </w:rPr>
        <w:t xml:space="preserve">ernels: </w:t>
      </w:r>
      <w:r w:rsidR="00294C72">
        <w:rPr>
          <w:rFonts w:cs="Arial"/>
          <w:szCs w:val="22"/>
          <w:lang w:val="en-US" w:eastAsia="en-GB"/>
        </w:rPr>
        <w:t>f</w:t>
      </w:r>
      <w:r w:rsidRPr="00294C72">
        <w:rPr>
          <w:rFonts w:cs="Arial"/>
          <w:szCs w:val="22"/>
          <w:lang w:val="en-US" w:eastAsia="en-GB"/>
        </w:rPr>
        <w:t xml:space="preserve">requently </w:t>
      </w:r>
      <w:r w:rsidR="00294C72">
        <w:rPr>
          <w:rFonts w:cs="Arial"/>
          <w:szCs w:val="22"/>
          <w:lang w:val="en-US" w:eastAsia="en-GB"/>
        </w:rPr>
        <w:t>a</w:t>
      </w:r>
      <w:r w:rsidRPr="00294C72">
        <w:rPr>
          <w:rFonts w:cs="Arial"/>
          <w:szCs w:val="22"/>
          <w:lang w:val="en-US" w:eastAsia="en-GB"/>
        </w:rPr>
        <w:t xml:space="preserve">sked </w:t>
      </w:r>
      <w:r w:rsidR="00294C72">
        <w:rPr>
          <w:rFonts w:cs="Arial"/>
          <w:szCs w:val="22"/>
          <w:lang w:val="en-US" w:eastAsia="en-GB"/>
        </w:rPr>
        <w:t>q</w:t>
      </w:r>
      <w:r w:rsidRPr="00294C72">
        <w:rPr>
          <w:rFonts w:cs="Arial"/>
          <w:szCs w:val="22"/>
          <w:lang w:val="en-US" w:eastAsia="en-GB"/>
        </w:rPr>
        <w:t>uestions.</w:t>
      </w:r>
    </w:p>
    <w:p w:rsidR="00D33562" w:rsidRPr="00294C72" w:rsidRDefault="000A0E74" w:rsidP="00D33562">
      <w:pPr>
        <w:rPr>
          <w:rFonts w:cs="Arial"/>
          <w:szCs w:val="22"/>
        </w:rPr>
      </w:pPr>
      <w:hyperlink r:id="rId36" w:history="1">
        <w:r w:rsidR="00D33562" w:rsidRPr="00294C72">
          <w:rPr>
            <w:rStyle w:val="Hyperlink"/>
          </w:rPr>
          <w:t>http://www.nu-gen.net/apricot-kernels-faq/</w:t>
        </w:r>
      </w:hyperlink>
      <w:r w:rsidR="00D33562" w:rsidRPr="00294C72">
        <w:rPr>
          <w:rFonts w:cs="Arial"/>
          <w:szCs w:val="22"/>
        </w:rPr>
        <w:t>. Accessed 11 June 2013.</w:t>
      </w:r>
    </w:p>
    <w:p w:rsidR="00D33562" w:rsidRPr="00294C72" w:rsidRDefault="00D33562" w:rsidP="00D33562">
      <w:pPr>
        <w:rPr>
          <w:rFonts w:cs="Arial"/>
          <w:szCs w:val="22"/>
        </w:rPr>
      </w:pPr>
    </w:p>
    <w:p w:rsidR="00D33562" w:rsidRPr="00294C72" w:rsidRDefault="00D33562" w:rsidP="00D33562">
      <w:pPr>
        <w:rPr>
          <w:rFonts w:cs="Arial"/>
          <w:szCs w:val="22"/>
        </w:rPr>
      </w:pPr>
      <w:r w:rsidRPr="00294C72">
        <w:rPr>
          <w:rFonts w:cs="Arial"/>
          <w:szCs w:val="22"/>
        </w:rPr>
        <w:t xml:space="preserve">Nu-Gen Nutrition (2013b) Premium </w:t>
      </w:r>
      <w:r w:rsidR="00294C72">
        <w:rPr>
          <w:rFonts w:cs="Arial"/>
          <w:szCs w:val="22"/>
        </w:rPr>
        <w:t>r</w:t>
      </w:r>
      <w:r w:rsidRPr="00294C72">
        <w:rPr>
          <w:rFonts w:cs="Arial"/>
          <w:szCs w:val="22"/>
        </w:rPr>
        <w:t xml:space="preserve">aw </w:t>
      </w:r>
      <w:r w:rsidR="00294C72">
        <w:rPr>
          <w:rFonts w:cs="Arial"/>
          <w:szCs w:val="22"/>
        </w:rPr>
        <w:t>a</w:t>
      </w:r>
      <w:r w:rsidRPr="00294C72">
        <w:rPr>
          <w:rFonts w:cs="Arial"/>
          <w:szCs w:val="22"/>
        </w:rPr>
        <w:t xml:space="preserve">pricot </w:t>
      </w:r>
      <w:r w:rsidR="00294C72">
        <w:rPr>
          <w:rFonts w:cs="Arial"/>
          <w:szCs w:val="22"/>
        </w:rPr>
        <w:t>k</w:t>
      </w:r>
      <w:r w:rsidRPr="00294C72">
        <w:rPr>
          <w:rFonts w:cs="Arial"/>
          <w:szCs w:val="22"/>
        </w:rPr>
        <w:t xml:space="preserve">ernels - </w:t>
      </w:r>
      <w:r w:rsidR="00294C72">
        <w:rPr>
          <w:rFonts w:cs="Arial"/>
          <w:szCs w:val="22"/>
        </w:rPr>
        <w:t>e</w:t>
      </w:r>
      <w:r w:rsidRPr="00294C72">
        <w:rPr>
          <w:rFonts w:cs="Arial"/>
          <w:szCs w:val="22"/>
        </w:rPr>
        <w:t xml:space="preserve">xtremely </w:t>
      </w:r>
      <w:r w:rsidR="00294C72">
        <w:rPr>
          <w:rFonts w:cs="Arial"/>
          <w:szCs w:val="22"/>
        </w:rPr>
        <w:t>b</w:t>
      </w:r>
      <w:r w:rsidRPr="00294C72">
        <w:rPr>
          <w:rFonts w:cs="Arial"/>
          <w:szCs w:val="22"/>
        </w:rPr>
        <w:t>itter 1 Lb Bag - approx. 750 raw bitter kernels.</w:t>
      </w:r>
    </w:p>
    <w:p w:rsidR="00D33562" w:rsidRPr="00294C72" w:rsidRDefault="000A0E74" w:rsidP="00D33562">
      <w:pPr>
        <w:rPr>
          <w:rFonts w:cs="Arial"/>
          <w:szCs w:val="22"/>
        </w:rPr>
      </w:pPr>
      <w:hyperlink r:id="rId37" w:history="1">
        <w:r w:rsidR="00D33562" w:rsidRPr="00294C72">
          <w:rPr>
            <w:rStyle w:val="Hyperlink"/>
          </w:rPr>
          <w:t>http://www.nu-gen.net/premium-raw-apricot-kernels-extremely-bitter-1-lb-bag-approx-700-raw-kernels</w:t>
        </w:r>
      </w:hyperlink>
      <w:r w:rsidR="00D33562" w:rsidRPr="00294C72">
        <w:rPr>
          <w:rFonts w:cs="Arial"/>
          <w:szCs w:val="22"/>
        </w:rPr>
        <w:t xml:space="preserve">. Accessed 11 June 2013. </w:t>
      </w:r>
    </w:p>
    <w:p w:rsidR="00D33562" w:rsidRPr="00294C72" w:rsidRDefault="00D33562" w:rsidP="00D33562">
      <w:pPr>
        <w:rPr>
          <w:rFonts w:cs="Arial"/>
          <w:szCs w:val="22"/>
        </w:rPr>
      </w:pPr>
    </w:p>
    <w:p w:rsidR="00D33562" w:rsidRPr="00294C72" w:rsidRDefault="00D33562" w:rsidP="00D33562">
      <w:pPr>
        <w:rPr>
          <w:rFonts w:cs="Arial"/>
          <w:szCs w:val="22"/>
        </w:rPr>
      </w:pPr>
      <w:r w:rsidRPr="00294C72">
        <w:rPr>
          <w:rFonts w:cs="Arial"/>
          <w:szCs w:val="22"/>
        </w:rPr>
        <w:t>Rainrock Nutritionals (2013) Apricot Kernels.</w:t>
      </w:r>
    </w:p>
    <w:p w:rsidR="00D33562" w:rsidRPr="00294C72" w:rsidRDefault="000A0E74" w:rsidP="00D33562">
      <w:pPr>
        <w:rPr>
          <w:rFonts w:cs="Arial"/>
          <w:szCs w:val="22"/>
        </w:rPr>
      </w:pPr>
      <w:hyperlink r:id="rId38" w:history="1">
        <w:r w:rsidR="00D33562" w:rsidRPr="00294C72">
          <w:rPr>
            <w:rStyle w:val="Hyperlink"/>
          </w:rPr>
          <w:t>http://rainrock-nutritionals.stores.yahoo.net/apkerseed1po.html</w:t>
        </w:r>
      </w:hyperlink>
      <w:r w:rsidR="00D33562" w:rsidRPr="00294C72">
        <w:rPr>
          <w:rFonts w:cs="Arial"/>
          <w:szCs w:val="22"/>
        </w:rPr>
        <w:t xml:space="preserve">. Accessed 11 June 2013. </w:t>
      </w:r>
    </w:p>
    <w:p w:rsidR="00D33562" w:rsidRPr="00294C72" w:rsidRDefault="00D33562" w:rsidP="00D33562">
      <w:pPr>
        <w:rPr>
          <w:rFonts w:cs="Arial"/>
          <w:szCs w:val="22"/>
        </w:rPr>
      </w:pPr>
    </w:p>
    <w:p w:rsidR="00D33562" w:rsidRPr="00294C72" w:rsidRDefault="00D33562" w:rsidP="00D33562">
      <w:pPr>
        <w:rPr>
          <w:rFonts w:cs="Arial"/>
          <w:szCs w:val="22"/>
        </w:rPr>
      </w:pPr>
      <w:r w:rsidRPr="00294C72">
        <w:rPr>
          <w:rFonts w:cs="Arial"/>
          <w:szCs w:val="22"/>
        </w:rPr>
        <w:t xml:space="preserve">Retail Media (2010) Retail World. Annual </w:t>
      </w:r>
      <w:r w:rsidR="00294C72" w:rsidRPr="00294C72">
        <w:rPr>
          <w:rFonts w:cs="Arial"/>
          <w:szCs w:val="22"/>
        </w:rPr>
        <w:t>r</w:t>
      </w:r>
      <w:r w:rsidRPr="00294C72">
        <w:rPr>
          <w:rFonts w:cs="Arial"/>
          <w:szCs w:val="22"/>
        </w:rPr>
        <w:t>eport 2010. Volume 63, Number 23, December 2010. Retail Media Pty Ltd.</w:t>
      </w:r>
    </w:p>
    <w:p w:rsidR="00D33562" w:rsidRPr="00294C72" w:rsidRDefault="00D33562" w:rsidP="00D33562">
      <w:pPr>
        <w:rPr>
          <w:rFonts w:cs="Arial"/>
          <w:szCs w:val="22"/>
        </w:rPr>
      </w:pPr>
    </w:p>
    <w:p w:rsidR="00D33562" w:rsidRDefault="00D33562" w:rsidP="00D33562">
      <w:pPr>
        <w:rPr>
          <w:rFonts w:cs="Arial"/>
          <w:szCs w:val="22"/>
        </w:rPr>
      </w:pPr>
      <w:r w:rsidRPr="00294C72">
        <w:rPr>
          <w:rFonts w:cs="Arial"/>
          <w:szCs w:val="22"/>
        </w:rPr>
        <w:t>Retail Media (2012) Retail World. 46</w:t>
      </w:r>
      <w:r w:rsidRPr="00294C72">
        <w:rPr>
          <w:rFonts w:cs="Arial"/>
          <w:szCs w:val="22"/>
          <w:vertAlign w:val="superscript"/>
        </w:rPr>
        <w:t>th</w:t>
      </w:r>
      <w:r w:rsidRPr="00294C72">
        <w:rPr>
          <w:rFonts w:cs="Arial"/>
          <w:szCs w:val="22"/>
        </w:rPr>
        <w:t xml:space="preserve"> Annual Report December 2012. Volume 65, Number 23. Retail Media Pty Ltd.</w:t>
      </w:r>
    </w:p>
    <w:p w:rsidR="005B1735" w:rsidRDefault="005B1735" w:rsidP="00D33562">
      <w:pPr>
        <w:rPr>
          <w:rFonts w:cs="Arial"/>
          <w:szCs w:val="22"/>
        </w:rPr>
      </w:pPr>
    </w:p>
    <w:p w:rsidR="00922B91" w:rsidRPr="00922B91" w:rsidRDefault="00922B91" w:rsidP="00922B91">
      <w:pPr>
        <w:rPr>
          <w:rFonts w:cs="Arial"/>
          <w:szCs w:val="22"/>
        </w:rPr>
      </w:pPr>
      <w:r w:rsidRPr="00922B91">
        <w:rPr>
          <w:rFonts w:cs="Arial"/>
          <w:szCs w:val="22"/>
        </w:rPr>
        <w:t>Sayre JW, Kaymakcalan S (1964) Cyanide poisoning from apricot seeds among children in Central Turkey. N Engl J Med. 270:1113–1118</w:t>
      </w:r>
      <w:r w:rsidR="00E37F33">
        <w:rPr>
          <w:rFonts w:cs="Arial"/>
          <w:szCs w:val="22"/>
        </w:rPr>
        <w:t>.</w:t>
      </w:r>
    </w:p>
    <w:p w:rsidR="00922B91" w:rsidRPr="00922B91" w:rsidRDefault="00922B91" w:rsidP="00922B91">
      <w:pPr>
        <w:rPr>
          <w:rFonts w:cs="Arial"/>
          <w:szCs w:val="22"/>
        </w:rPr>
      </w:pPr>
    </w:p>
    <w:p w:rsidR="00F548B7" w:rsidRDefault="000B2F34" w:rsidP="00922B91">
      <w:pPr>
        <w:rPr>
          <w:rFonts w:cs="Arial"/>
          <w:szCs w:val="22"/>
        </w:rPr>
      </w:pPr>
      <w:r w:rsidRPr="000B2F34">
        <w:rPr>
          <w:rFonts w:cs="Arial"/>
          <w:szCs w:val="22"/>
        </w:rPr>
        <w:t>Schilcher H, Schultz V, Nissler A (1986) Zur wirksamkeit and toxikologie von Semen Lini. Zeitsch</w:t>
      </w:r>
      <w:r>
        <w:rPr>
          <w:rFonts w:cs="Arial"/>
          <w:szCs w:val="22"/>
        </w:rPr>
        <w:t xml:space="preserve">rift Phytotherapie: 7, 113-117. </w:t>
      </w:r>
    </w:p>
    <w:p w:rsidR="000B2F34" w:rsidRDefault="000B2F34" w:rsidP="00D33562">
      <w:pPr>
        <w:rPr>
          <w:rFonts w:cs="Arial"/>
          <w:szCs w:val="22"/>
        </w:rPr>
      </w:pPr>
    </w:p>
    <w:p w:rsidR="00922B91" w:rsidRDefault="00922B91" w:rsidP="00D33562">
      <w:pPr>
        <w:rPr>
          <w:rFonts w:cs="Arial"/>
          <w:szCs w:val="22"/>
        </w:rPr>
      </w:pPr>
      <w:r w:rsidRPr="00922B91">
        <w:rPr>
          <w:rFonts w:cs="Arial"/>
          <w:szCs w:val="22"/>
        </w:rPr>
        <w:t>Suchard et al (1998) Acute cyanide toxicity caused by apricot kernel ingestion. Ann Emerg Med. 32:742-4</w:t>
      </w:r>
      <w:r w:rsidR="00E37F33">
        <w:rPr>
          <w:rFonts w:cs="Arial"/>
          <w:szCs w:val="22"/>
        </w:rPr>
        <w:t>.</w:t>
      </w:r>
    </w:p>
    <w:p w:rsidR="00922B91" w:rsidRDefault="00922B91" w:rsidP="00D33562">
      <w:pPr>
        <w:rPr>
          <w:rFonts w:cs="Arial"/>
          <w:szCs w:val="22"/>
        </w:rPr>
      </w:pPr>
    </w:p>
    <w:p w:rsidR="005B1735" w:rsidRPr="00294C72" w:rsidRDefault="005B1735" w:rsidP="00D33562">
      <w:pPr>
        <w:rPr>
          <w:rFonts w:cs="Arial"/>
          <w:szCs w:val="22"/>
        </w:rPr>
      </w:pPr>
      <w:r>
        <w:rPr>
          <w:rFonts w:cs="Arial"/>
          <w:szCs w:val="22"/>
        </w:rPr>
        <w:t>Vetter J (2000) Plant cyanogenic glycosides. Toxicon 38(1): 11-36.</w:t>
      </w:r>
    </w:p>
    <w:p w:rsidR="00D33562" w:rsidRPr="00294C72" w:rsidRDefault="00D33562" w:rsidP="00D33562">
      <w:pPr>
        <w:rPr>
          <w:rFonts w:cs="Arial"/>
          <w:szCs w:val="22"/>
        </w:rPr>
      </w:pPr>
    </w:p>
    <w:p w:rsidR="00D33562" w:rsidRDefault="00D33562" w:rsidP="00D33562">
      <w:r>
        <w:br w:type="page"/>
      </w:r>
    </w:p>
    <w:p w:rsidR="00E27A5D" w:rsidRDefault="00E27A5D" w:rsidP="007B54A2">
      <w:pPr>
        <w:pStyle w:val="Heading1"/>
      </w:pPr>
      <w:bookmarkStart w:id="187" w:name="_Toc367957662"/>
      <w:bookmarkStart w:id="188" w:name="_Toc367957761"/>
      <w:bookmarkStart w:id="189" w:name="_Toc384293537"/>
      <w:bookmarkStart w:id="190" w:name="_Ref359612084"/>
      <w:bookmarkStart w:id="191" w:name="_Toc360111854"/>
      <w:bookmarkStart w:id="192" w:name="_Toc367356304"/>
      <w:bookmarkStart w:id="193" w:name="_Toc367362493"/>
      <w:bookmarkStart w:id="194" w:name="_Ref337981557"/>
      <w:r>
        <w:lastRenderedPageBreak/>
        <w:t>Appendix 1</w:t>
      </w:r>
      <w:r w:rsidR="007B54A2">
        <w:t>.</w:t>
      </w:r>
      <w:r>
        <w:t xml:space="preserve"> Glossary of terms</w:t>
      </w:r>
      <w:bookmarkEnd w:id="187"/>
      <w:bookmarkEnd w:id="188"/>
      <w:bookmarkEnd w:id="189"/>
    </w:p>
    <w:p w:rsidR="00E27A5D" w:rsidRDefault="00E27A5D" w:rsidP="00E27A5D"/>
    <w:p w:rsidR="00E27A5D" w:rsidRPr="007B54A2" w:rsidRDefault="00E27A5D" w:rsidP="007B54A2">
      <w:pPr>
        <w:rPr>
          <w:rFonts w:cs="Arial"/>
          <w:szCs w:val="22"/>
        </w:rPr>
      </w:pPr>
    </w:p>
    <w:p w:rsidR="007B54A2" w:rsidRPr="00777F93" w:rsidRDefault="00E27A5D" w:rsidP="007B54A2">
      <w:pPr>
        <w:rPr>
          <w:rFonts w:cs="Arial"/>
          <w:b/>
          <w:szCs w:val="22"/>
        </w:rPr>
      </w:pPr>
      <w:r w:rsidRPr="00777F93">
        <w:rPr>
          <w:rFonts w:cs="Arial"/>
          <w:b/>
          <w:szCs w:val="22"/>
        </w:rPr>
        <w:t>Acute reference dose (ARfD)</w:t>
      </w:r>
    </w:p>
    <w:p w:rsidR="007B54A2" w:rsidRDefault="007B54A2" w:rsidP="007B54A2">
      <w:pPr>
        <w:rPr>
          <w:rFonts w:cs="Arial"/>
          <w:szCs w:val="22"/>
        </w:rPr>
      </w:pPr>
    </w:p>
    <w:p w:rsidR="00E27A5D" w:rsidRPr="007B54A2" w:rsidRDefault="00E27A5D" w:rsidP="007B54A2">
      <w:pPr>
        <w:rPr>
          <w:rFonts w:cs="Arial"/>
          <w:szCs w:val="22"/>
        </w:rPr>
      </w:pPr>
      <w:r w:rsidRPr="007B54A2">
        <w:rPr>
          <w:rFonts w:cs="Arial"/>
          <w:szCs w:val="22"/>
        </w:rPr>
        <w:t>An estimate of the amount of a substance in food and/or drinking-water, normally expressed on a body-weight basis, that can be ingested in a period of 24 h</w:t>
      </w:r>
      <w:r w:rsidR="00777F93">
        <w:rPr>
          <w:rFonts w:cs="Arial"/>
          <w:szCs w:val="22"/>
        </w:rPr>
        <w:t>ours</w:t>
      </w:r>
      <w:r w:rsidRPr="007B54A2">
        <w:rPr>
          <w:rFonts w:cs="Arial"/>
          <w:szCs w:val="22"/>
        </w:rPr>
        <w:t xml:space="preserve"> or less, without appreciable health risk to the consumer. </w:t>
      </w:r>
    </w:p>
    <w:p w:rsidR="00E27A5D" w:rsidRDefault="00E27A5D" w:rsidP="007B54A2">
      <w:pPr>
        <w:rPr>
          <w:rFonts w:cs="Arial"/>
          <w:szCs w:val="22"/>
        </w:rPr>
      </w:pPr>
    </w:p>
    <w:p w:rsidR="004D7A78" w:rsidRPr="00777F93" w:rsidRDefault="004D7A78" w:rsidP="007B54A2">
      <w:pPr>
        <w:rPr>
          <w:rFonts w:cs="Arial"/>
          <w:b/>
          <w:szCs w:val="22"/>
        </w:rPr>
      </w:pPr>
      <w:r w:rsidRPr="00777F93">
        <w:rPr>
          <w:rFonts w:cs="Arial"/>
          <w:b/>
          <w:szCs w:val="22"/>
        </w:rPr>
        <w:t xml:space="preserve">Benchmark dose </w:t>
      </w:r>
      <w:r w:rsidR="00777F93">
        <w:rPr>
          <w:rFonts w:cs="Arial"/>
          <w:b/>
          <w:szCs w:val="22"/>
        </w:rPr>
        <w:t>(BMD)</w:t>
      </w:r>
    </w:p>
    <w:p w:rsidR="00777F93" w:rsidRDefault="00777F93" w:rsidP="007B54A2">
      <w:pPr>
        <w:rPr>
          <w:rFonts w:cs="Arial"/>
          <w:szCs w:val="22"/>
        </w:rPr>
      </w:pPr>
    </w:p>
    <w:p w:rsidR="004D1953" w:rsidRDefault="007B7AFF" w:rsidP="007B54A2">
      <w:pPr>
        <w:rPr>
          <w:rFonts w:cs="Arial"/>
          <w:szCs w:val="22"/>
        </w:rPr>
      </w:pPr>
      <w:r>
        <w:rPr>
          <w:rFonts w:cs="Arial"/>
          <w:szCs w:val="22"/>
        </w:rPr>
        <w:t xml:space="preserve">The term </w:t>
      </w:r>
      <w:r w:rsidRPr="007B7AFF">
        <w:rPr>
          <w:rFonts w:cs="Arial"/>
          <w:szCs w:val="22"/>
        </w:rPr>
        <w:t>B</w:t>
      </w:r>
      <w:r>
        <w:rPr>
          <w:rFonts w:cs="Arial"/>
          <w:szCs w:val="22"/>
        </w:rPr>
        <w:t>enchmark</w:t>
      </w:r>
      <w:r w:rsidRPr="007B7AFF">
        <w:rPr>
          <w:rFonts w:cs="Arial"/>
          <w:szCs w:val="22"/>
        </w:rPr>
        <w:t xml:space="preserve"> </w:t>
      </w:r>
      <w:r>
        <w:rPr>
          <w:rFonts w:cs="Arial"/>
          <w:szCs w:val="22"/>
        </w:rPr>
        <w:t xml:space="preserve">Dose (BMD) </w:t>
      </w:r>
      <w:r w:rsidRPr="007B7AFF">
        <w:rPr>
          <w:rFonts w:cs="Arial"/>
          <w:szCs w:val="22"/>
        </w:rPr>
        <w:t xml:space="preserve">is used generically to refer to the </w:t>
      </w:r>
      <w:r>
        <w:rPr>
          <w:rFonts w:cs="Arial"/>
          <w:szCs w:val="22"/>
        </w:rPr>
        <w:t>BMD</w:t>
      </w:r>
      <w:r w:rsidRPr="007B7AFF">
        <w:rPr>
          <w:rFonts w:cs="Arial"/>
          <w:szCs w:val="22"/>
        </w:rPr>
        <w:t xml:space="preserve"> </w:t>
      </w:r>
      <w:r w:rsidR="00A9243E">
        <w:rPr>
          <w:rFonts w:cs="Arial"/>
          <w:szCs w:val="22"/>
        </w:rPr>
        <w:t xml:space="preserve">assessment </w:t>
      </w:r>
      <w:r>
        <w:rPr>
          <w:rFonts w:cs="Arial"/>
          <w:szCs w:val="22"/>
        </w:rPr>
        <w:t>method.</w:t>
      </w:r>
      <w:r w:rsidRPr="007B7AFF">
        <w:rPr>
          <w:rFonts w:cs="Arial"/>
          <w:szCs w:val="22"/>
        </w:rPr>
        <w:t xml:space="preserve"> </w:t>
      </w:r>
      <w:r w:rsidR="004D1953" w:rsidRPr="004D1953">
        <w:rPr>
          <w:rFonts w:cs="Arial"/>
          <w:szCs w:val="22"/>
        </w:rPr>
        <w:t xml:space="preserve">The </w:t>
      </w:r>
      <w:r>
        <w:rPr>
          <w:rFonts w:cs="Arial"/>
          <w:szCs w:val="22"/>
        </w:rPr>
        <w:t>BMD</w:t>
      </w:r>
      <w:r w:rsidR="004D1953" w:rsidRPr="004D1953">
        <w:rPr>
          <w:rFonts w:cs="Arial"/>
          <w:szCs w:val="22"/>
        </w:rPr>
        <w:t xml:space="preserve"> </w:t>
      </w:r>
      <w:r w:rsidR="00A9243E">
        <w:rPr>
          <w:rFonts w:cs="Arial"/>
          <w:szCs w:val="22"/>
        </w:rPr>
        <w:t xml:space="preserve">assessment </w:t>
      </w:r>
      <w:r w:rsidR="004D1953" w:rsidRPr="004D1953">
        <w:rPr>
          <w:rFonts w:cs="Arial"/>
          <w:szCs w:val="22"/>
        </w:rPr>
        <w:t xml:space="preserve">method involves fitting a mathematical model </w:t>
      </w:r>
      <w:r w:rsidR="00A9243E">
        <w:rPr>
          <w:rFonts w:cs="Arial"/>
          <w:szCs w:val="22"/>
        </w:rPr>
        <w:t xml:space="preserve">with appropriate statistical measures </w:t>
      </w:r>
      <w:r w:rsidR="004D1953" w:rsidRPr="004D1953">
        <w:rPr>
          <w:rFonts w:cs="Arial"/>
          <w:szCs w:val="22"/>
        </w:rPr>
        <w:t>to all the dose-response data within a study and th</w:t>
      </w:r>
      <w:r>
        <w:rPr>
          <w:rFonts w:cs="Arial"/>
          <w:szCs w:val="22"/>
        </w:rPr>
        <w:t>erefore</w:t>
      </w:r>
      <w:r w:rsidR="004D1953" w:rsidRPr="004D1953">
        <w:rPr>
          <w:rFonts w:cs="Arial"/>
          <w:szCs w:val="22"/>
        </w:rPr>
        <w:t xml:space="preserve"> </w:t>
      </w:r>
      <w:r w:rsidR="004D1953">
        <w:rPr>
          <w:rFonts w:cs="Arial"/>
          <w:szCs w:val="22"/>
        </w:rPr>
        <w:t xml:space="preserve">potentially </w:t>
      </w:r>
      <w:r>
        <w:rPr>
          <w:rFonts w:cs="Arial"/>
          <w:szCs w:val="22"/>
        </w:rPr>
        <w:t xml:space="preserve">incorporates </w:t>
      </w:r>
      <w:r w:rsidR="004D1953" w:rsidRPr="004D1953">
        <w:rPr>
          <w:rFonts w:cs="Arial"/>
          <w:szCs w:val="22"/>
        </w:rPr>
        <w:t xml:space="preserve">more </w:t>
      </w:r>
      <w:r>
        <w:rPr>
          <w:rFonts w:cs="Arial"/>
          <w:szCs w:val="22"/>
        </w:rPr>
        <w:t xml:space="preserve">relevant </w:t>
      </w:r>
      <w:r w:rsidR="004D1953" w:rsidRPr="004D1953">
        <w:rPr>
          <w:rFonts w:cs="Arial"/>
          <w:szCs w:val="22"/>
        </w:rPr>
        <w:t>information in</w:t>
      </w:r>
      <w:r>
        <w:rPr>
          <w:rFonts w:cs="Arial"/>
          <w:szCs w:val="22"/>
        </w:rPr>
        <w:t>to</w:t>
      </w:r>
      <w:r w:rsidR="004D1953" w:rsidRPr="004D1953">
        <w:rPr>
          <w:rFonts w:cs="Arial"/>
          <w:szCs w:val="22"/>
        </w:rPr>
        <w:t xml:space="preserve"> the resulting estimates of </w:t>
      </w:r>
      <w:r>
        <w:rPr>
          <w:rFonts w:cs="Arial"/>
          <w:szCs w:val="22"/>
        </w:rPr>
        <w:t xml:space="preserve">health-based </w:t>
      </w:r>
      <w:r w:rsidR="004D1953" w:rsidRPr="004D1953">
        <w:rPr>
          <w:rFonts w:cs="Arial"/>
          <w:szCs w:val="22"/>
        </w:rPr>
        <w:t>guidance values (e.g., ADI</w:t>
      </w:r>
      <w:r>
        <w:rPr>
          <w:rFonts w:cs="Arial"/>
          <w:szCs w:val="22"/>
        </w:rPr>
        <w:t xml:space="preserve"> or ARfD).</w:t>
      </w:r>
    </w:p>
    <w:p w:rsidR="00A0174A" w:rsidRDefault="00A0174A" w:rsidP="00A0174A">
      <w:pPr>
        <w:rPr>
          <w:rFonts w:cs="Arial"/>
          <w:b/>
          <w:szCs w:val="22"/>
        </w:rPr>
      </w:pPr>
    </w:p>
    <w:p w:rsidR="00A0174A" w:rsidRPr="00777F93" w:rsidRDefault="00A0174A" w:rsidP="00A0174A">
      <w:pPr>
        <w:rPr>
          <w:rFonts w:cs="Arial"/>
          <w:b/>
          <w:szCs w:val="22"/>
        </w:rPr>
      </w:pPr>
      <w:r>
        <w:rPr>
          <w:rFonts w:cs="Arial"/>
          <w:b/>
          <w:szCs w:val="22"/>
        </w:rPr>
        <w:t>Dietary e</w:t>
      </w:r>
      <w:r w:rsidRPr="00777F93">
        <w:rPr>
          <w:rFonts w:cs="Arial"/>
          <w:b/>
          <w:szCs w:val="22"/>
        </w:rPr>
        <w:t>xposure</w:t>
      </w:r>
    </w:p>
    <w:p w:rsidR="00A0174A" w:rsidRDefault="00A0174A" w:rsidP="00A0174A">
      <w:pPr>
        <w:rPr>
          <w:rFonts w:cs="Arial"/>
          <w:szCs w:val="22"/>
        </w:rPr>
      </w:pPr>
    </w:p>
    <w:p w:rsidR="00A0174A" w:rsidRPr="007B54A2" w:rsidRDefault="00A0174A" w:rsidP="00A0174A">
      <w:pPr>
        <w:rPr>
          <w:rFonts w:cs="Arial"/>
          <w:szCs w:val="22"/>
        </w:rPr>
      </w:pPr>
      <w:r w:rsidRPr="007B54A2">
        <w:rPr>
          <w:rFonts w:cs="Arial"/>
          <w:szCs w:val="22"/>
        </w:rPr>
        <w:t>The amount of a chemical that is ingested by a consumer</w:t>
      </w:r>
      <w:r>
        <w:rPr>
          <w:rFonts w:cs="Arial"/>
          <w:szCs w:val="22"/>
        </w:rPr>
        <w:t xml:space="preserve"> as part of their diet (e.g. via food, beverages and drinking water)</w:t>
      </w:r>
      <w:r w:rsidRPr="007B54A2">
        <w:rPr>
          <w:rFonts w:cs="Arial"/>
          <w:szCs w:val="22"/>
        </w:rPr>
        <w:t>.</w:t>
      </w:r>
    </w:p>
    <w:p w:rsidR="00777F93" w:rsidRDefault="00777F93" w:rsidP="007B54A2">
      <w:pPr>
        <w:rPr>
          <w:rFonts w:cs="Arial"/>
          <w:szCs w:val="22"/>
        </w:rPr>
      </w:pPr>
    </w:p>
    <w:p w:rsidR="00777F93" w:rsidRDefault="00777F93" w:rsidP="007B54A2">
      <w:pPr>
        <w:rPr>
          <w:rFonts w:cs="Arial"/>
          <w:b/>
          <w:szCs w:val="22"/>
        </w:rPr>
      </w:pPr>
      <w:r w:rsidRPr="00777F93">
        <w:rPr>
          <w:rFonts w:cs="Arial"/>
          <w:b/>
          <w:szCs w:val="22"/>
        </w:rPr>
        <w:t>Dose-response</w:t>
      </w:r>
    </w:p>
    <w:p w:rsidR="00777F93" w:rsidRDefault="00777F93" w:rsidP="007B54A2">
      <w:pPr>
        <w:rPr>
          <w:rFonts w:cs="Arial"/>
          <w:b/>
          <w:szCs w:val="22"/>
        </w:rPr>
      </w:pPr>
    </w:p>
    <w:p w:rsidR="00777F93" w:rsidRPr="00777F93" w:rsidRDefault="00777F93" w:rsidP="007B54A2">
      <w:pPr>
        <w:rPr>
          <w:rFonts w:cs="Arial"/>
          <w:szCs w:val="22"/>
        </w:rPr>
      </w:pPr>
      <w:r w:rsidRPr="00777F93">
        <w:rPr>
          <w:rFonts w:cs="Arial"/>
          <w:szCs w:val="22"/>
        </w:rPr>
        <w:t xml:space="preserve">The relationship in which a change in the magnitude of exposure to a </w:t>
      </w:r>
      <w:r w:rsidR="005C1D72">
        <w:rPr>
          <w:rFonts w:cs="Arial"/>
          <w:szCs w:val="22"/>
        </w:rPr>
        <w:t xml:space="preserve">chemical </w:t>
      </w:r>
      <w:r w:rsidRPr="00777F93">
        <w:rPr>
          <w:rFonts w:cs="Arial"/>
          <w:szCs w:val="22"/>
        </w:rPr>
        <w:t xml:space="preserve">agent is associated with a change in the manifestation and magnitude of </w:t>
      </w:r>
      <w:r w:rsidR="00A9243E">
        <w:rPr>
          <w:rFonts w:cs="Arial"/>
          <w:szCs w:val="22"/>
        </w:rPr>
        <w:t xml:space="preserve">physiological </w:t>
      </w:r>
      <w:r w:rsidRPr="00777F93">
        <w:rPr>
          <w:rFonts w:cs="Arial"/>
          <w:szCs w:val="22"/>
        </w:rPr>
        <w:t>effects.</w:t>
      </w:r>
    </w:p>
    <w:p w:rsidR="004D7A78" w:rsidRPr="007B54A2" w:rsidRDefault="004D7A78" w:rsidP="007B54A2">
      <w:pPr>
        <w:rPr>
          <w:rFonts w:cs="Arial"/>
          <w:szCs w:val="22"/>
        </w:rPr>
      </w:pPr>
    </w:p>
    <w:p w:rsidR="007C0776" w:rsidRPr="007C0776" w:rsidRDefault="007C0776" w:rsidP="007B54A2">
      <w:pPr>
        <w:rPr>
          <w:rFonts w:cs="Arial"/>
          <w:b/>
          <w:szCs w:val="22"/>
        </w:rPr>
      </w:pPr>
      <w:r w:rsidRPr="007C0776">
        <w:rPr>
          <w:rFonts w:cs="Arial"/>
          <w:b/>
          <w:szCs w:val="22"/>
        </w:rPr>
        <w:t xml:space="preserve">Exposure assessment </w:t>
      </w:r>
    </w:p>
    <w:p w:rsidR="007C0776" w:rsidRDefault="007C0776" w:rsidP="007B54A2">
      <w:pPr>
        <w:rPr>
          <w:rFonts w:cs="Arial"/>
          <w:szCs w:val="22"/>
        </w:rPr>
      </w:pPr>
    </w:p>
    <w:p w:rsidR="007C0776" w:rsidRDefault="007C0776" w:rsidP="007B54A2">
      <w:pPr>
        <w:rPr>
          <w:rFonts w:cs="Arial"/>
          <w:szCs w:val="22"/>
        </w:rPr>
      </w:pPr>
      <w:r w:rsidRPr="007C0776">
        <w:rPr>
          <w:rFonts w:cs="Arial"/>
          <w:szCs w:val="22"/>
        </w:rPr>
        <w:t>The evaluation of the magnitude, frequ</w:t>
      </w:r>
      <w:r>
        <w:rPr>
          <w:rFonts w:cs="Arial"/>
          <w:szCs w:val="22"/>
        </w:rPr>
        <w:t>ency and duration of exposure to a</w:t>
      </w:r>
      <w:r w:rsidRPr="007C0776">
        <w:rPr>
          <w:rFonts w:cs="Arial"/>
          <w:szCs w:val="22"/>
        </w:rPr>
        <w:t xml:space="preserve"> chemical</w:t>
      </w:r>
      <w:r>
        <w:rPr>
          <w:rFonts w:cs="Arial"/>
          <w:szCs w:val="22"/>
        </w:rPr>
        <w:t xml:space="preserve"> agent</w:t>
      </w:r>
      <w:r w:rsidRPr="007C0776">
        <w:rPr>
          <w:rFonts w:cs="Arial"/>
          <w:szCs w:val="22"/>
        </w:rPr>
        <w:t xml:space="preserve"> via food </w:t>
      </w:r>
      <w:r>
        <w:rPr>
          <w:rFonts w:cs="Arial"/>
          <w:szCs w:val="22"/>
        </w:rPr>
        <w:t>(</w:t>
      </w:r>
      <w:r w:rsidRPr="007C0776">
        <w:rPr>
          <w:rFonts w:cs="Arial"/>
          <w:szCs w:val="22"/>
        </w:rPr>
        <w:t>as well as exposures from other sources</w:t>
      </w:r>
      <w:r>
        <w:rPr>
          <w:rFonts w:cs="Arial"/>
          <w:szCs w:val="22"/>
        </w:rPr>
        <w:t>,</w:t>
      </w:r>
      <w:r w:rsidRPr="007C0776">
        <w:rPr>
          <w:rFonts w:cs="Arial"/>
          <w:szCs w:val="22"/>
        </w:rPr>
        <w:t xml:space="preserve"> if relevant</w:t>
      </w:r>
      <w:r>
        <w:rPr>
          <w:rFonts w:cs="Arial"/>
          <w:szCs w:val="22"/>
        </w:rPr>
        <w:t>)</w:t>
      </w:r>
      <w:r w:rsidRPr="007C0776">
        <w:rPr>
          <w:rFonts w:cs="Arial"/>
          <w:szCs w:val="22"/>
        </w:rPr>
        <w:t>.</w:t>
      </w:r>
    </w:p>
    <w:p w:rsidR="007C0776" w:rsidRDefault="007C0776" w:rsidP="007B54A2">
      <w:pPr>
        <w:rPr>
          <w:rFonts w:cs="Arial"/>
          <w:szCs w:val="22"/>
        </w:rPr>
      </w:pPr>
    </w:p>
    <w:p w:rsidR="007C0776" w:rsidRDefault="007C0776" w:rsidP="007B54A2">
      <w:pPr>
        <w:rPr>
          <w:rFonts w:cs="Arial"/>
          <w:b/>
          <w:szCs w:val="22"/>
        </w:rPr>
      </w:pPr>
      <w:r w:rsidRPr="007C0776">
        <w:rPr>
          <w:rFonts w:cs="Arial"/>
          <w:b/>
          <w:szCs w:val="22"/>
        </w:rPr>
        <w:t>Hazard</w:t>
      </w:r>
    </w:p>
    <w:p w:rsidR="007C0776" w:rsidRDefault="007C0776" w:rsidP="007B54A2">
      <w:pPr>
        <w:rPr>
          <w:rFonts w:cs="Arial"/>
          <w:b/>
          <w:szCs w:val="22"/>
        </w:rPr>
      </w:pPr>
    </w:p>
    <w:p w:rsidR="007C0776" w:rsidRPr="007C0776" w:rsidRDefault="007C0776" w:rsidP="007B54A2">
      <w:pPr>
        <w:rPr>
          <w:rFonts w:cs="Arial"/>
          <w:szCs w:val="22"/>
        </w:rPr>
      </w:pPr>
      <w:r w:rsidRPr="007C0776">
        <w:rPr>
          <w:rFonts w:cs="Arial"/>
          <w:szCs w:val="22"/>
        </w:rPr>
        <w:t>A chemical agent in food with the potential to cause an adverse health effect.</w:t>
      </w:r>
    </w:p>
    <w:p w:rsidR="005C1D72" w:rsidRDefault="005C1D72" w:rsidP="007B54A2">
      <w:pPr>
        <w:rPr>
          <w:rFonts w:cs="Arial"/>
          <w:szCs w:val="22"/>
        </w:rPr>
      </w:pPr>
    </w:p>
    <w:p w:rsidR="005C1D72" w:rsidRDefault="005C1D72" w:rsidP="005C1D72">
      <w:pPr>
        <w:rPr>
          <w:rFonts w:cs="Arial"/>
          <w:szCs w:val="22"/>
        </w:rPr>
      </w:pPr>
      <w:r w:rsidRPr="005C1D72">
        <w:rPr>
          <w:rFonts w:cs="Arial"/>
          <w:b/>
          <w:szCs w:val="22"/>
        </w:rPr>
        <w:t>Health-based guidance value (HBGV)</w:t>
      </w:r>
      <w:r w:rsidRPr="005C1D72">
        <w:rPr>
          <w:rFonts w:cs="Arial"/>
          <w:szCs w:val="22"/>
        </w:rPr>
        <w:t xml:space="preserve"> </w:t>
      </w:r>
    </w:p>
    <w:p w:rsidR="005C1D72" w:rsidRPr="005C1D72" w:rsidRDefault="005C1D72" w:rsidP="005C1D72">
      <w:pPr>
        <w:rPr>
          <w:rFonts w:cs="Arial"/>
          <w:szCs w:val="22"/>
        </w:rPr>
      </w:pPr>
    </w:p>
    <w:p w:rsidR="005C1D72" w:rsidRDefault="005C1D72" w:rsidP="005C1D72">
      <w:pPr>
        <w:rPr>
          <w:rFonts w:cs="Arial"/>
          <w:szCs w:val="22"/>
        </w:rPr>
      </w:pPr>
      <w:r w:rsidRPr="005C1D72">
        <w:rPr>
          <w:rFonts w:cs="Arial"/>
          <w:szCs w:val="22"/>
        </w:rPr>
        <w:t xml:space="preserve">A numerical value that reflects the level of a chemical that can be ingested over a defined time period (e.g. </w:t>
      </w:r>
      <w:r w:rsidR="00A9243E">
        <w:rPr>
          <w:rFonts w:cs="Arial"/>
          <w:szCs w:val="22"/>
        </w:rPr>
        <w:t xml:space="preserve">daily for a </w:t>
      </w:r>
      <w:r w:rsidRPr="005C1D72">
        <w:rPr>
          <w:rFonts w:cs="Arial"/>
          <w:szCs w:val="22"/>
        </w:rPr>
        <w:t xml:space="preserve">lifetime or </w:t>
      </w:r>
      <w:r w:rsidR="00A9243E">
        <w:rPr>
          <w:rFonts w:cs="Arial"/>
          <w:szCs w:val="22"/>
        </w:rPr>
        <w:t>a single meal</w:t>
      </w:r>
      <w:r w:rsidRPr="005C1D72">
        <w:rPr>
          <w:rFonts w:cs="Arial"/>
          <w:szCs w:val="22"/>
        </w:rPr>
        <w:t>) without appreciable health risk.</w:t>
      </w:r>
    </w:p>
    <w:p w:rsidR="005C1D72" w:rsidRDefault="005C1D72" w:rsidP="005C1D72">
      <w:pPr>
        <w:rPr>
          <w:rFonts w:cs="Arial"/>
          <w:szCs w:val="22"/>
        </w:rPr>
      </w:pPr>
    </w:p>
    <w:p w:rsidR="004D7A78" w:rsidRPr="005C1D72" w:rsidRDefault="004D7A78" w:rsidP="007B54A2">
      <w:pPr>
        <w:rPr>
          <w:rFonts w:cs="Arial"/>
          <w:b/>
          <w:szCs w:val="22"/>
        </w:rPr>
      </w:pPr>
      <w:r w:rsidRPr="005C1D72">
        <w:rPr>
          <w:rFonts w:cs="Arial"/>
          <w:b/>
          <w:szCs w:val="22"/>
        </w:rPr>
        <w:t>Limit of detection (LoD)</w:t>
      </w:r>
    </w:p>
    <w:p w:rsidR="004D7A78" w:rsidRDefault="004D7A78" w:rsidP="007B54A2">
      <w:pPr>
        <w:rPr>
          <w:rFonts w:cs="Arial"/>
          <w:szCs w:val="22"/>
        </w:rPr>
      </w:pPr>
    </w:p>
    <w:p w:rsidR="005C1D72" w:rsidRDefault="005C1D72" w:rsidP="007B54A2">
      <w:pPr>
        <w:rPr>
          <w:rFonts w:cs="Arial"/>
          <w:szCs w:val="22"/>
        </w:rPr>
      </w:pPr>
      <w:r>
        <w:rPr>
          <w:rFonts w:cs="Arial"/>
          <w:szCs w:val="22"/>
        </w:rPr>
        <w:t>T</w:t>
      </w:r>
      <w:r w:rsidRPr="005C1D72">
        <w:rPr>
          <w:rFonts w:cs="Arial"/>
          <w:szCs w:val="22"/>
        </w:rPr>
        <w:t>he lowest concentration of a specific chemical that can be qualitatively detected using a specified laboratory method and/or item of laboratory equipment (i.e. its presence can be detected but not quantified).</w:t>
      </w:r>
    </w:p>
    <w:p w:rsidR="005C1D72" w:rsidRDefault="005C1D72" w:rsidP="007B54A2">
      <w:pPr>
        <w:rPr>
          <w:rFonts w:cs="Arial"/>
          <w:szCs w:val="22"/>
        </w:rPr>
      </w:pPr>
    </w:p>
    <w:p w:rsidR="007B54A2" w:rsidRPr="005C1D72" w:rsidRDefault="00E27A5D" w:rsidP="007B54A2">
      <w:pPr>
        <w:rPr>
          <w:rFonts w:cs="Arial"/>
          <w:b/>
          <w:szCs w:val="22"/>
        </w:rPr>
      </w:pPr>
      <w:r w:rsidRPr="005C1D72">
        <w:rPr>
          <w:rFonts w:cs="Arial"/>
          <w:b/>
          <w:szCs w:val="22"/>
        </w:rPr>
        <w:t>Lower bound mean</w:t>
      </w:r>
    </w:p>
    <w:p w:rsidR="007B54A2" w:rsidRDefault="007B54A2" w:rsidP="007B54A2">
      <w:pPr>
        <w:rPr>
          <w:rFonts w:cs="Arial"/>
          <w:szCs w:val="22"/>
        </w:rPr>
      </w:pPr>
    </w:p>
    <w:p w:rsidR="00E27A5D" w:rsidRPr="007B54A2" w:rsidRDefault="00E27A5D" w:rsidP="007B54A2">
      <w:pPr>
        <w:rPr>
          <w:rFonts w:cs="Arial"/>
          <w:szCs w:val="22"/>
        </w:rPr>
      </w:pPr>
      <w:r w:rsidRPr="007B54A2">
        <w:rPr>
          <w:rFonts w:cs="Arial"/>
          <w:szCs w:val="22"/>
        </w:rPr>
        <w:t xml:space="preserve">An estimate of the mean concentration of a chemical in a food or dietary intake assuming analytical results reported as being </w:t>
      </w:r>
      <w:r w:rsidR="005C1D72">
        <w:rPr>
          <w:rFonts w:cs="Arial"/>
          <w:szCs w:val="22"/>
        </w:rPr>
        <w:t>below the LoD</w:t>
      </w:r>
      <w:r w:rsidRPr="007B54A2">
        <w:rPr>
          <w:rFonts w:cs="Arial"/>
          <w:szCs w:val="22"/>
        </w:rPr>
        <w:t xml:space="preserve"> equal zero.</w:t>
      </w:r>
    </w:p>
    <w:p w:rsidR="00E27A5D" w:rsidRPr="007B54A2" w:rsidRDefault="00E27A5D" w:rsidP="007B54A2">
      <w:pPr>
        <w:rPr>
          <w:rFonts w:cs="Arial"/>
          <w:szCs w:val="22"/>
        </w:rPr>
      </w:pPr>
    </w:p>
    <w:p w:rsidR="004D7A78" w:rsidRPr="005C1D72" w:rsidRDefault="004D7A78" w:rsidP="007B54A2">
      <w:pPr>
        <w:rPr>
          <w:rFonts w:cs="Arial"/>
          <w:b/>
          <w:szCs w:val="22"/>
        </w:rPr>
      </w:pPr>
      <w:r w:rsidRPr="005C1D72">
        <w:rPr>
          <w:rFonts w:cs="Arial"/>
          <w:b/>
          <w:szCs w:val="22"/>
        </w:rPr>
        <w:t>Maximum level (ML)</w:t>
      </w:r>
    </w:p>
    <w:p w:rsidR="005C1D72" w:rsidRDefault="005C1D72" w:rsidP="007B54A2">
      <w:pPr>
        <w:rPr>
          <w:rFonts w:cs="Arial"/>
          <w:szCs w:val="22"/>
        </w:rPr>
      </w:pPr>
    </w:p>
    <w:p w:rsidR="005C1D72" w:rsidRDefault="005C1D72" w:rsidP="007B54A2">
      <w:pPr>
        <w:rPr>
          <w:rFonts w:cs="Arial"/>
          <w:szCs w:val="22"/>
        </w:rPr>
      </w:pPr>
      <w:r w:rsidRPr="005C1D72">
        <w:rPr>
          <w:rFonts w:cs="Arial"/>
          <w:szCs w:val="22"/>
        </w:rPr>
        <w:t>The maximum level of a contaminant or natural toxicant that is permitted to be present in a nominated food.</w:t>
      </w:r>
    </w:p>
    <w:p w:rsidR="004D7A78" w:rsidRDefault="004D7A78" w:rsidP="007B54A2">
      <w:pPr>
        <w:rPr>
          <w:rFonts w:cs="Arial"/>
          <w:szCs w:val="22"/>
        </w:rPr>
      </w:pPr>
    </w:p>
    <w:p w:rsidR="00E27A5D" w:rsidRPr="007B54A2" w:rsidRDefault="00E27A5D" w:rsidP="007B54A2">
      <w:pPr>
        <w:rPr>
          <w:rFonts w:cs="Arial"/>
          <w:szCs w:val="22"/>
        </w:rPr>
      </w:pPr>
    </w:p>
    <w:p w:rsidR="005C1D72" w:rsidRPr="005C1D72" w:rsidRDefault="005C1D72" w:rsidP="005C1D72">
      <w:pPr>
        <w:rPr>
          <w:rFonts w:cs="Arial"/>
          <w:b/>
          <w:szCs w:val="22"/>
        </w:rPr>
      </w:pPr>
      <w:r w:rsidRPr="005C1D72">
        <w:rPr>
          <w:rFonts w:cs="Arial"/>
          <w:b/>
          <w:szCs w:val="22"/>
        </w:rPr>
        <w:t>Natural toxicant</w:t>
      </w:r>
    </w:p>
    <w:p w:rsidR="005C1D72" w:rsidRPr="005C1D72" w:rsidRDefault="005C1D72" w:rsidP="005C1D72">
      <w:pPr>
        <w:rPr>
          <w:rFonts w:cs="Arial"/>
          <w:szCs w:val="22"/>
        </w:rPr>
      </w:pPr>
    </w:p>
    <w:p w:rsidR="005C1D72" w:rsidRDefault="005C1D72" w:rsidP="005C1D72">
      <w:pPr>
        <w:rPr>
          <w:rFonts w:cs="Arial"/>
          <w:szCs w:val="22"/>
        </w:rPr>
      </w:pPr>
      <w:r w:rsidRPr="005C1D72">
        <w:rPr>
          <w:rFonts w:cs="Arial"/>
          <w:szCs w:val="22"/>
        </w:rPr>
        <w:t>A chemical hazard naturally present in a particular food.</w:t>
      </w:r>
    </w:p>
    <w:p w:rsidR="005C1D72" w:rsidRDefault="005C1D72" w:rsidP="007B54A2">
      <w:pPr>
        <w:rPr>
          <w:rFonts w:cs="Arial"/>
          <w:szCs w:val="22"/>
        </w:rPr>
      </w:pPr>
    </w:p>
    <w:p w:rsidR="004D7A78" w:rsidRPr="005C1D72" w:rsidRDefault="004D7A78" w:rsidP="007B54A2">
      <w:pPr>
        <w:rPr>
          <w:rFonts w:cs="Arial"/>
          <w:b/>
          <w:szCs w:val="22"/>
        </w:rPr>
      </w:pPr>
      <w:r w:rsidRPr="005C1D72">
        <w:rPr>
          <w:rFonts w:cs="Arial"/>
          <w:b/>
          <w:szCs w:val="22"/>
        </w:rPr>
        <w:t>No-observed-adverse-effect-level (NOAEL)</w:t>
      </w:r>
    </w:p>
    <w:p w:rsidR="005C1D72" w:rsidRDefault="005C1D72" w:rsidP="007B54A2">
      <w:pPr>
        <w:rPr>
          <w:rFonts w:cs="Arial"/>
          <w:szCs w:val="22"/>
        </w:rPr>
      </w:pPr>
    </w:p>
    <w:p w:rsidR="005C1D72" w:rsidRDefault="005C1D72" w:rsidP="007B54A2">
      <w:pPr>
        <w:rPr>
          <w:rFonts w:cs="Arial"/>
          <w:szCs w:val="22"/>
        </w:rPr>
      </w:pPr>
      <w:r w:rsidRPr="005C1D72">
        <w:rPr>
          <w:rFonts w:cs="Arial"/>
          <w:szCs w:val="22"/>
        </w:rPr>
        <w:t>The highest dose level of a substance that produces no adverse effects in the most sensitive test species.</w:t>
      </w:r>
    </w:p>
    <w:p w:rsidR="004D7A78" w:rsidRDefault="004D7A78" w:rsidP="007B54A2">
      <w:pPr>
        <w:rPr>
          <w:rFonts w:cs="Arial"/>
          <w:szCs w:val="22"/>
        </w:rPr>
      </w:pPr>
    </w:p>
    <w:p w:rsidR="004D7A78" w:rsidRPr="006B1822" w:rsidRDefault="004D7A78" w:rsidP="007B54A2">
      <w:pPr>
        <w:rPr>
          <w:rFonts w:cs="Arial"/>
          <w:b/>
          <w:szCs w:val="22"/>
        </w:rPr>
      </w:pPr>
      <w:r w:rsidRPr="00786466">
        <w:rPr>
          <w:rFonts w:cs="Arial"/>
          <w:b/>
          <w:szCs w:val="22"/>
        </w:rPr>
        <w:t>Provision</w:t>
      </w:r>
      <w:r w:rsidR="00786466" w:rsidRPr="00786466">
        <w:rPr>
          <w:rFonts w:cs="Arial"/>
          <w:b/>
          <w:szCs w:val="22"/>
        </w:rPr>
        <w:t>al</w:t>
      </w:r>
      <w:r w:rsidRPr="00786466">
        <w:rPr>
          <w:rFonts w:cs="Arial"/>
          <w:b/>
          <w:szCs w:val="22"/>
        </w:rPr>
        <w:t xml:space="preserve"> maximum tolerable daily intake (PMTDI)</w:t>
      </w:r>
    </w:p>
    <w:p w:rsidR="004D7A78" w:rsidRDefault="004D7A78" w:rsidP="007B54A2">
      <w:pPr>
        <w:rPr>
          <w:rFonts w:cs="Arial"/>
          <w:szCs w:val="22"/>
        </w:rPr>
      </w:pPr>
    </w:p>
    <w:p w:rsidR="005C1D72" w:rsidRPr="00786466" w:rsidRDefault="00786466" w:rsidP="00786466">
      <w:pPr>
        <w:rPr>
          <w:rFonts w:cs="Arial"/>
          <w:szCs w:val="22"/>
        </w:rPr>
      </w:pPr>
      <w:r w:rsidRPr="00786466">
        <w:rPr>
          <w:rFonts w:cs="Arial"/>
          <w:szCs w:val="22"/>
        </w:rPr>
        <w:t>The maximum permissible human daily exposures to food contaminants unavoidable associated with the consumption of otherwise wholesome and nutritious food. The tolerable intake is referred to as ‘provisional’ as there is often a lack of data on the consequences of human exposure at low levels and new data may result in changes to the tolerable intake.</w:t>
      </w:r>
    </w:p>
    <w:p w:rsidR="00786466" w:rsidRDefault="00786466" w:rsidP="007B54A2">
      <w:pPr>
        <w:rPr>
          <w:rFonts w:cs="Arial"/>
          <w:b/>
          <w:szCs w:val="22"/>
        </w:rPr>
      </w:pPr>
    </w:p>
    <w:p w:rsidR="007B54A2" w:rsidRPr="006B1822" w:rsidRDefault="00E27A5D" w:rsidP="007B54A2">
      <w:pPr>
        <w:rPr>
          <w:rFonts w:cs="Arial"/>
          <w:b/>
          <w:szCs w:val="22"/>
        </w:rPr>
      </w:pPr>
      <w:r w:rsidRPr="006B1822">
        <w:rPr>
          <w:rFonts w:cs="Arial"/>
          <w:b/>
          <w:szCs w:val="22"/>
        </w:rPr>
        <w:t>Upper bound mean</w:t>
      </w:r>
    </w:p>
    <w:p w:rsidR="007B54A2" w:rsidRDefault="007B54A2" w:rsidP="007B54A2">
      <w:pPr>
        <w:rPr>
          <w:rFonts w:cs="Arial"/>
          <w:szCs w:val="22"/>
        </w:rPr>
      </w:pPr>
    </w:p>
    <w:p w:rsidR="00E27A5D" w:rsidRPr="007B54A2" w:rsidRDefault="00E27A5D" w:rsidP="007B54A2">
      <w:pPr>
        <w:rPr>
          <w:rFonts w:cs="Arial"/>
          <w:szCs w:val="22"/>
        </w:rPr>
      </w:pPr>
      <w:r w:rsidRPr="007B54A2">
        <w:rPr>
          <w:rFonts w:cs="Arial"/>
          <w:szCs w:val="22"/>
        </w:rPr>
        <w:t xml:space="preserve">An estimate of the mean concentration of a chemical in a food or dietary intake assuming analytical results reported as below the </w:t>
      </w:r>
      <w:r w:rsidR="006B1822">
        <w:rPr>
          <w:rFonts w:cs="Arial"/>
          <w:szCs w:val="22"/>
        </w:rPr>
        <w:t xml:space="preserve">LoD </w:t>
      </w:r>
      <w:r w:rsidRPr="007B54A2">
        <w:rPr>
          <w:rFonts w:cs="Arial"/>
          <w:szCs w:val="22"/>
        </w:rPr>
        <w:t>are equal to the value of the L</w:t>
      </w:r>
      <w:r w:rsidR="006B1822">
        <w:rPr>
          <w:rFonts w:cs="Arial"/>
          <w:szCs w:val="22"/>
        </w:rPr>
        <w:t>oD</w:t>
      </w:r>
      <w:r w:rsidRPr="007B54A2">
        <w:rPr>
          <w:rFonts w:cs="Arial"/>
          <w:szCs w:val="22"/>
        </w:rPr>
        <w:t>.</w:t>
      </w:r>
    </w:p>
    <w:p w:rsidR="00E27A5D" w:rsidRPr="007B54A2" w:rsidRDefault="00E27A5D" w:rsidP="007B54A2">
      <w:pPr>
        <w:rPr>
          <w:rFonts w:cs="Arial"/>
          <w:szCs w:val="22"/>
        </w:rPr>
      </w:pPr>
    </w:p>
    <w:p w:rsidR="00E27A5D" w:rsidRDefault="00E27A5D">
      <w:pPr>
        <w:spacing w:after="200" w:line="276" w:lineRule="auto"/>
      </w:pPr>
      <w:r>
        <w:br w:type="page"/>
      </w:r>
    </w:p>
    <w:p w:rsidR="007B54A2" w:rsidRDefault="007B54A2" w:rsidP="007B54A2">
      <w:pPr>
        <w:pStyle w:val="Heading1"/>
      </w:pPr>
      <w:bookmarkStart w:id="195" w:name="_Toc367957663"/>
      <w:bookmarkStart w:id="196" w:name="_Toc367957762"/>
      <w:bookmarkStart w:id="197" w:name="_Toc384293538"/>
      <w:r>
        <w:lastRenderedPageBreak/>
        <w:t xml:space="preserve">Appendix 2. </w:t>
      </w:r>
      <w:r w:rsidR="0022277C" w:rsidRPr="00057E19">
        <w:t>Food preparation instructions</w:t>
      </w:r>
      <w:r w:rsidR="00AE74D6">
        <w:t xml:space="preserve"> for foods requiring cooking</w:t>
      </w:r>
      <w:bookmarkEnd w:id="195"/>
      <w:bookmarkEnd w:id="196"/>
      <w:bookmarkEnd w:id="197"/>
    </w:p>
    <w:p w:rsidR="00AE74D6" w:rsidRPr="00AE74D6" w:rsidRDefault="00AE74D6" w:rsidP="00AE74D6">
      <w:pPr>
        <w:rPr>
          <w:rFonts w:cs="Arial"/>
          <w:szCs w:val="22"/>
        </w:rPr>
      </w:pPr>
    </w:p>
    <w:p w:rsidR="00AE74D6" w:rsidRDefault="00AE74D6" w:rsidP="00AE74D6">
      <w:pPr>
        <w:rPr>
          <w:rFonts w:cs="Arial"/>
          <w:szCs w:val="22"/>
        </w:rPr>
      </w:pPr>
    </w:p>
    <w:p w:rsidR="00AE74D6" w:rsidRPr="00AE74D6" w:rsidRDefault="00AE74D6" w:rsidP="00AE74D6">
      <w:pPr>
        <w:rPr>
          <w:rFonts w:cs="Arial"/>
          <w:b/>
          <w:szCs w:val="22"/>
        </w:rPr>
      </w:pPr>
      <w:r w:rsidRPr="00AE74D6">
        <w:rPr>
          <w:rFonts w:cs="Arial"/>
          <w:b/>
          <w:szCs w:val="22"/>
        </w:rPr>
        <w:t xml:space="preserve">Frozen cassava </w:t>
      </w:r>
      <w:r>
        <w:rPr>
          <w:rFonts w:cs="Arial"/>
          <w:b/>
          <w:szCs w:val="22"/>
        </w:rPr>
        <w:t xml:space="preserve">root </w:t>
      </w:r>
    </w:p>
    <w:p w:rsidR="00AE74D6" w:rsidRPr="00AE74D6" w:rsidRDefault="00AE74D6" w:rsidP="00AE74D6">
      <w:pPr>
        <w:rPr>
          <w:rFonts w:cs="Arial"/>
          <w:szCs w:val="22"/>
        </w:rPr>
      </w:pPr>
    </w:p>
    <w:p w:rsidR="00AE74D6" w:rsidRPr="00AE74D6" w:rsidRDefault="00AE74D6" w:rsidP="00AE74D6">
      <w:pPr>
        <w:rPr>
          <w:rFonts w:cs="Arial"/>
          <w:i/>
          <w:szCs w:val="22"/>
        </w:rPr>
      </w:pPr>
      <w:r w:rsidRPr="00AE74D6">
        <w:rPr>
          <w:rFonts w:cs="Arial"/>
          <w:i/>
          <w:szCs w:val="22"/>
        </w:rPr>
        <w:t>Dividing retail samples into groups</w:t>
      </w:r>
    </w:p>
    <w:p w:rsidR="00AE74D6" w:rsidRPr="00AE74D6" w:rsidRDefault="00AE74D6" w:rsidP="00AE74D6">
      <w:pPr>
        <w:rPr>
          <w:rFonts w:cs="Arial"/>
          <w:szCs w:val="22"/>
        </w:rPr>
      </w:pPr>
    </w:p>
    <w:p w:rsidR="00AE74D6" w:rsidRPr="002B5904" w:rsidRDefault="00AE74D6" w:rsidP="006A5809">
      <w:pPr>
        <w:pStyle w:val="ListParagraph"/>
        <w:numPr>
          <w:ilvl w:val="0"/>
          <w:numId w:val="30"/>
        </w:numPr>
        <w:ind w:left="709" w:hanging="349"/>
        <w:rPr>
          <w:rFonts w:ascii="Arial" w:hAnsi="Arial" w:cs="Arial"/>
        </w:rPr>
      </w:pPr>
      <w:r w:rsidRPr="002B5904">
        <w:rPr>
          <w:rFonts w:ascii="Arial" w:hAnsi="Arial" w:cs="Arial"/>
        </w:rPr>
        <w:t>The nine retail samples were divided into three groups ensuring that no two of the same brand were in one group.</w:t>
      </w:r>
    </w:p>
    <w:p w:rsidR="00AE74D6" w:rsidRPr="00AE74D6" w:rsidRDefault="00AE74D6" w:rsidP="006A5809">
      <w:pPr>
        <w:pStyle w:val="ListParagraph"/>
        <w:numPr>
          <w:ilvl w:val="0"/>
          <w:numId w:val="30"/>
        </w:numPr>
        <w:ind w:left="709" w:hanging="349"/>
        <w:rPr>
          <w:rFonts w:ascii="Arial" w:hAnsi="Arial" w:cs="Arial"/>
        </w:rPr>
      </w:pPr>
      <w:r w:rsidRPr="00AE74D6">
        <w:rPr>
          <w:rFonts w:ascii="Arial" w:hAnsi="Arial" w:cs="Arial"/>
        </w:rPr>
        <w:t>Group 1 (</w:t>
      </w:r>
      <w:r>
        <w:rPr>
          <w:rFonts w:ascii="Arial" w:hAnsi="Arial" w:cs="Arial"/>
        </w:rPr>
        <w:t>retails samples 1</w:t>
      </w:r>
      <w:r w:rsidRPr="00AE74D6">
        <w:rPr>
          <w:rFonts w:ascii="Arial" w:hAnsi="Arial" w:cs="Arial"/>
        </w:rPr>
        <w:t xml:space="preserve">, 2 &amp; 3) </w:t>
      </w:r>
      <w:r>
        <w:rPr>
          <w:rFonts w:ascii="Arial" w:hAnsi="Arial" w:cs="Arial"/>
        </w:rPr>
        <w:t>were</w:t>
      </w:r>
      <w:r w:rsidRPr="00AE74D6">
        <w:rPr>
          <w:rFonts w:ascii="Arial" w:hAnsi="Arial" w:cs="Arial"/>
        </w:rPr>
        <w:t xml:space="preserve"> prepared using method 1</w:t>
      </w:r>
      <w:r>
        <w:rPr>
          <w:rFonts w:ascii="Arial" w:hAnsi="Arial" w:cs="Arial"/>
        </w:rPr>
        <w:t xml:space="preserve"> (boiling)</w:t>
      </w:r>
      <w:r w:rsidRPr="00AE74D6">
        <w:rPr>
          <w:rFonts w:ascii="Arial" w:hAnsi="Arial" w:cs="Arial"/>
        </w:rPr>
        <w:t>; Group 2 (</w:t>
      </w:r>
      <w:r>
        <w:rPr>
          <w:rFonts w:ascii="Arial" w:hAnsi="Arial" w:cs="Arial"/>
        </w:rPr>
        <w:t xml:space="preserve">retail samples </w:t>
      </w:r>
      <w:r w:rsidRPr="00AE74D6">
        <w:rPr>
          <w:rFonts w:ascii="Arial" w:hAnsi="Arial" w:cs="Arial"/>
        </w:rPr>
        <w:t xml:space="preserve">4, 5 &amp; 6) </w:t>
      </w:r>
      <w:r>
        <w:rPr>
          <w:rFonts w:ascii="Arial" w:hAnsi="Arial" w:cs="Arial"/>
        </w:rPr>
        <w:t xml:space="preserve">were </w:t>
      </w:r>
      <w:r w:rsidRPr="00AE74D6">
        <w:rPr>
          <w:rFonts w:ascii="Arial" w:hAnsi="Arial" w:cs="Arial"/>
        </w:rPr>
        <w:t>prepared using method 2</w:t>
      </w:r>
      <w:r>
        <w:rPr>
          <w:rFonts w:ascii="Arial" w:hAnsi="Arial" w:cs="Arial"/>
        </w:rPr>
        <w:t xml:space="preserve"> (frying)</w:t>
      </w:r>
      <w:r w:rsidRPr="00AE74D6">
        <w:rPr>
          <w:rFonts w:ascii="Arial" w:hAnsi="Arial" w:cs="Arial"/>
        </w:rPr>
        <w:t>; Group 3 (</w:t>
      </w:r>
      <w:r>
        <w:rPr>
          <w:rFonts w:ascii="Arial" w:hAnsi="Arial" w:cs="Arial"/>
        </w:rPr>
        <w:t>retail samples</w:t>
      </w:r>
      <w:r w:rsidRPr="00AE74D6">
        <w:rPr>
          <w:rFonts w:ascii="Arial" w:hAnsi="Arial" w:cs="Arial"/>
        </w:rPr>
        <w:t xml:space="preserve"> 7, 8 &amp; 9) </w:t>
      </w:r>
      <w:r>
        <w:rPr>
          <w:rFonts w:ascii="Arial" w:hAnsi="Arial" w:cs="Arial"/>
        </w:rPr>
        <w:t>were</w:t>
      </w:r>
      <w:r w:rsidRPr="00AE74D6">
        <w:rPr>
          <w:rFonts w:ascii="Arial" w:hAnsi="Arial" w:cs="Arial"/>
        </w:rPr>
        <w:t xml:space="preserve"> prepared using method 3</w:t>
      </w:r>
      <w:r>
        <w:rPr>
          <w:rFonts w:ascii="Arial" w:hAnsi="Arial" w:cs="Arial"/>
        </w:rPr>
        <w:t xml:space="preserve"> (steaming)</w:t>
      </w:r>
      <w:r w:rsidRPr="00AE74D6">
        <w:rPr>
          <w:rFonts w:ascii="Arial" w:hAnsi="Arial" w:cs="Arial"/>
        </w:rPr>
        <w:t>.</w:t>
      </w:r>
    </w:p>
    <w:p w:rsidR="00AE74D6" w:rsidRPr="00AE74D6" w:rsidRDefault="00AE74D6" w:rsidP="00AE74D6">
      <w:pPr>
        <w:rPr>
          <w:rFonts w:cs="Arial"/>
          <w:szCs w:val="22"/>
        </w:rPr>
      </w:pPr>
    </w:p>
    <w:p w:rsidR="00AE74D6" w:rsidRPr="00AE74D6" w:rsidRDefault="00AE74D6" w:rsidP="00AE74D6">
      <w:pPr>
        <w:rPr>
          <w:rFonts w:cs="Arial"/>
          <w:i/>
          <w:szCs w:val="22"/>
        </w:rPr>
      </w:pPr>
      <w:r w:rsidRPr="00AE74D6">
        <w:rPr>
          <w:rFonts w:cs="Arial"/>
          <w:i/>
          <w:szCs w:val="22"/>
        </w:rPr>
        <w:t>Sizing</w:t>
      </w:r>
    </w:p>
    <w:p w:rsidR="00AE74D6" w:rsidRPr="00AE74D6" w:rsidRDefault="00AE74D6" w:rsidP="00AE74D6">
      <w:pPr>
        <w:rPr>
          <w:rFonts w:cs="Arial"/>
          <w:szCs w:val="22"/>
        </w:rPr>
      </w:pPr>
    </w:p>
    <w:p w:rsidR="00AE74D6" w:rsidRDefault="00AE74D6" w:rsidP="00AE74D6">
      <w:pPr>
        <w:rPr>
          <w:rFonts w:cs="Arial"/>
          <w:szCs w:val="22"/>
        </w:rPr>
      </w:pPr>
      <w:r w:rsidRPr="00AE74D6">
        <w:rPr>
          <w:rFonts w:cs="Arial"/>
          <w:szCs w:val="22"/>
        </w:rPr>
        <w:t xml:space="preserve">Cassava </w:t>
      </w:r>
      <w:r>
        <w:rPr>
          <w:rFonts w:cs="Arial"/>
          <w:szCs w:val="22"/>
        </w:rPr>
        <w:t xml:space="preserve">roots were </w:t>
      </w:r>
      <w:r w:rsidRPr="00AE74D6">
        <w:rPr>
          <w:rFonts w:cs="Arial"/>
          <w:szCs w:val="22"/>
        </w:rPr>
        <w:t xml:space="preserve">cut to a ‘standard’ size prior to </w:t>
      </w:r>
      <w:r>
        <w:rPr>
          <w:rFonts w:cs="Arial"/>
          <w:szCs w:val="22"/>
        </w:rPr>
        <w:t>being cooked</w:t>
      </w:r>
      <w:r w:rsidRPr="00AE74D6">
        <w:rPr>
          <w:rFonts w:cs="Arial"/>
          <w:szCs w:val="22"/>
        </w:rPr>
        <w:t xml:space="preserve">. </w:t>
      </w:r>
    </w:p>
    <w:p w:rsidR="00AE74D6" w:rsidRPr="00AE74D6" w:rsidRDefault="00AE74D6" w:rsidP="00AE74D6">
      <w:pPr>
        <w:rPr>
          <w:rFonts w:cs="Arial"/>
          <w:szCs w:val="22"/>
        </w:rPr>
      </w:pPr>
    </w:p>
    <w:p w:rsidR="00AE74D6" w:rsidRPr="00AE74D6" w:rsidRDefault="006A5809" w:rsidP="00AE74D6">
      <w:pPr>
        <w:rPr>
          <w:rFonts w:cs="Arial"/>
          <w:szCs w:val="22"/>
        </w:rPr>
      </w:pPr>
      <w:r>
        <w:rPr>
          <w:rFonts w:cs="Arial"/>
          <w:szCs w:val="22"/>
        </w:rPr>
        <w:t xml:space="preserve">For </w:t>
      </w:r>
      <w:r w:rsidR="00AE74D6" w:rsidRPr="00AE74D6">
        <w:rPr>
          <w:rFonts w:cs="Arial"/>
          <w:szCs w:val="22"/>
        </w:rPr>
        <w:t xml:space="preserve">whole tubers: </w:t>
      </w:r>
    </w:p>
    <w:p w:rsidR="00AE74D6" w:rsidRPr="00AE74D6" w:rsidRDefault="00AE74D6" w:rsidP="00AE74D6">
      <w:pPr>
        <w:rPr>
          <w:rFonts w:cs="Arial"/>
          <w:szCs w:val="22"/>
        </w:rPr>
      </w:pPr>
    </w:p>
    <w:p w:rsidR="006A5809" w:rsidRPr="002B5904" w:rsidRDefault="00AE74D6" w:rsidP="006A5809">
      <w:pPr>
        <w:pStyle w:val="ListParagraph"/>
        <w:numPr>
          <w:ilvl w:val="0"/>
          <w:numId w:val="31"/>
        </w:numPr>
        <w:rPr>
          <w:rFonts w:ascii="Arial" w:hAnsi="Arial" w:cs="Arial"/>
        </w:rPr>
      </w:pPr>
      <w:r w:rsidRPr="002B5904">
        <w:rPr>
          <w:rFonts w:ascii="Arial" w:hAnsi="Arial" w:cs="Arial"/>
        </w:rPr>
        <w:t xml:space="preserve">Each tuber was cut lengthways into four pieces. The thickness of the pieces for each tuber </w:t>
      </w:r>
      <w:r w:rsidR="006A5809" w:rsidRPr="002B5904">
        <w:rPr>
          <w:rFonts w:ascii="Arial" w:hAnsi="Arial" w:cs="Arial"/>
        </w:rPr>
        <w:t>could</w:t>
      </w:r>
      <w:r w:rsidRPr="002B5904">
        <w:rPr>
          <w:rFonts w:ascii="Arial" w:hAnsi="Arial" w:cs="Arial"/>
        </w:rPr>
        <w:t xml:space="preserve"> vary depending on the diameter of the cassava tubers in the pack. Therefore, </w:t>
      </w:r>
      <w:r w:rsidR="006A5809" w:rsidRPr="002B5904">
        <w:rPr>
          <w:rFonts w:ascii="Arial" w:hAnsi="Arial" w:cs="Arial"/>
        </w:rPr>
        <w:t xml:space="preserve">if necessary, </w:t>
      </w:r>
      <w:r w:rsidRPr="002B5904">
        <w:rPr>
          <w:rFonts w:ascii="Arial" w:hAnsi="Arial" w:cs="Arial"/>
        </w:rPr>
        <w:t xml:space="preserve">large tubers </w:t>
      </w:r>
      <w:r w:rsidR="006A5809" w:rsidRPr="002B5904">
        <w:rPr>
          <w:rFonts w:ascii="Arial" w:hAnsi="Arial" w:cs="Arial"/>
        </w:rPr>
        <w:t xml:space="preserve">were </w:t>
      </w:r>
      <w:r w:rsidRPr="002B5904">
        <w:rPr>
          <w:rFonts w:ascii="Arial" w:hAnsi="Arial" w:cs="Arial"/>
        </w:rPr>
        <w:t xml:space="preserve">cut again (still lengthways), so that the largest section </w:t>
      </w:r>
      <w:r w:rsidR="006A5809" w:rsidRPr="002B5904">
        <w:rPr>
          <w:rFonts w:ascii="Arial" w:hAnsi="Arial" w:cs="Arial"/>
        </w:rPr>
        <w:t>did</w:t>
      </w:r>
      <w:r w:rsidRPr="002B5904">
        <w:rPr>
          <w:rFonts w:ascii="Arial" w:hAnsi="Arial" w:cs="Arial"/>
        </w:rPr>
        <w:t xml:space="preserve"> not exceed about 4 cm.</w:t>
      </w:r>
    </w:p>
    <w:p w:rsidR="00AE74D6" w:rsidRPr="006A5809" w:rsidRDefault="00AE74D6" w:rsidP="006A5809">
      <w:pPr>
        <w:pStyle w:val="ListParagraph"/>
        <w:numPr>
          <w:ilvl w:val="0"/>
          <w:numId w:val="31"/>
        </w:numPr>
        <w:rPr>
          <w:rFonts w:ascii="Arial" w:hAnsi="Arial" w:cs="Arial"/>
        </w:rPr>
      </w:pPr>
      <w:r w:rsidRPr="006A5809">
        <w:rPr>
          <w:rFonts w:ascii="Arial" w:hAnsi="Arial" w:cs="Arial"/>
        </w:rPr>
        <w:t xml:space="preserve">Each piece </w:t>
      </w:r>
      <w:r w:rsidR="006A5809">
        <w:rPr>
          <w:rFonts w:ascii="Arial" w:hAnsi="Arial" w:cs="Arial"/>
        </w:rPr>
        <w:t>was</w:t>
      </w:r>
      <w:r w:rsidRPr="006A5809">
        <w:rPr>
          <w:rFonts w:ascii="Arial" w:hAnsi="Arial" w:cs="Arial"/>
        </w:rPr>
        <w:t xml:space="preserve"> </w:t>
      </w:r>
      <w:r w:rsidR="006A5809">
        <w:rPr>
          <w:rFonts w:ascii="Arial" w:hAnsi="Arial" w:cs="Arial"/>
        </w:rPr>
        <w:t>shortened to</w:t>
      </w:r>
      <w:r w:rsidRPr="006A5809">
        <w:rPr>
          <w:rFonts w:ascii="Arial" w:hAnsi="Arial" w:cs="Arial"/>
        </w:rPr>
        <w:t xml:space="preserve"> approximately 10 cm long. </w:t>
      </w:r>
    </w:p>
    <w:p w:rsidR="00AE74D6" w:rsidRPr="00AE74D6" w:rsidRDefault="00AE74D6" w:rsidP="00AE74D6">
      <w:pPr>
        <w:rPr>
          <w:rFonts w:cs="Arial"/>
          <w:szCs w:val="22"/>
        </w:rPr>
      </w:pPr>
    </w:p>
    <w:p w:rsidR="00AE74D6" w:rsidRPr="00AE74D6" w:rsidRDefault="006A5809" w:rsidP="00AE74D6">
      <w:pPr>
        <w:rPr>
          <w:rFonts w:cs="Arial"/>
          <w:szCs w:val="22"/>
        </w:rPr>
      </w:pPr>
      <w:r>
        <w:rPr>
          <w:rFonts w:cs="Arial"/>
          <w:szCs w:val="22"/>
        </w:rPr>
        <w:t>For ready</w:t>
      </w:r>
      <w:r w:rsidR="00AE74D6" w:rsidRPr="00AE74D6">
        <w:rPr>
          <w:rFonts w:cs="Arial"/>
          <w:szCs w:val="22"/>
        </w:rPr>
        <w:t xml:space="preserve"> cut pieces: </w:t>
      </w:r>
    </w:p>
    <w:p w:rsidR="00AE74D6" w:rsidRPr="00AE74D6" w:rsidRDefault="00AE74D6" w:rsidP="00AE74D6">
      <w:pPr>
        <w:rPr>
          <w:rFonts w:cs="Arial"/>
          <w:szCs w:val="22"/>
        </w:rPr>
      </w:pPr>
    </w:p>
    <w:p w:rsidR="00AE74D6" w:rsidRPr="00AE74D6" w:rsidRDefault="00AE74D6" w:rsidP="006A5809">
      <w:pPr>
        <w:ind w:left="709" w:hanging="283"/>
        <w:rPr>
          <w:rFonts w:cs="Arial"/>
          <w:szCs w:val="22"/>
        </w:rPr>
      </w:pPr>
      <w:r w:rsidRPr="00AE74D6">
        <w:rPr>
          <w:rFonts w:cs="Arial"/>
          <w:szCs w:val="22"/>
        </w:rPr>
        <w:t>1.</w:t>
      </w:r>
      <w:r w:rsidRPr="00AE74D6">
        <w:rPr>
          <w:rFonts w:cs="Arial"/>
          <w:szCs w:val="22"/>
        </w:rPr>
        <w:tab/>
      </w:r>
      <w:r w:rsidR="006A5809">
        <w:rPr>
          <w:rFonts w:cs="Arial"/>
          <w:szCs w:val="22"/>
        </w:rPr>
        <w:t>Where necessary, p</w:t>
      </w:r>
      <w:r w:rsidRPr="00AE74D6">
        <w:rPr>
          <w:rFonts w:cs="Arial"/>
          <w:szCs w:val="22"/>
        </w:rPr>
        <w:t xml:space="preserve">ieces </w:t>
      </w:r>
      <w:r w:rsidR="006A5809">
        <w:rPr>
          <w:rFonts w:cs="Arial"/>
          <w:szCs w:val="22"/>
        </w:rPr>
        <w:t xml:space="preserve">were cut </w:t>
      </w:r>
      <w:r w:rsidR="00574A33">
        <w:rPr>
          <w:rFonts w:cs="Arial"/>
          <w:szCs w:val="22"/>
        </w:rPr>
        <w:t xml:space="preserve">again, </w:t>
      </w:r>
      <w:r w:rsidRPr="00AE74D6">
        <w:rPr>
          <w:rFonts w:cs="Arial"/>
          <w:szCs w:val="22"/>
        </w:rPr>
        <w:t>lengthways</w:t>
      </w:r>
      <w:r w:rsidR="00574A33">
        <w:rPr>
          <w:rFonts w:cs="Arial"/>
          <w:szCs w:val="22"/>
        </w:rPr>
        <w:t>,</w:t>
      </w:r>
      <w:r w:rsidRPr="00AE74D6">
        <w:rPr>
          <w:rFonts w:cs="Arial"/>
          <w:szCs w:val="22"/>
        </w:rPr>
        <w:t xml:space="preserve"> so that the largest section </w:t>
      </w:r>
      <w:r w:rsidR="006A5809">
        <w:rPr>
          <w:rFonts w:cs="Arial"/>
          <w:szCs w:val="22"/>
        </w:rPr>
        <w:t xml:space="preserve">did </w:t>
      </w:r>
      <w:r w:rsidRPr="00AE74D6">
        <w:rPr>
          <w:rFonts w:cs="Arial"/>
          <w:szCs w:val="22"/>
        </w:rPr>
        <w:t>not exceed about 4 cm.</w:t>
      </w:r>
    </w:p>
    <w:p w:rsidR="00AE74D6" w:rsidRDefault="00AE74D6" w:rsidP="006A5809">
      <w:pPr>
        <w:ind w:left="709" w:hanging="283"/>
        <w:rPr>
          <w:rFonts w:cs="Arial"/>
          <w:szCs w:val="22"/>
        </w:rPr>
      </w:pPr>
      <w:r w:rsidRPr="00AE74D6">
        <w:rPr>
          <w:rFonts w:cs="Arial"/>
          <w:szCs w:val="22"/>
        </w:rPr>
        <w:t>2.</w:t>
      </w:r>
      <w:r w:rsidRPr="00AE74D6">
        <w:rPr>
          <w:rFonts w:cs="Arial"/>
          <w:szCs w:val="22"/>
        </w:rPr>
        <w:tab/>
      </w:r>
      <w:r w:rsidR="00574A33">
        <w:rPr>
          <w:rFonts w:cs="Arial"/>
          <w:szCs w:val="22"/>
        </w:rPr>
        <w:t>Where necessary, e</w:t>
      </w:r>
      <w:r w:rsidR="006A5809">
        <w:rPr>
          <w:rFonts w:cs="Arial"/>
          <w:szCs w:val="22"/>
        </w:rPr>
        <w:t>ach piece was s</w:t>
      </w:r>
      <w:r w:rsidRPr="00AE74D6">
        <w:rPr>
          <w:rFonts w:cs="Arial"/>
          <w:szCs w:val="22"/>
        </w:rPr>
        <w:t>horten</w:t>
      </w:r>
      <w:r w:rsidR="006A5809">
        <w:rPr>
          <w:rFonts w:cs="Arial"/>
          <w:szCs w:val="22"/>
        </w:rPr>
        <w:t>ed</w:t>
      </w:r>
      <w:r w:rsidRPr="00AE74D6">
        <w:rPr>
          <w:rFonts w:cs="Arial"/>
          <w:szCs w:val="22"/>
        </w:rPr>
        <w:t xml:space="preserve"> to </w:t>
      </w:r>
      <w:r w:rsidR="006A5809">
        <w:rPr>
          <w:rFonts w:cs="Arial"/>
          <w:szCs w:val="22"/>
        </w:rPr>
        <w:t xml:space="preserve">approximately </w:t>
      </w:r>
      <w:r w:rsidRPr="00AE74D6">
        <w:rPr>
          <w:rFonts w:cs="Arial"/>
          <w:szCs w:val="22"/>
        </w:rPr>
        <w:t xml:space="preserve">10 cm </w:t>
      </w:r>
      <w:r w:rsidR="006A5809">
        <w:rPr>
          <w:rFonts w:cs="Arial"/>
          <w:szCs w:val="22"/>
        </w:rPr>
        <w:t>long</w:t>
      </w:r>
      <w:r w:rsidRPr="00AE74D6">
        <w:rPr>
          <w:rFonts w:cs="Arial"/>
          <w:szCs w:val="22"/>
        </w:rPr>
        <w:t xml:space="preserve">. </w:t>
      </w:r>
    </w:p>
    <w:p w:rsidR="006A5809" w:rsidRPr="00AE74D6" w:rsidRDefault="006A5809" w:rsidP="00AE74D6">
      <w:pPr>
        <w:rPr>
          <w:rFonts w:cs="Arial"/>
          <w:szCs w:val="22"/>
        </w:rPr>
      </w:pPr>
    </w:p>
    <w:p w:rsidR="00AE74D6" w:rsidRPr="00AE74D6" w:rsidRDefault="006A5809" w:rsidP="00AE74D6">
      <w:pPr>
        <w:rPr>
          <w:rFonts w:cs="Arial"/>
          <w:szCs w:val="22"/>
        </w:rPr>
      </w:pPr>
      <w:r>
        <w:rPr>
          <w:rFonts w:cs="Arial"/>
          <w:szCs w:val="22"/>
        </w:rPr>
        <w:t xml:space="preserve">The </w:t>
      </w:r>
      <w:r w:rsidR="00AE74D6" w:rsidRPr="00AE74D6">
        <w:rPr>
          <w:rFonts w:cs="Arial"/>
          <w:szCs w:val="22"/>
        </w:rPr>
        <w:t xml:space="preserve">inner thread </w:t>
      </w:r>
      <w:r>
        <w:rPr>
          <w:rFonts w:cs="Arial"/>
          <w:szCs w:val="22"/>
        </w:rPr>
        <w:t xml:space="preserve">was removed </w:t>
      </w:r>
      <w:r w:rsidR="00AE74D6" w:rsidRPr="00AE74D6">
        <w:rPr>
          <w:rFonts w:cs="Arial"/>
          <w:szCs w:val="22"/>
        </w:rPr>
        <w:t>in cases where it appear</w:t>
      </w:r>
      <w:r>
        <w:rPr>
          <w:rFonts w:cs="Arial"/>
          <w:szCs w:val="22"/>
        </w:rPr>
        <w:t>ed</w:t>
      </w:r>
      <w:r w:rsidR="00AE74D6" w:rsidRPr="00AE74D6">
        <w:rPr>
          <w:rFonts w:cs="Arial"/>
          <w:szCs w:val="22"/>
        </w:rPr>
        <w:t xml:space="preserve"> stringy and inedible. Every effort </w:t>
      </w:r>
      <w:r>
        <w:rPr>
          <w:rFonts w:cs="Arial"/>
          <w:szCs w:val="22"/>
        </w:rPr>
        <w:t>was</w:t>
      </w:r>
      <w:r w:rsidR="00AE74D6" w:rsidRPr="00AE74D6">
        <w:rPr>
          <w:rFonts w:cs="Arial"/>
          <w:szCs w:val="22"/>
        </w:rPr>
        <w:t xml:space="preserve"> made to proceed with cooking as </w:t>
      </w:r>
      <w:r w:rsidR="00574A33">
        <w:rPr>
          <w:rFonts w:cs="Arial"/>
          <w:szCs w:val="22"/>
        </w:rPr>
        <w:t>soon as possible after cutting</w:t>
      </w:r>
      <w:r w:rsidR="00AE74D6" w:rsidRPr="00AE74D6">
        <w:rPr>
          <w:rFonts w:cs="Arial"/>
          <w:szCs w:val="22"/>
        </w:rPr>
        <w:t>.</w:t>
      </w:r>
    </w:p>
    <w:p w:rsidR="00AE74D6" w:rsidRPr="00AE74D6" w:rsidRDefault="00AE74D6" w:rsidP="00AE74D6">
      <w:pPr>
        <w:rPr>
          <w:rFonts w:cs="Arial"/>
          <w:szCs w:val="22"/>
        </w:rPr>
      </w:pPr>
    </w:p>
    <w:p w:rsidR="006A5809" w:rsidRPr="00AE74D6" w:rsidRDefault="006A5809" w:rsidP="006A5809">
      <w:pPr>
        <w:rPr>
          <w:rFonts w:cs="Arial"/>
          <w:i/>
          <w:szCs w:val="22"/>
        </w:rPr>
      </w:pPr>
      <w:r>
        <w:rPr>
          <w:rFonts w:cs="Arial"/>
          <w:i/>
          <w:szCs w:val="22"/>
        </w:rPr>
        <w:t>Cooking</w:t>
      </w:r>
    </w:p>
    <w:p w:rsidR="006A5809" w:rsidRDefault="006A5809" w:rsidP="006A5809">
      <w:pPr>
        <w:rPr>
          <w:rFonts w:cs="Arial"/>
          <w:szCs w:val="22"/>
        </w:rPr>
      </w:pPr>
    </w:p>
    <w:p w:rsidR="006A5809" w:rsidRPr="00AE74D6" w:rsidRDefault="006A5809" w:rsidP="006A5809">
      <w:pPr>
        <w:rPr>
          <w:rFonts w:cs="Arial"/>
          <w:szCs w:val="22"/>
        </w:rPr>
      </w:pPr>
      <w:r w:rsidRPr="00AE74D6">
        <w:rPr>
          <w:rFonts w:cs="Arial"/>
          <w:szCs w:val="22"/>
        </w:rPr>
        <w:t xml:space="preserve">For each of the three </w:t>
      </w:r>
      <w:r>
        <w:rPr>
          <w:rFonts w:cs="Arial"/>
          <w:szCs w:val="22"/>
        </w:rPr>
        <w:t>retail samples in each group</w:t>
      </w:r>
      <w:r w:rsidRPr="00AE74D6">
        <w:rPr>
          <w:rFonts w:cs="Arial"/>
          <w:szCs w:val="22"/>
        </w:rPr>
        <w:t xml:space="preserve">, half of the packet’s contents </w:t>
      </w:r>
      <w:r>
        <w:rPr>
          <w:rFonts w:cs="Arial"/>
          <w:szCs w:val="22"/>
        </w:rPr>
        <w:t xml:space="preserve">was set aside </w:t>
      </w:r>
      <w:r w:rsidRPr="00AE74D6">
        <w:rPr>
          <w:rFonts w:cs="Arial"/>
          <w:szCs w:val="22"/>
        </w:rPr>
        <w:t xml:space="preserve">to analyse raw and half of the contents </w:t>
      </w:r>
      <w:r>
        <w:rPr>
          <w:rFonts w:cs="Arial"/>
          <w:szCs w:val="22"/>
        </w:rPr>
        <w:t xml:space="preserve">to </w:t>
      </w:r>
      <w:r w:rsidRPr="00AE74D6">
        <w:rPr>
          <w:rFonts w:cs="Arial"/>
          <w:szCs w:val="22"/>
        </w:rPr>
        <w:t xml:space="preserve">analyse </w:t>
      </w:r>
      <w:r>
        <w:rPr>
          <w:rFonts w:cs="Arial"/>
          <w:szCs w:val="22"/>
        </w:rPr>
        <w:t>cooked</w:t>
      </w:r>
      <w:r w:rsidRPr="00AE74D6">
        <w:rPr>
          <w:rFonts w:cs="Arial"/>
          <w:szCs w:val="22"/>
        </w:rPr>
        <w:t>.</w:t>
      </w:r>
      <w:r>
        <w:rPr>
          <w:rFonts w:cs="Arial"/>
          <w:szCs w:val="22"/>
        </w:rPr>
        <w:t xml:space="preserve"> Each </w:t>
      </w:r>
      <w:r w:rsidRPr="00AE74D6">
        <w:rPr>
          <w:rFonts w:cs="Arial"/>
          <w:szCs w:val="22"/>
        </w:rPr>
        <w:t xml:space="preserve">portion </w:t>
      </w:r>
      <w:r>
        <w:rPr>
          <w:rFonts w:cs="Arial"/>
          <w:szCs w:val="22"/>
        </w:rPr>
        <w:t>was</w:t>
      </w:r>
      <w:r w:rsidRPr="00AE74D6">
        <w:rPr>
          <w:rFonts w:cs="Arial"/>
          <w:szCs w:val="22"/>
        </w:rPr>
        <w:t xml:space="preserve"> </w:t>
      </w:r>
      <w:r>
        <w:rPr>
          <w:rFonts w:cs="Arial"/>
          <w:szCs w:val="22"/>
        </w:rPr>
        <w:t xml:space="preserve">clearly </w:t>
      </w:r>
      <w:r w:rsidRPr="00AE74D6">
        <w:rPr>
          <w:rFonts w:cs="Arial"/>
          <w:szCs w:val="22"/>
        </w:rPr>
        <w:t xml:space="preserve">labelled to allow for later comparison of raw and </w:t>
      </w:r>
      <w:r>
        <w:rPr>
          <w:rFonts w:cs="Arial"/>
          <w:szCs w:val="22"/>
        </w:rPr>
        <w:t>cooked</w:t>
      </w:r>
      <w:r w:rsidRPr="00AE74D6">
        <w:rPr>
          <w:rFonts w:cs="Arial"/>
          <w:szCs w:val="22"/>
        </w:rPr>
        <w:t xml:space="preserve"> values (and calculat</w:t>
      </w:r>
      <w:r>
        <w:rPr>
          <w:rFonts w:cs="Arial"/>
          <w:szCs w:val="22"/>
        </w:rPr>
        <w:t>ion of adjustment factors).</w:t>
      </w:r>
    </w:p>
    <w:p w:rsidR="006A5809" w:rsidRDefault="006A5809" w:rsidP="00AE74D6">
      <w:pPr>
        <w:rPr>
          <w:rFonts w:cs="Arial"/>
          <w:szCs w:val="22"/>
        </w:rPr>
      </w:pPr>
    </w:p>
    <w:p w:rsidR="00AE74D6" w:rsidRPr="006A5809" w:rsidRDefault="00AE74D6" w:rsidP="00AE74D6">
      <w:pPr>
        <w:rPr>
          <w:rFonts w:cs="Arial"/>
          <w:szCs w:val="22"/>
          <w:u w:val="single"/>
        </w:rPr>
      </w:pPr>
      <w:r w:rsidRPr="006A5809">
        <w:rPr>
          <w:rFonts w:cs="Arial"/>
          <w:szCs w:val="22"/>
          <w:u w:val="single"/>
        </w:rPr>
        <w:t>Group 1/Method 1 - Boiling</w:t>
      </w:r>
    </w:p>
    <w:p w:rsidR="00AE74D6" w:rsidRPr="00AE74D6" w:rsidRDefault="00AE74D6" w:rsidP="00AE74D6">
      <w:pPr>
        <w:rPr>
          <w:rFonts w:cs="Arial"/>
          <w:szCs w:val="22"/>
        </w:rPr>
      </w:pPr>
    </w:p>
    <w:p w:rsidR="00AE74D6" w:rsidRPr="00AE74D6" w:rsidRDefault="00AE74D6" w:rsidP="006A5809">
      <w:pPr>
        <w:ind w:left="709" w:hanging="283"/>
        <w:rPr>
          <w:rFonts w:cs="Arial"/>
          <w:szCs w:val="22"/>
        </w:rPr>
      </w:pPr>
      <w:r w:rsidRPr="00AE74D6">
        <w:rPr>
          <w:rFonts w:cs="Arial"/>
          <w:szCs w:val="22"/>
        </w:rPr>
        <w:t>1.</w:t>
      </w:r>
      <w:r w:rsidRPr="00AE74D6">
        <w:rPr>
          <w:rFonts w:cs="Arial"/>
          <w:szCs w:val="22"/>
        </w:rPr>
        <w:tab/>
      </w:r>
      <w:r w:rsidR="006A5809">
        <w:rPr>
          <w:rFonts w:cs="Arial"/>
          <w:szCs w:val="22"/>
        </w:rPr>
        <w:t xml:space="preserve">Cassava </w:t>
      </w:r>
      <w:r w:rsidR="00574A33">
        <w:rPr>
          <w:rFonts w:cs="Arial"/>
          <w:szCs w:val="22"/>
        </w:rPr>
        <w:t>pieces</w:t>
      </w:r>
      <w:r w:rsidR="006A5809">
        <w:rPr>
          <w:rFonts w:cs="Arial"/>
          <w:szCs w:val="22"/>
        </w:rPr>
        <w:t xml:space="preserve"> were </w:t>
      </w:r>
      <w:r w:rsidRPr="00AE74D6">
        <w:rPr>
          <w:rFonts w:cs="Arial"/>
          <w:szCs w:val="22"/>
        </w:rPr>
        <w:t>not washed before boiling.</w:t>
      </w:r>
    </w:p>
    <w:p w:rsidR="00AE74D6" w:rsidRPr="00AE74D6" w:rsidRDefault="00AE74D6" w:rsidP="006A5809">
      <w:pPr>
        <w:ind w:left="709" w:hanging="283"/>
        <w:rPr>
          <w:rFonts w:cs="Arial"/>
          <w:szCs w:val="22"/>
        </w:rPr>
      </w:pPr>
      <w:r w:rsidRPr="00AE74D6">
        <w:rPr>
          <w:rFonts w:cs="Arial"/>
          <w:szCs w:val="22"/>
        </w:rPr>
        <w:t>2.</w:t>
      </w:r>
      <w:r w:rsidRPr="00AE74D6">
        <w:rPr>
          <w:rFonts w:cs="Arial"/>
          <w:szCs w:val="22"/>
        </w:rPr>
        <w:tab/>
      </w:r>
      <w:r w:rsidR="006A5809">
        <w:rPr>
          <w:rFonts w:cs="Arial"/>
          <w:szCs w:val="22"/>
        </w:rPr>
        <w:t>Pieces were placed in</w:t>
      </w:r>
      <w:r w:rsidRPr="00AE74D6">
        <w:rPr>
          <w:rFonts w:cs="Arial"/>
          <w:szCs w:val="22"/>
        </w:rPr>
        <w:t xml:space="preserve"> a saucepan</w:t>
      </w:r>
      <w:r w:rsidR="006A5809">
        <w:rPr>
          <w:rFonts w:cs="Arial"/>
          <w:szCs w:val="22"/>
        </w:rPr>
        <w:t xml:space="preserve"> and </w:t>
      </w:r>
      <w:r w:rsidRPr="00AE74D6">
        <w:rPr>
          <w:rFonts w:cs="Arial"/>
          <w:szCs w:val="22"/>
        </w:rPr>
        <w:t xml:space="preserve">boiling water </w:t>
      </w:r>
      <w:r w:rsidR="006A5809">
        <w:rPr>
          <w:rFonts w:cs="Arial"/>
          <w:szCs w:val="22"/>
        </w:rPr>
        <w:t xml:space="preserve">was poured </w:t>
      </w:r>
      <w:r w:rsidRPr="00AE74D6">
        <w:rPr>
          <w:rFonts w:cs="Arial"/>
          <w:szCs w:val="22"/>
        </w:rPr>
        <w:t xml:space="preserve">over </w:t>
      </w:r>
      <w:r w:rsidR="006A5809">
        <w:rPr>
          <w:rFonts w:cs="Arial"/>
          <w:szCs w:val="22"/>
        </w:rPr>
        <w:t xml:space="preserve">them, </w:t>
      </w:r>
      <w:r w:rsidRPr="00AE74D6">
        <w:rPr>
          <w:rFonts w:cs="Arial"/>
          <w:szCs w:val="22"/>
        </w:rPr>
        <w:t>enough to cover.</w:t>
      </w:r>
    </w:p>
    <w:p w:rsidR="00AE74D6" w:rsidRPr="00AE74D6" w:rsidRDefault="00AE74D6" w:rsidP="006A5809">
      <w:pPr>
        <w:ind w:left="709" w:hanging="283"/>
        <w:rPr>
          <w:rFonts w:cs="Arial"/>
          <w:szCs w:val="22"/>
        </w:rPr>
      </w:pPr>
      <w:r w:rsidRPr="00AE74D6">
        <w:rPr>
          <w:rFonts w:cs="Arial"/>
          <w:szCs w:val="22"/>
        </w:rPr>
        <w:t>3.</w:t>
      </w:r>
      <w:r w:rsidRPr="00AE74D6">
        <w:rPr>
          <w:rFonts w:cs="Arial"/>
          <w:szCs w:val="22"/>
        </w:rPr>
        <w:tab/>
      </w:r>
      <w:r w:rsidR="006A5809">
        <w:rPr>
          <w:rFonts w:cs="Arial"/>
          <w:szCs w:val="22"/>
        </w:rPr>
        <w:t xml:space="preserve">The pieces were boiled </w:t>
      </w:r>
      <w:r w:rsidRPr="00AE74D6">
        <w:rPr>
          <w:rFonts w:cs="Arial"/>
          <w:szCs w:val="22"/>
        </w:rPr>
        <w:t>for 20-25 minutes OR until tender (like boiling potatoes</w:t>
      </w:r>
      <w:r w:rsidR="00574A33">
        <w:rPr>
          <w:rFonts w:cs="Arial"/>
          <w:szCs w:val="22"/>
        </w:rPr>
        <w:t>).</w:t>
      </w:r>
    </w:p>
    <w:p w:rsidR="00AE74D6" w:rsidRPr="00AE74D6" w:rsidRDefault="00AE74D6" w:rsidP="006A5809">
      <w:pPr>
        <w:ind w:left="709" w:hanging="283"/>
        <w:rPr>
          <w:rFonts w:cs="Arial"/>
          <w:szCs w:val="22"/>
        </w:rPr>
      </w:pPr>
      <w:r w:rsidRPr="00AE74D6">
        <w:rPr>
          <w:rFonts w:cs="Arial"/>
          <w:szCs w:val="22"/>
        </w:rPr>
        <w:t>4.</w:t>
      </w:r>
      <w:r w:rsidRPr="00AE74D6">
        <w:rPr>
          <w:rFonts w:cs="Arial"/>
          <w:szCs w:val="22"/>
        </w:rPr>
        <w:tab/>
      </w:r>
      <w:r w:rsidR="006A5809">
        <w:rPr>
          <w:rFonts w:cs="Arial"/>
          <w:szCs w:val="22"/>
        </w:rPr>
        <w:t>T</w:t>
      </w:r>
      <w:r w:rsidRPr="00AE74D6">
        <w:rPr>
          <w:rFonts w:cs="Arial"/>
          <w:szCs w:val="22"/>
        </w:rPr>
        <w:t xml:space="preserve">he cooked cassava pieces </w:t>
      </w:r>
      <w:r w:rsidR="006A5809">
        <w:rPr>
          <w:rFonts w:cs="Arial"/>
          <w:szCs w:val="22"/>
        </w:rPr>
        <w:t xml:space="preserve">were drained </w:t>
      </w:r>
      <w:r w:rsidRPr="00AE74D6">
        <w:rPr>
          <w:rFonts w:cs="Arial"/>
          <w:szCs w:val="22"/>
        </w:rPr>
        <w:t xml:space="preserve">immediately and completely, </w:t>
      </w:r>
      <w:r w:rsidR="006A5809">
        <w:rPr>
          <w:rFonts w:cs="Arial"/>
          <w:szCs w:val="22"/>
        </w:rPr>
        <w:t>using a colander. C</w:t>
      </w:r>
      <w:r w:rsidRPr="00AE74D6">
        <w:rPr>
          <w:rFonts w:cs="Arial"/>
          <w:szCs w:val="22"/>
        </w:rPr>
        <w:t>ooking water</w:t>
      </w:r>
      <w:r w:rsidR="006A5809">
        <w:rPr>
          <w:rFonts w:cs="Arial"/>
          <w:szCs w:val="22"/>
        </w:rPr>
        <w:t xml:space="preserve"> was discarded</w:t>
      </w:r>
      <w:r w:rsidRPr="00AE74D6">
        <w:rPr>
          <w:rFonts w:cs="Arial"/>
          <w:szCs w:val="22"/>
        </w:rPr>
        <w:t xml:space="preserve">. </w:t>
      </w:r>
    </w:p>
    <w:p w:rsidR="00AE74D6" w:rsidRDefault="00AE74D6" w:rsidP="00AE74D6">
      <w:pPr>
        <w:rPr>
          <w:rFonts w:cs="Arial"/>
          <w:szCs w:val="22"/>
        </w:rPr>
      </w:pPr>
    </w:p>
    <w:p w:rsidR="00AE74D6" w:rsidRPr="006A5809" w:rsidRDefault="00AE74D6" w:rsidP="00AE74D6">
      <w:pPr>
        <w:rPr>
          <w:rFonts w:cs="Arial"/>
          <w:szCs w:val="22"/>
          <w:u w:val="single"/>
        </w:rPr>
      </w:pPr>
      <w:r w:rsidRPr="006A5809">
        <w:rPr>
          <w:rFonts w:cs="Arial"/>
          <w:szCs w:val="22"/>
          <w:u w:val="single"/>
        </w:rPr>
        <w:t>Group 2/Method 2 - Frying</w:t>
      </w:r>
    </w:p>
    <w:p w:rsidR="00AE74D6" w:rsidRPr="00AE74D6" w:rsidRDefault="00AE74D6" w:rsidP="00AE74D6">
      <w:pPr>
        <w:rPr>
          <w:rFonts w:cs="Arial"/>
          <w:szCs w:val="22"/>
        </w:rPr>
      </w:pPr>
    </w:p>
    <w:p w:rsidR="00574A33" w:rsidRDefault="00AE74D6" w:rsidP="00574A33">
      <w:pPr>
        <w:ind w:left="709" w:hanging="283"/>
        <w:rPr>
          <w:rFonts w:cs="Arial"/>
          <w:szCs w:val="22"/>
        </w:rPr>
      </w:pPr>
      <w:r w:rsidRPr="00AE74D6">
        <w:rPr>
          <w:rFonts w:cs="Arial"/>
          <w:szCs w:val="22"/>
        </w:rPr>
        <w:t>1.</w:t>
      </w:r>
      <w:r w:rsidRPr="00AE74D6">
        <w:rPr>
          <w:rFonts w:cs="Arial"/>
          <w:szCs w:val="22"/>
        </w:rPr>
        <w:tab/>
      </w:r>
      <w:r w:rsidR="00574A33">
        <w:rPr>
          <w:rFonts w:cs="Arial"/>
          <w:szCs w:val="22"/>
        </w:rPr>
        <w:t xml:space="preserve">Cassava pieces were </w:t>
      </w:r>
      <w:r w:rsidRPr="00AE74D6">
        <w:rPr>
          <w:rFonts w:cs="Arial"/>
          <w:szCs w:val="22"/>
        </w:rPr>
        <w:t xml:space="preserve">not washed before frying. </w:t>
      </w:r>
    </w:p>
    <w:p w:rsidR="00AE74D6" w:rsidRPr="00AE74D6" w:rsidRDefault="00AE74D6" w:rsidP="00574A33">
      <w:pPr>
        <w:ind w:left="709" w:hanging="283"/>
        <w:rPr>
          <w:rFonts w:cs="Arial"/>
          <w:szCs w:val="22"/>
        </w:rPr>
      </w:pPr>
      <w:r w:rsidRPr="00AE74D6">
        <w:rPr>
          <w:rFonts w:cs="Arial"/>
          <w:szCs w:val="22"/>
        </w:rPr>
        <w:t>2.</w:t>
      </w:r>
      <w:r w:rsidRPr="00AE74D6">
        <w:rPr>
          <w:rFonts w:cs="Arial"/>
          <w:szCs w:val="22"/>
        </w:rPr>
        <w:tab/>
      </w:r>
      <w:r w:rsidR="00574A33">
        <w:rPr>
          <w:rFonts w:cs="Arial"/>
          <w:szCs w:val="22"/>
        </w:rPr>
        <w:t>Cassava pieces</w:t>
      </w:r>
      <w:r w:rsidRPr="00AE74D6">
        <w:rPr>
          <w:rFonts w:cs="Arial"/>
          <w:szCs w:val="22"/>
        </w:rPr>
        <w:t xml:space="preserve"> </w:t>
      </w:r>
      <w:r w:rsidR="00574A33">
        <w:rPr>
          <w:rFonts w:cs="Arial"/>
          <w:szCs w:val="22"/>
        </w:rPr>
        <w:t xml:space="preserve">had to be sufficiently </w:t>
      </w:r>
      <w:r w:rsidRPr="00AE74D6">
        <w:rPr>
          <w:rFonts w:cs="Arial"/>
          <w:szCs w:val="22"/>
        </w:rPr>
        <w:t xml:space="preserve">thawed to enable </w:t>
      </w:r>
      <w:r w:rsidR="00574A33">
        <w:rPr>
          <w:rFonts w:cs="Arial"/>
          <w:szCs w:val="22"/>
        </w:rPr>
        <w:t xml:space="preserve">further </w:t>
      </w:r>
      <w:r w:rsidRPr="00AE74D6">
        <w:rPr>
          <w:rFonts w:cs="Arial"/>
          <w:szCs w:val="22"/>
        </w:rPr>
        <w:t xml:space="preserve">cutting into strips. </w:t>
      </w:r>
    </w:p>
    <w:p w:rsidR="00AE74D6" w:rsidRPr="00AE74D6" w:rsidRDefault="00AE74D6" w:rsidP="00574A33">
      <w:pPr>
        <w:ind w:left="709" w:hanging="283"/>
        <w:rPr>
          <w:rFonts w:cs="Arial"/>
          <w:szCs w:val="22"/>
        </w:rPr>
      </w:pPr>
      <w:r w:rsidRPr="00AE74D6">
        <w:rPr>
          <w:rFonts w:cs="Arial"/>
          <w:szCs w:val="22"/>
        </w:rPr>
        <w:t>3.</w:t>
      </w:r>
      <w:r w:rsidRPr="00AE74D6">
        <w:rPr>
          <w:rFonts w:cs="Arial"/>
          <w:szCs w:val="22"/>
        </w:rPr>
        <w:tab/>
      </w:r>
      <w:r w:rsidR="00574A33">
        <w:rPr>
          <w:rFonts w:cs="Arial"/>
          <w:szCs w:val="22"/>
        </w:rPr>
        <w:t>O</w:t>
      </w:r>
      <w:r w:rsidRPr="00AE74D6">
        <w:rPr>
          <w:rFonts w:cs="Arial"/>
          <w:szCs w:val="22"/>
        </w:rPr>
        <w:t xml:space="preserve">il </w:t>
      </w:r>
      <w:r w:rsidR="00574A33">
        <w:rPr>
          <w:rFonts w:cs="Arial"/>
          <w:szCs w:val="22"/>
        </w:rPr>
        <w:t xml:space="preserve">was heated </w:t>
      </w:r>
      <w:r w:rsidRPr="00AE74D6">
        <w:rPr>
          <w:rFonts w:cs="Arial"/>
          <w:szCs w:val="22"/>
        </w:rPr>
        <w:t xml:space="preserve">in a deep fryer to approximately 350° F (180° C). The oil </w:t>
      </w:r>
      <w:r w:rsidR="00574A33">
        <w:rPr>
          <w:rFonts w:cs="Arial"/>
          <w:szCs w:val="22"/>
        </w:rPr>
        <w:t>had to be hot</w:t>
      </w:r>
      <w:r w:rsidRPr="00AE74D6">
        <w:rPr>
          <w:rFonts w:cs="Arial"/>
          <w:szCs w:val="22"/>
        </w:rPr>
        <w:t xml:space="preserve"> enough to prevent the pieces from soaking up the oil and enable them to cook through until they </w:t>
      </w:r>
      <w:r w:rsidR="00574A33">
        <w:rPr>
          <w:rFonts w:cs="Arial"/>
          <w:szCs w:val="22"/>
        </w:rPr>
        <w:t>were</w:t>
      </w:r>
      <w:r w:rsidRPr="00AE74D6">
        <w:rPr>
          <w:rFonts w:cs="Arial"/>
          <w:szCs w:val="22"/>
        </w:rPr>
        <w:t xml:space="preserve"> golden brown in colour. </w:t>
      </w:r>
    </w:p>
    <w:p w:rsidR="00AE74D6" w:rsidRPr="00AE74D6" w:rsidRDefault="00AE74D6" w:rsidP="00574A33">
      <w:pPr>
        <w:ind w:left="709" w:hanging="283"/>
        <w:rPr>
          <w:rFonts w:cs="Arial"/>
          <w:szCs w:val="22"/>
        </w:rPr>
      </w:pPr>
      <w:r w:rsidRPr="00AE74D6">
        <w:rPr>
          <w:rFonts w:cs="Arial"/>
          <w:szCs w:val="22"/>
        </w:rPr>
        <w:lastRenderedPageBreak/>
        <w:t>4.</w:t>
      </w:r>
      <w:r w:rsidRPr="00AE74D6">
        <w:rPr>
          <w:rFonts w:cs="Arial"/>
          <w:szCs w:val="22"/>
        </w:rPr>
        <w:tab/>
      </w:r>
      <w:r w:rsidR="00574A33">
        <w:rPr>
          <w:rFonts w:cs="Arial"/>
          <w:szCs w:val="22"/>
        </w:rPr>
        <w:t>In the m</w:t>
      </w:r>
      <w:r w:rsidRPr="00AE74D6">
        <w:rPr>
          <w:rFonts w:cs="Arial"/>
          <w:szCs w:val="22"/>
        </w:rPr>
        <w:t xml:space="preserve">eanwhile, cassava pieces </w:t>
      </w:r>
      <w:r w:rsidR="00574A33">
        <w:rPr>
          <w:rFonts w:cs="Arial"/>
          <w:szCs w:val="22"/>
        </w:rPr>
        <w:t xml:space="preserve">were further cut </w:t>
      </w:r>
      <w:r w:rsidRPr="00AE74D6">
        <w:rPr>
          <w:rFonts w:cs="Arial"/>
          <w:szCs w:val="22"/>
        </w:rPr>
        <w:t xml:space="preserve">into thin </w:t>
      </w:r>
      <w:r w:rsidR="00574A33">
        <w:rPr>
          <w:rFonts w:cs="Arial"/>
          <w:szCs w:val="22"/>
        </w:rPr>
        <w:t xml:space="preserve">strips </w:t>
      </w:r>
      <w:r w:rsidRPr="00AE74D6">
        <w:rPr>
          <w:rFonts w:cs="Arial"/>
          <w:szCs w:val="22"/>
        </w:rPr>
        <w:t xml:space="preserve">between 1-1.5 cm thick. </w:t>
      </w:r>
    </w:p>
    <w:p w:rsidR="00AE74D6" w:rsidRPr="00AE74D6" w:rsidRDefault="00AE74D6" w:rsidP="00574A33">
      <w:pPr>
        <w:ind w:left="709" w:hanging="283"/>
        <w:rPr>
          <w:rFonts w:cs="Arial"/>
          <w:szCs w:val="22"/>
        </w:rPr>
      </w:pPr>
      <w:r w:rsidRPr="00AE74D6">
        <w:rPr>
          <w:rFonts w:cs="Arial"/>
          <w:szCs w:val="22"/>
        </w:rPr>
        <w:t>5.</w:t>
      </w:r>
      <w:r w:rsidRPr="00AE74D6">
        <w:rPr>
          <w:rFonts w:cs="Arial"/>
          <w:szCs w:val="22"/>
        </w:rPr>
        <w:tab/>
      </w:r>
      <w:r w:rsidR="00574A33">
        <w:rPr>
          <w:rFonts w:cs="Arial"/>
          <w:szCs w:val="22"/>
        </w:rPr>
        <w:t>S</w:t>
      </w:r>
      <w:r w:rsidRPr="00AE74D6">
        <w:rPr>
          <w:rFonts w:cs="Arial"/>
          <w:szCs w:val="22"/>
        </w:rPr>
        <w:t xml:space="preserve">trips </w:t>
      </w:r>
      <w:r w:rsidR="00574A33">
        <w:rPr>
          <w:rFonts w:cs="Arial"/>
          <w:szCs w:val="22"/>
        </w:rPr>
        <w:t xml:space="preserve">were placed </w:t>
      </w:r>
      <w:r w:rsidRPr="00AE74D6">
        <w:rPr>
          <w:rFonts w:cs="Arial"/>
          <w:szCs w:val="22"/>
        </w:rPr>
        <w:t xml:space="preserve">between sheets of paper towel and pat </w:t>
      </w:r>
      <w:r w:rsidR="00574A33">
        <w:rPr>
          <w:rFonts w:cs="Arial"/>
          <w:szCs w:val="22"/>
        </w:rPr>
        <w:t>dried</w:t>
      </w:r>
      <w:r w:rsidRPr="00AE74D6">
        <w:rPr>
          <w:rFonts w:cs="Arial"/>
          <w:szCs w:val="22"/>
        </w:rPr>
        <w:t xml:space="preserve"> to remove any excess moisture. </w:t>
      </w:r>
    </w:p>
    <w:p w:rsidR="00574A33" w:rsidRDefault="00AE74D6" w:rsidP="00574A33">
      <w:pPr>
        <w:ind w:left="709" w:hanging="283"/>
        <w:rPr>
          <w:rFonts w:cs="Arial"/>
          <w:szCs w:val="22"/>
        </w:rPr>
      </w:pPr>
      <w:r w:rsidRPr="00AE74D6">
        <w:rPr>
          <w:rFonts w:cs="Arial"/>
          <w:szCs w:val="22"/>
        </w:rPr>
        <w:t>6.</w:t>
      </w:r>
      <w:r w:rsidRPr="00AE74D6">
        <w:rPr>
          <w:rFonts w:cs="Arial"/>
          <w:szCs w:val="22"/>
        </w:rPr>
        <w:tab/>
      </w:r>
      <w:r w:rsidR="00574A33">
        <w:rPr>
          <w:rFonts w:cs="Arial"/>
          <w:szCs w:val="22"/>
        </w:rPr>
        <w:t>S</w:t>
      </w:r>
      <w:r w:rsidRPr="00AE74D6">
        <w:rPr>
          <w:rFonts w:cs="Arial"/>
          <w:szCs w:val="22"/>
        </w:rPr>
        <w:t xml:space="preserve">trips </w:t>
      </w:r>
      <w:r w:rsidR="00574A33">
        <w:rPr>
          <w:rFonts w:cs="Arial"/>
          <w:szCs w:val="22"/>
        </w:rPr>
        <w:t xml:space="preserve">were gradually added to the hot oil and fried </w:t>
      </w:r>
      <w:r w:rsidRPr="00AE74D6">
        <w:rPr>
          <w:rFonts w:cs="Arial"/>
          <w:szCs w:val="22"/>
        </w:rPr>
        <w:t xml:space="preserve">for about 15 minutes, or until deep golden and tender. </w:t>
      </w:r>
    </w:p>
    <w:p w:rsidR="00AE74D6" w:rsidRPr="00AE74D6" w:rsidRDefault="00AE74D6" w:rsidP="00574A33">
      <w:pPr>
        <w:ind w:left="709" w:hanging="283"/>
        <w:rPr>
          <w:rFonts w:cs="Arial"/>
          <w:szCs w:val="22"/>
        </w:rPr>
      </w:pPr>
      <w:r w:rsidRPr="00AE74D6">
        <w:rPr>
          <w:rFonts w:cs="Arial"/>
          <w:szCs w:val="22"/>
        </w:rPr>
        <w:t>7.</w:t>
      </w:r>
      <w:r w:rsidRPr="00AE74D6">
        <w:rPr>
          <w:rFonts w:cs="Arial"/>
          <w:szCs w:val="22"/>
        </w:rPr>
        <w:tab/>
      </w:r>
      <w:r w:rsidR="00574A33">
        <w:rPr>
          <w:rFonts w:cs="Arial"/>
          <w:szCs w:val="22"/>
        </w:rPr>
        <w:t xml:space="preserve">Strips were removed </w:t>
      </w:r>
      <w:r w:rsidRPr="00AE74D6">
        <w:rPr>
          <w:rFonts w:cs="Arial"/>
          <w:szCs w:val="22"/>
        </w:rPr>
        <w:t>from the oil and drain</w:t>
      </w:r>
      <w:r w:rsidR="00574A33">
        <w:rPr>
          <w:rFonts w:cs="Arial"/>
          <w:szCs w:val="22"/>
        </w:rPr>
        <w:t>ed</w:t>
      </w:r>
      <w:r w:rsidRPr="00AE74D6">
        <w:rPr>
          <w:rFonts w:cs="Arial"/>
          <w:szCs w:val="22"/>
        </w:rPr>
        <w:t xml:space="preserve">. </w:t>
      </w:r>
    </w:p>
    <w:p w:rsidR="00AE74D6" w:rsidRPr="00AE74D6" w:rsidRDefault="00AE74D6" w:rsidP="00AE74D6">
      <w:pPr>
        <w:rPr>
          <w:rFonts w:cs="Arial"/>
          <w:szCs w:val="22"/>
        </w:rPr>
      </w:pPr>
    </w:p>
    <w:p w:rsidR="00AE74D6" w:rsidRPr="00574A33" w:rsidRDefault="00AE74D6" w:rsidP="00AE74D6">
      <w:pPr>
        <w:rPr>
          <w:rFonts w:cs="Arial"/>
          <w:szCs w:val="22"/>
          <w:u w:val="single"/>
        </w:rPr>
      </w:pPr>
      <w:r w:rsidRPr="00574A33">
        <w:rPr>
          <w:rFonts w:cs="Arial"/>
          <w:szCs w:val="22"/>
          <w:u w:val="single"/>
        </w:rPr>
        <w:t>Group 3/Method 3 - Steaming</w:t>
      </w:r>
    </w:p>
    <w:p w:rsidR="00AE74D6" w:rsidRPr="00AE74D6" w:rsidRDefault="00AE74D6" w:rsidP="00AE74D6">
      <w:pPr>
        <w:rPr>
          <w:rFonts w:cs="Arial"/>
          <w:szCs w:val="22"/>
        </w:rPr>
      </w:pPr>
    </w:p>
    <w:p w:rsidR="00AE74D6" w:rsidRPr="00AE74D6" w:rsidRDefault="00AE74D6" w:rsidP="00574A33">
      <w:pPr>
        <w:ind w:left="709" w:hanging="283"/>
        <w:rPr>
          <w:rFonts w:cs="Arial"/>
          <w:szCs w:val="22"/>
        </w:rPr>
      </w:pPr>
      <w:r w:rsidRPr="00AE74D6">
        <w:rPr>
          <w:rFonts w:cs="Arial"/>
          <w:szCs w:val="22"/>
        </w:rPr>
        <w:t>1.</w:t>
      </w:r>
      <w:r w:rsidRPr="00AE74D6">
        <w:rPr>
          <w:rFonts w:cs="Arial"/>
          <w:szCs w:val="22"/>
        </w:rPr>
        <w:tab/>
      </w:r>
      <w:r w:rsidR="00574A33">
        <w:rPr>
          <w:rFonts w:cs="Arial"/>
          <w:szCs w:val="22"/>
        </w:rPr>
        <w:t xml:space="preserve">Cassava pieces were washed </w:t>
      </w:r>
      <w:r w:rsidRPr="00AE74D6">
        <w:rPr>
          <w:rFonts w:cs="Arial"/>
          <w:szCs w:val="22"/>
        </w:rPr>
        <w:t>thoroughly.</w:t>
      </w:r>
    </w:p>
    <w:p w:rsidR="00AE74D6" w:rsidRPr="00AE74D6" w:rsidRDefault="00AE74D6" w:rsidP="00574A33">
      <w:pPr>
        <w:ind w:left="709" w:hanging="283"/>
        <w:rPr>
          <w:rFonts w:cs="Arial"/>
          <w:szCs w:val="22"/>
        </w:rPr>
      </w:pPr>
      <w:r w:rsidRPr="00AE74D6">
        <w:rPr>
          <w:rFonts w:cs="Arial"/>
          <w:szCs w:val="22"/>
        </w:rPr>
        <w:t>2.</w:t>
      </w:r>
      <w:r w:rsidRPr="00AE74D6">
        <w:rPr>
          <w:rFonts w:cs="Arial"/>
          <w:szCs w:val="22"/>
        </w:rPr>
        <w:tab/>
      </w:r>
      <w:r w:rsidR="00574A33">
        <w:rPr>
          <w:rFonts w:cs="Arial"/>
          <w:szCs w:val="22"/>
        </w:rPr>
        <w:t>P</w:t>
      </w:r>
      <w:r w:rsidRPr="00AE74D6">
        <w:rPr>
          <w:rFonts w:cs="Arial"/>
          <w:szCs w:val="22"/>
        </w:rPr>
        <w:t xml:space="preserve">ieces </w:t>
      </w:r>
      <w:r w:rsidR="00574A33">
        <w:rPr>
          <w:rFonts w:cs="Arial"/>
          <w:szCs w:val="22"/>
        </w:rPr>
        <w:t xml:space="preserve">were soaked </w:t>
      </w:r>
      <w:r w:rsidRPr="00AE74D6">
        <w:rPr>
          <w:rFonts w:cs="Arial"/>
          <w:szCs w:val="22"/>
        </w:rPr>
        <w:t xml:space="preserve">to allow to thaw for approximately 2 hours before steaming. </w:t>
      </w:r>
    </w:p>
    <w:p w:rsidR="00AE74D6" w:rsidRPr="00AE74D6" w:rsidRDefault="00AE74D6" w:rsidP="00574A33">
      <w:pPr>
        <w:ind w:left="709" w:hanging="283"/>
        <w:rPr>
          <w:rFonts w:cs="Arial"/>
          <w:szCs w:val="22"/>
        </w:rPr>
      </w:pPr>
      <w:r w:rsidRPr="00AE74D6">
        <w:rPr>
          <w:rFonts w:cs="Arial"/>
          <w:szCs w:val="22"/>
        </w:rPr>
        <w:t>3.</w:t>
      </w:r>
      <w:r w:rsidRPr="00AE74D6">
        <w:rPr>
          <w:rFonts w:cs="Arial"/>
          <w:szCs w:val="22"/>
        </w:rPr>
        <w:tab/>
      </w:r>
      <w:r w:rsidR="00574A33">
        <w:rPr>
          <w:rFonts w:cs="Arial"/>
          <w:szCs w:val="22"/>
        </w:rPr>
        <w:t>The s</w:t>
      </w:r>
      <w:r w:rsidRPr="00AE74D6">
        <w:rPr>
          <w:rFonts w:cs="Arial"/>
          <w:szCs w:val="22"/>
        </w:rPr>
        <w:t xml:space="preserve">oaking water </w:t>
      </w:r>
      <w:r w:rsidR="00574A33">
        <w:rPr>
          <w:rFonts w:cs="Arial"/>
          <w:szCs w:val="22"/>
        </w:rPr>
        <w:t xml:space="preserve">was </w:t>
      </w:r>
      <w:r w:rsidRPr="00AE74D6">
        <w:rPr>
          <w:rFonts w:cs="Arial"/>
          <w:szCs w:val="22"/>
        </w:rPr>
        <w:t>changed once during that time.</w:t>
      </w:r>
    </w:p>
    <w:p w:rsidR="00AE74D6" w:rsidRPr="00AE74D6" w:rsidRDefault="00AE74D6" w:rsidP="00574A33">
      <w:pPr>
        <w:ind w:left="709" w:hanging="283"/>
        <w:rPr>
          <w:rFonts w:cs="Arial"/>
          <w:szCs w:val="22"/>
        </w:rPr>
      </w:pPr>
      <w:r w:rsidRPr="00AE74D6">
        <w:rPr>
          <w:rFonts w:cs="Arial"/>
          <w:szCs w:val="22"/>
        </w:rPr>
        <w:t>4.</w:t>
      </w:r>
      <w:r w:rsidRPr="00AE74D6">
        <w:rPr>
          <w:rFonts w:cs="Arial"/>
          <w:szCs w:val="22"/>
        </w:rPr>
        <w:tab/>
      </w:r>
      <w:r w:rsidR="00574A33">
        <w:rPr>
          <w:rFonts w:cs="Arial"/>
          <w:szCs w:val="22"/>
        </w:rPr>
        <w:t>A</w:t>
      </w:r>
      <w:r w:rsidRPr="00AE74D6">
        <w:rPr>
          <w:rFonts w:cs="Arial"/>
          <w:szCs w:val="22"/>
        </w:rPr>
        <w:t xml:space="preserve"> saucepan </w:t>
      </w:r>
      <w:r w:rsidR="00574A33">
        <w:rPr>
          <w:rFonts w:cs="Arial"/>
          <w:szCs w:val="22"/>
        </w:rPr>
        <w:t xml:space="preserve">was filled </w:t>
      </w:r>
      <w:r w:rsidRPr="00AE74D6">
        <w:rPr>
          <w:rFonts w:cs="Arial"/>
          <w:szCs w:val="22"/>
        </w:rPr>
        <w:t>with enough water so that it just reache</w:t>
      </w:r>
      <w:r w:rsidR="00574A33">
        <w:rPr>
          <w:rFonts w:cs="Arial"/>
          <w:szCs w:val="22"/>
        </w:rPr>
        <w:t>d</w:t>
      </w:r>
      <w:r w:rsidRPr="00AE74D6">
        <w:rPr>
          <w:rFonts w:cs="Arial"/>
          <w:szCs w:val="22"/>
        </w:rPr>
        <w:t xml:space="preserve"> the bottom of the steamer basket</w:t>
      </w:r>
      <w:r w:rsidR="00574A33">
        <w:rPr>
          <w:rFonts w:cs="Arial"/>
          <w:szCs w:val="22"/>
        </w:rPr>
        <w:t xml:space="preserve"> and water was brought to the boil</w:t>
      </w:r>
      <w:r w:rsidRPr="00AE74D6">
        <w:rPr>
          <w:rFonts w:cs="Arial"/>
          <w:szCs w:val="22"/>
        </w:rPr>
        <w:t>.</w:t>
      </w:r>
    </w:p>
    <w:p w:rsidR="00AE74D6" w:rsidRPr="00AE74D6" w:rsidRDefault="00AE74D6" w:rsidP="00574A33">
      <w:pPr>
        <w:ind w:left="709" w:hanging="283"/>
        <w:rPr>
          <w:rFonts w:cs="Arial"/>
          <w:szCs w:val="22"/>
        </w:rPr>
      </w:pPr>
      <w:r w:rsidRPr="00AE74D6">
        <w:rPr>
          <w:rFonts w:cs="Arial"/>
          <w:szCs w:val="22"/>
        </w:rPr>
        <w:t>5.</w:t>
      </w:r>
      <w:r w:rsidRPr="00AE74D6">
        <w:rPr>
          <w:rFonts w:cs="Arial"/>
          <w:szCs w:val="22"/>
        </w:rPr>
        <w:tab/>
      </w:r>
      <w:r w:rsidR="00574A33">
        <w:rPr>
          <w:rFonts w:cs="Arial"/>
          <w:szCs w:val="22"/>
        </w:rPr>
        <w:t>C</w:t>
      </w:r>
      <w:r w:rsidRPr="00AE74D6">
        <w:rPr>
          <w:rFonts w:cs="Arial"/>
          <w:szCs w:val="22"/>
        </w:rPr>
        <w:t xml:space="preserve">assava pieces </w:t>
      </w:r>
      <w:r w:rsidR="00574A33">
        <w:rPr>
          <w:rFonts w:cs="Arial"/>
          <w:szCs w:val="22"/>
        </w:rPr>
        <w:t xml:space="preserve">were placed </w:t>
      </w:r>
      <w:r w:rsidRPr="00AE74D6">
        <w:rPr>
          <w:rFonts w:cs="Arial"/>
          <w:szCs w:val="22"/>
        </w:rPr>
        <w:t xml:space="preserve">into the steamer basket and a loose fitting lid </w:t>
      </w:r>
      <w:r w:rsidR="00574A33">
        <w:rPr>
          <w:rFonts w:cs="Arial"/>
          <w:szCs w:val="22"/>
        </w:rPr>
        <w:t xml:space="preserve">was placed </w:t>
      </w:r>
      <w:r w:rsidRPr="00AE74D6">
        <w:rPr>
          <w:rFonts w:cs="Arial"/>
          <w:szCs w:val="22"/>
        </w:rPr>
        <w:t xml:space="preserve">on top to cover. </w:t>
      </w:r>
    </w:p>
    <w:p w:rsidR="00574A33" w:rsidRDefault="004625D6" w:rsidP="00574A33">
      <w:pPr>
        <w:ind w:left="709" w:hanging="283"/>
        <w:rPr>
          <w:rFonts w:cs="Arial"/>
          <w:szCs w:val="22"/>
        </w:rPr>
      </w:pPr>
      <w:r>
        <w:rPr>
          <w:rFonts w:cs="Arial"/>
          <w:szCs w:val="22"/>
        </w:rPr>
        <w:t>6</w:t>
      </w:r>
      <w:r w:rsidR="00AE74D6" w:rsidRPr="00AE74D6">
        <w:rPr>
          <w:rFonts w:cs="Arial"/>
          <w:szCs w:val="22"/>
        </w:rPr>
        <w:t>.</w:t>
      </w:r>
      <w:r w:rsidR="00AE74D6" w:rsidRPr="00AE74D6">
        <w:rPr>
          <w:rFonts w:cs="Arial"/>
          <w:szCs w:val="22"/>
        </w:rPr>
        <w:tab/>
      </w:r>
      <w:r w:rsidR="00574A33">
        <w:rPr>
          <w:rFonts w:cs="Arial"/>
          <w:szCs w:val="22"/>
        </w:rPr>
        <w:t>Pieces were s</w:t>
      </w:r>
      <w:r w:rsidR="00AE74D6" w:rsidRPr="00AE74D6">
        <w:rPr>
          <w:rFonts w:cs="Arial"/>
          <w:szCs w:val="22"/>
        </w:rPr>
        <w:t>team</w:t>
      </w:r>
      <w:r w:rsidR="00574A33">
        <w:rPr>
          <w:rFonts w:cs="Arial"/>
          <w:szCs w:val="22"/>
        </w:rPr>
        <w:t>ed</w:t>
      </w:r>
      <w:r w:rsidR="00AE74D6" w:rsidRPr="00AE74D6">
        <w:rPr>
          <w:rFonts w:cs="Arial"/>
          <w:szCs w:val="22"/>
        </w:rPr>
        <w:t xml:space="preserve"> for approximately 20-25 minutes OR until tender (like boiling potatoes). </w:t>
      </w:r>
    </w:p>
    <w:p w:rsidR="00AE74D6" w:rsidRPr="00AE74D6" w:rsidRDefault="004625D6" w:rsidP="00574A33">
      <w:pPr>
        <w:ind w:left="709" w:hanging="283"/>
        <w:rPr>
          <w:rFonts w:cs="Arial"/>
          <w:szCs w:val="22"/>
        </w:rPr>
      </w:pPr>
      <w:r>
        <w:rPr>
          <w:rFonts w:cs="Arial"/>
          <w:szCs w:val="22"/>
        </w:rPr>
        <w:t>7</w:t>
      </w:r>
      <w:r w:rsidR="00AE74D6" w:rsidRPr="00AE74D6">
        <w:rPr>
          <w:rFonts w:cs="Arial"/>
          <w:szCs w:val="22"/>
        </w:rPr>
        <w:t>.</w:t>
      </w:r>
      <w:r w:rsidR="00AE74D6" w:rsidRPr="00AE74D6">
        <w:rPr>
          <w:rFonts w:cs="Arial"/>
          <w:szCs w:val="22"/>
        </w:rPr>
        <w:tab/>
      </w:r>
      <w:r w:rsidR="00574A33">
        <w:rPr>
          <w:rFonts w:cs="Arial"/>
          <w:szCs w:val="22"/>
        </w:rPr>
        <w:t>C</w:t>
      </w:r>
      <w:r w:rsidR="00AE74D6" w:rsidRPr="00AE74D6">
        <w:rPr>
          <w:rFonts w:cs="Arial"/>
          <w:szCs w:val="22"/>
        </w:rPr>
        <w:t xml:space="preserve">ooked cassava pieces </w:t>
      </w:r>
      <w:r w:rsidR="00574A33">
        <w:rPr>
          <w:rFonts w:cs="Arial"/>
          <w:szCs w:val="22"/>
        </w:rPr>
        <w:t xml:space="preserve">were removed </w:t>
      </w:r>
      <w:r w:rsidR="00AE74D6" w:rsidRPr="00AE74D6">
        <w:rPr>
          <w:rFonts w:cs="Arial"/>
          <w:szCs w:val="22"/>
        </w:rPr>
        <w:t xml:space="preserve">from </w:t>
      </w:r>
      <w:r w:rsidR="00574A33">
        <w:rPr>
          <w:rFonts w:cs="Arial"/>
          <w:szCs w:val="22"/>
        </w:rPr>
        <w:t xml:space="preserve">the </w:t>
      </w:r>
      <w:r w:rsidR="00AE74D6" w:rsidRPr="00AE74D6">
        <w:rPr>
          <w:rFonts w:cs="Arial"/>
          <w:szCs w:val="22"/>
        </w:rPr>
        <w:t xml:space="preserve">steamer </w:t>
      </w:r>
      <w:r w:rsidR="00574A33">
        <w:rPr>
          <w:rFonts w:cs="Arial"/>
          <w:szCs w:val="22"/>
        </w:rPr>
        <w:t>using a slotted spoon. C</w:t>
      </w:r>
      <w:r w:rsidR="00AE74D6" w:rsidRPr="00AE74D6">
        <w:rPr>
          <w:rFonts w:cs="Arial"/>
          <w:szCs w:val="22"/>
        </w:rPr>
        <w:t>ooking water</w:t>
      </w:r>
      <w:r w:rsidR="00574A33">
        <w:rPr>
          <w:rFonts w:cs="Arial"/>
          <w:szCs w:val="22"/>
        </w:rPr>
        <w:t xml:space="preserve"> was discarded</w:t>
      </w:r>
      <w:r w:rsidR="00AE74D6" w:rsidRPr="00AE74D6">
        <w:rPr>
          <w:rFonts w:cs="Arial"/>
          <w:szCs w:val="22"/>
        </w:rPr>
        <w:t xml:space="preserve">. </w:t>
      </w:r>
    </w:p>
    <w:p w:rsidR="00AE74D6" w:rsidRPr="00AE74D6" w:rsidRDefault="00AE74D6" w:rsidP="00AE74D6">
      <w:pPr>
        <w:rPr>
          <w:rFonts w:cs="Arial"/>
          <w:szCs w:val="22"/>
        </w:rPr>
      </w:pPr>
    </w:p>
    <w:p w:rsidR="00AE74D6" w:rsidRPr="00574A33" w:rsidRDefault="00574A33" w:rsidP="00AE74D6">
      <w:pPr>
        <w:rPr>
          <w:rFonts w:cs="Arial"/>
          <w:b/>
          <w:szCs w:val="22"/>
        </w:rPr>
      </w:pPr>
      <w:r w:rsidRPr="00574A33">
        <w:rPr>
          <w:rFonts w:cs="Arial"/>
          <w:b/>
          <w:szCs w:val="22"/>
        </w:rPr>
        <w:t>B</w:t>
      </w:r>
      <w:r w:rsidR="00AE74D6" w:rsidRPr="00574A33">
        <w:rPr>
          <w:rFonts w:cs="Arial"/>
          <w:b/>
          <w:szCs w:val="22"/>
        </w:rPr>
        <w:t>amboo shoots</w:t>
      </w:r>
    </w:p>
    <w:p w:rsidR="00AE74D6" w:rsidRPr="00AE74D6" w:rsidRDefault="00AE74D6" w:rsidP="00AE74D6">
      <w:pPr>
        <w:rPr>
          <w:rFonts w:cs="Arial"/>
          <w:szCs w:val="22"/>
        </w:rPr>
      </w:pPr>
    </w:p>
    <w:p w:rsidR="00AE74D6" w:rsidRPr="00AE74D6" w:rsidRDefault="00AE74D6" w:rsidP="00AE74D6">
      <w:pPr>
        <w:rPr>
          <w:rFonts w:cs="Arial"/>
          <w:szCs w:val="22"/>
        </w:rPr>
      </w:pPr>
      <w:r w:rsidRPr="00AE74D6">
        <w:rPr>
          <w:rFonts w:cs="Arial"/>
          <w:szCs w:val="22"/>
        </w:rPr>
        <w:t>For each of the retail samples:</w:t>
      </w:r>
    </w:p>
    <w:p w:rsidR="00AE74D6" w:rsidRPr="00AE74D6" w:rsidRDefault="00AE74D6" w:rsidP="00AE74D6">
      <w:pPr>
        <w:rPr>
          <w:rFonts w:cs="Arial"/>
          <w:szCs w:val="22"/>
        </w:rPr>
      </w:pPr>
    </w:p>
    <w:p w:rsidR="00AE74D6" w:rsidRPr="00AE74D6" w:rsidRDefault="00AE74D6" w:rsidP="004625D6">
      <w:pPr>
        <w:ind w:left="709" w:hanging="283"/>
        <w:rPr>
          <w:rFonts w:cs="Arial"/>
          <w:szCs w:val="22"/>
        </w:rPr>
      </w:pPr>
      <w:r w:rsidRPr="00AE74D6">
        <w:rPr>
          <w:rFonts w:cs="Arial"/>
          <w:szCs w:val="22"/>
        </w:rPr>
        <w:t>1.</w:t>
      </w:r>
      <w:r w:rsidRPr="00AE74D6">
        <w:rPr>
          <w:rFonts w:cs="Arial"/>
          <w:szCs w:val="22"/>
        </w:rPr>
        <w:tab/>
      </w:r>
      <w:r w:rsidR="00574A33">
        <w:rPr>
          <w:rFonts w:cs="Arial"/>
          <w:szCs w:val="22"/>
        </w:rPr>
        <w:t>T</w:t>
      </w:r>
      <w:r w:rsidRPr="00AE74D6">
        <w:rPr>
          <w:rFonts w:cs="Arial"/>
          <w:szCs w:val="22"/>
        </w:rPr>
        <w:t xml:space="preserve">he tough outer skin </w:t>
      </w:r>
      <w:r w:rsidR="00574A33">
        <w:rPr>
          <w:rFonts w:cs="Arial"/>
          <w:szCs w:val="22"/>
        </w:rPr>
        <w:t xml:space="preserve">was peeled </w:t>
      </w:r>
      <w:r w:rsidRPr="00AE74D6">
        <w:rPr>
          <w:rFonts w:cs="Arial"/>
          <w:szCs w:val="22"/>
        </w:rPr>
        <w:t>off</w:t>
      </w:r>
      <w:r w:rsidR="00574A33">
        <w:rPr>
          <w:rFonts w:cs="Arial"/>
          <w:szCs w:val="22"/>
        </w:rPr>
        <w:t xml:space="preserve"> (if present)</w:t>
      </w:r>
      <w:r w:rsidRPr="00AE74D6">
        <w:rPr>
          <w:rFonts w:cs="Arial"/>
          <w:szCs w:val="22"/>
        </w:rPr>
        <w:t xml:space="preserve">. </w:t>
      </w:r>
    </w:p>
    <w:p w:rsidR="00AE74D6" w:rsidRPr="00AE74D6" w:rsidRDefault="00AE74D6" w:rsidP="004625D6">
      <w:pPr>
        <w:ind w:left="709" w:hanging="283"/>
        <w:rPr>
          <w:rFonts w:cs="Arial"/>
          <w:szCs w:val="22"/>
        </w:rPr>
      </w:pPr>
      <w:r w:rsidRPr="00AE74D6">
        <w:rPr>
          <w:rFonts w:cs="Arial"/>
          <w:szCs w:val="22"/>
        </w:rPr>
        <w:t>2.</w:t>
      </w:r>
      <w:r w:rsidRPr="00AE74D6">
        <w:rPr>
          <w:rFonts w:cs="Arial"/>
          <w:szCs w:val="22"/>
        </w:rPr>
        <w:tab/>
      </w:r>
      <w:r w:rsidR="00574A33">
        <w:rPr>
          <w:rFonts w:cs="Arial"/>
          <w:szCs w:val="22"/>
        </w:rPr>
        <w:t>T</w:t>
      </w:r>
      <w:r w:rsidRPr="00AE74D6">
        <w:rPr>
          <w:rFonts w:cs="Arial"/>
          <w:szCs w:val="22"/>
        </w:rPr>
        <w:t>he tough root end</w:t>
      </w:r>
      <w:r w:rsidR="00574A33">
        <w:rPr>
          <w:rFonts w:cs="Arial"/>
          <w:szCs w:val="22"/>
        </w:rPr>
        <w:t xml:space="preserve"> was cut off (if present)</w:t>
      </w:r>
      <w:r w:rsidRPr="00AE74D6">
        <w:rPr>
          <w:rFonts w:cs="Arial"/>
          <w:szCs w:val="22"/>
        </w:rPr>
        <w:t>.</w:t>
      </w:r>
    </w:p>
    <w:p w:rsidR="00AE74D6" w:rsidRPr="00AE74D6" w:rsidRDefault="00AE74D6" w:rsidP="004625D6">
      <w:pPr>
        <w:ind w:left="709" w:hanging="283"/>
        <w:rPr>
          <w:rFonts w:cs="Arial"/>
          <w:szCs w:val="22"/>
        </w:rPr>
      </w:pPr>
      <w:r w:rsidRPr="00AE74D6">
        <w:rPr>
          <w:rFonts w:cs="Arial"/>
          <w:szCs w:val="22"/>
        </w:rPr>
        <w:t>3.</w:t>
      </w:r>
      <w:r w:rsidRPr="00AE74D6">
        <w:rPr>
          <w:rFonts w:cs="Arial"/>
          <w:szCs w:val="22"/>
        </w:rPr>
        <w:tab/>
      </w:r>
      <w:r w:rsidR="00574A33">
        <w:rPr>
          <w:rFonts w:cs="Arial"/>
          <w:szCs w:val="22"/>
        </w:rPr>
        <w:t>E</w:t>
      </w:r>
      <w:r w:rsidRPr="00AE74D6">
        <w:rPr>
          <w:rFonts w:cs="Arial"/>
          <w:szCs w:val="22"/>
        </w:rPr>
        <w:t xml:space="preserve">ach bamboo shoot </w:t>
      </w:r>
      <w:r w:rsidR="00574A33">
        <w:rPr>
          <w:rFonts w:cs="Arial"/>
          <w:szCs w:val="22"/>
        </w:rPr>
        <w:t xml:space="preserve">was cut </w:t>
      </w:r>
      <w:r w:rsidRPr="00AE74D6">
        <w:rPr>
          <w:rFonts w:cs="Arial"/>
          <w:szCs w:val="22"/>
        </w:rPr>
        <w:t xml:space="preserve">lengthwise into two pieces. </w:t>
      </w:r>
      <w:r w:rsidR="00574A33">
        <w:rPr>
          <w:rFonts w:cs="Arial"/>
          <w:szCs w:val="22"/>
        </w:rPr>
        <w:t>H</w:t>
      </w:r>
      <w:r w:rsidRPr="00AE74D6">
        <w:rPr>
          <w:rFonts w:cs="Arial"/>
          <w:szCs w:val="22"/>
        </w:rPr>
        <w:t xml:space="preserve">alf </w:t>
      </w:r>
      <w:r w:rsidR="00574A33">
        <w:rPr>
          <w:rFonts w:cs="Arial"/>
          <w:szCs w:val="22"/>
        </w:rPr>
        <w:t xml:space="preserve">was set aside </w:t>
      </w:r>
      <w:r w:rsidRPr="00AE74D6">
        <w:rPr>
          <w:rFonts w:cs="Arial"/>
          <w:szCs w:val="22"/>
        </w:rPr>
        <w:t>to analyse raw and the other half to analyse cooked.</w:t>
      </w:r>
      <w:r w:rsidR="004625D6">
        <w:rPr>
          <w:rFonts w:cs="Arial"/>
          <w:szCs w:val="22"/>
        </w:rPr>
        <w:t xml:space="preserve"> Each</w:t>
      </w:r>
      <w:r w:rsidRPr="00AE74D6">
        <w:rPr>
          <w:rFonts w:cs="Arial"/>
          <w:szCs w:val="22"/>
        </w:rPr>
        <w:t xml:space="preserve"> half </w:t>
      </w:r>
      <w:r w:rsidR="004625D6">
        <w:rPr>
          <w:rFonts w:cs="Arial"/>
          <w:szCs w:val="22"/>
        </w:rPr>
        <w:t xml:space="preserve">was clearly </w:t>
      </w:r>
      <w:r w:rsidRPr="00AE74D6">
        <w:rPr>
          <w:rFonts w:cs="Arial"/>
          <w:szCs w:val="22"/>
        </w:rPr>
        <w:t>labelled to allow for later comparison of raw and cooked values (and calculation of adjustment factors</w:t>
      </w:r>
      <w:r w:rsidR="004625D6">
        <w:rPr>
          <w:rFonts w:cs="Arial"/>
          <w:szCs w:val="22"/>
        </w:rPr>
        <w:t>).</w:t>
      </w:r>
    </w:p>
    <w:p w:rsidR="004625D6" w:rsidRDefault="004625D6" w:rsidP="004625D6">
      <w:pPr>
        <w:ind w:left="709" w:hanging="283"/>
        <w:rPr>
          <w:rFonts w:cs="Arial"/>
          <w:szCs w:val="22"/>
        </w:rPr>
      </w:pPr>
    </w:p>
    <w:p w:rsidR="004625D6" w:rsidRPr="004625D6" w:rsidRDefault="004625D6" w:rsidP="00F26E68">
      <w:pPr>
        <w:rPr>
          <w:rFonts w:cs="Arial"/>
          <w:szCs w:val="22"/>
          <w:u w:val="single"/>
        </w:rPr>
      </w:pPr>
      <w:r w:rsidRPr="004625D6">
        <w:rPr>
          <w:rFonts w:cs="Arial"/>
          <w:szCs w:val="22"/>
          <w:u w:val="single"/>
        </w:rPr>
        <w:t>Boiling</w:t>
      </w:r>
    </w:p>
    <w:p w:rsidR="004625D6" w:rsidRDefault="004625D6" w:rsidP="004625D6">
      <w:pPr>
        <w:ind w:left="709" w:hanging="283"/>
        <w:rPr>
          <w:rFonts w:cs="Arial"/>
          <w:szCs w:val="22"/>
        </w:rPr>
      </w:pPr>
    </w:p>
    <w:p w:rsidR="00AE74D6" w:rsidRPr="00AE74D6" w:rsidRDefault="00AE74D6" w:rsidP="004625D6">
      <w:pPr>
        <w:ind w:left="709" w:hanging="283"/>
        <w:rPr>
          <w:rFonts w:cs="Arial"/>
          <w:szCs w:val="22"/>
        </w:rPr>
      </w:pPr>
      <w:r w:rsidRPr="00AE74D6">
        <w:rPr>
          <w:rFonts w:cs="Arial"/>
          <w:szCs w:val="22"/>
        </w:rPr>
        <w:t>1.</w:t>
      </w:r>
      <w:r w:rsidRPr="00AE74D6">
        <w:rPr>
          <w:rFonts w:cs="Arial"/>
          <w:szCs w:val="22"/>
        </w:rPr>
        <w:tab/>
      </w:r>
      <w:r w:rsidR="004625D6">
        <w:rPr>
          <w:rFonts w:cs="Arial"/>
          <w:szCs w:val="22"/>
        </w:rPr>
        <w:t>The b</w:t>
      </w:r>
      <w:r w:rsidRPr="00AE74D6">
        <w:rPr>
          <w:rFonts w:cs="Arial"/>
          <w:szCs w:val="22"/>
        </w:rPr>
        <w:t xml:space="preserve">amboo shoot </w:t>
      </w:r>
      <w:r w:rsidR="004625D6">
        <w:rPr>
          <w:rFonts w:cs="Arial"/>
          <w:szCs w:val="22"/>
        </w:rPr>
        <w:t xml:space="preserve">was placed </w:t>
      </w:r>
      <w:r w:rsidRPr="00AE74D6">
        <w:rPr>
          <w:rFonts w:cs="Arial"/>
          <w:szCs w:val="22"/>
        </w:rPr>
        <w:t xml:space="preserve">in a saucepan with enough water to cover. </w:t>
      </w:r>
    </w:p>
    <w:p w:rsidR="00AE74D6" w:rsidRPr="00AE74D6" w:rsidRDefault="00AE74D6" w:rsidP="004625D6">
      <w:pPr>
        <w:ind w:left="709" w:hanging="283"/>
        <w:rPr>
          <w:rFonts w:cs="Arial"/>
          <w:szCs w:val="22"/>
        </w:rPr>
      </w:pPr>
      <w:r w:rsidRPr="00AE74D6">
        <w:rPr>
          <w:rFonts w:cs="Arial"/>
          <w:szCs w:val="22"/>
        </w:rPr>
        <w:t>2.</w:t>
      </w:r>
      <w:r w:rsidRPr="00AE74D6">
        <w:rPr>
          <w:rFonts w:cs="Arial"/>
          <w:szCs w:val="22"/>
        </w:rPr>
        <w:tab/>
      </w:r>
      <w:r w:rsidR="004625D6">
        <w:rPr>
          <w:rFonts w:cs="Arial"/>
          <w:szCs w:val="22"/>
        </w:rPr>
        <w:t xml:space="preserve">Water was brought </w:t>
      </w:r>
      <w:r w:rsidRPr="00AE74D6">
        <w:rPr>
          <w:rFonts w:cs="Arial"/>
          <w:szCs w:val="22"/>
        </w:rPr>
        <w:t>to the boil, and simmer</w:t>
      </w:r>
      <w:r w:rsidR="004625D6">
        <w:rPr>
          <w:rFonts w:cs="Arial"/>
          <w:szCs w:val="22"/>
        </w:rPr>
        <w:t>ed</w:t>
      </w:r>
      <w:r w:rsidRPr="00AE74D6">
        <w:rPr>
          <w:rFonts w:cs="Arial"/>
          <w:szCs w:val="22"/>
        </w:rPr>
        <w:t xml:space="preserve"> for at least an hour, until </w:t>
      </w:r>
      <w:r w:rsidR="004625D6">
        <w:rPr>
          <w:rFonts w:cs="Arial"/>
          <w:szCs w:val="22"/>
        </w:rPr>
        <w:t xml:space="preserve">the bamboo shoot was tender </w:t>
      </w:r>
      <w:r w:rsidRPr="00AE74D6">
        <w:rPr>
          <w:rFonts w:cs="Arial"/>
          <w:szCs w:val="22"/>
        </w:rPr>
        <w:t xml:space="preserve">enough to poke a skewer through. </w:t>
      </w:r>
    </w:p>
    <w:p w:rsidR="00AE74D6" w:rsidRPr="00AE74D6" w:rsidRDefault="00AE74D6" w:rsidP="004625D6">
      <w:pPr>
        <w:ind w:left="709" w:hanging="283"/>
        <w:rPr>
          <w:rFonts w:cs="Arial"/>
          <w:szCs w:val="22"/>
        </w:rPr>
      </w:pPr>
      <w:r w:rsidRPr="00AE74D6">
        <w:rPr>
          <w:rFonts w:cs="Arial"/>
          <w:szCs w:val="22"/>
        </w:rPr>
        <w:t>3.</w:t>
      </w:r>
      <w:r w:rsidRPr="00AE74D6">
        <w:rPr>
          <w:rFonts w:cs="Arial"/>
          <w:szCs w:val="22"/>
        </w:rPr>
        <w:tab/>
      </w:r>
      <w:r w:rsidR="004625D6">
        <w:rPr>
          <w:rFonts w:cs="Arial"/>
          <w:szCs w:val="22"/>
        </w:rPr>
        <w:t xml:space="preserve">Bamboo shoots were allowed to </w:t>
      </w:r>
      <w:r w:rsidRPr="00AE74D6">
        <w:rPr>
          <w:rFonts w:cs="Arial"/>
          <w:szCs w:val="22"/>
        </w:rPr>
        <w:t xml:space="preserve">cool in the water; </w:t>
      </w:r>
      <w:r w:rsidR="004625D6">
        <w:rPr>
          <w:rFonts w:cs="Arial"/>
          <w:szCs w:val="22"/>
        </w:rPr>
        <w:t xml:space="preserve">because </w:t>
      </w:r>
      <w:r w:rsidRPr="00AE74D6">
        <w:rPr>
          <w:rFonts w:cs="Arial"/>
          <w:szCs w:val="22"/>
        </w:rPr>
        <w:t>peel</w:t>
      </w:r>
      <w:r w:rsidR="004625D6">
        <w:rPr>
          <w:rFonts w:cs="Arial"/>
          <w:szCs w:val="22"/>
        </w:rPr>
        <w:t xml:space="preserve">ing it while </w:t>
      </w:r>
      <w:r w:rsidRPr="00AE74D6">
        <w:rPr>
          <w:rFonts w:cs="Arial"/>
          <w:szCs w:val="22"/>
        </w:rPr>
        <w:t>still hot</w:t>
      </w:r>
      <w:r w:rsidR="004625D6">
        <w:rPr>
          <w:rFonts w:cs="Arial"/>
          <w:szCs w:val="22"/>
        </w:rPr>
        <w:t xml:space="preserve"> could cause </w:t>
      </w:r>
      <w:r w:rsidRPr="00AE74D6">
        <w:rPr>
          <w:rFonts w:cs="Arial"/>
          <w:szCs w:val="22"/>
        </w:rPr>
        <w:t xml:space="preserve">the shoot </w:t>
      </w:r>
      <w:r w:rsidR="004625D6">
        <w:rPr>
          <w:rFonts w:cs="Arial"/>
          <w:szCs w:val="22"/>
        </w:rPr>
        <w:t xml:space="preserve">to </w:t>
      </w:r>
      <w:r w:rsidRPr="00AE74D6">
        <w:rPr>
          <w:rFonts w:cs="Arial"/>
          <w:szCs w:val="22"/>
        </w:rPr>
        <w:t xml:space="preserve">split. </w:t>
      </w:r>
    </w:p>
    <w:p w:rsidR="00AE74D6" w:rsidRPr="00AE74D6" w:rsidRDefault="00AE74D6" w:rsidP="004625D6">
      <w:pPr>
        <w:ind w:left="709" w:hanging="283"/>
        <w:rPr>
          <w:rFonts w:cs="Arial"/>
          <w:szCs w:val="22"/>
        </w:rPr>
      </w:pPr>
      <w:r w:rsidRPr="00AE74D6">
        <w:rPr>
          <w:rFonts w:cs="Arial"/>
          <w:szCs w:val="22"/>
        </w:rPr>
        <w:t>4.</w:t>
      </w:r>
      <w:r w:rsidRPr="00AE74D6">
        <w:rPr>
          <w:rFonts w:cs="Arial"/>
          <w:szCs w:val="22"/>
        </w:rPr>
        <w:tab/>
      </w:r>
      <w:r w:rsidR="004625D6">
        <w:rPr>
          <w:rFonts w:cs="Arial"/>
          <w:szCs w:val="22"/>
        </w:rPr>
        <w:t>The bamboo shoots were drained</w:t>
      </w:r>
      <w:r w:rsidRPr="00AE74D6">
        <w:rPr>
          <w:rFonts w:cs="Arial"/>
          <w:szCs w:val="22"/>
        </w:rPr>
        <w:t>.</w:t>
      </w:r>
    </w:p>
    <w:p w:rsidR="00AE74D6" w:rsidRPr="00AE74D6" w:rsidRDefault="00AE74D6" w:rsidP="004625D6">
      <w:pPr>
        <w:ind w:left="709" w:hanging="283"/>
        <w:rPr>
          <w:rFonts w:cs="Arial"/>
          <w:szCs w:val="22"/>
        </w:rPr>
      </w:pPr>
      <w:r w:rsidRPr="00AE74D6">
        <w:rPr>
          <w:rFonts w:cs="Arial"/>
          <w:szCs w:val="22"/>
        </w:rPr>
        <w:t>5.</w:t>
      </w:r>
      <w:r w:rsidRPr="00AE74D6">
        <w:rPr>
          <w:rFonts w:cs="Arial"/>
          <w:szCs w:val="22"/>
        </w:rPr>
        <w:tab/>
        <w:t xml:space="preserve">Any remaining outer skin </w:t>
      </w:r>
      <w:r w:rsidR="004625D6">
        <w:rPr>
          <w:rFonts w:cs="Arial"/>
          <w:szCs w:val="22"/>
        </w:rPr>
        <w:t xml:space="preserve">was </w:t>
      </w:r>
      <w:r w:rsidRPr="00AE74D6">
        <w:rPr>
          <w:rFonts w:cs="Arial"/>
          <w:szCs w:val="22"/>
        </w:rPr>
        <w:t xml:space="preserve">peeled off. </w:t>
      </w:r>
    </w:p>
    <w:p w:rsidR="0093006F" w:rsidRDefault="0093006F">
      <w:pPr>
        <w:spacing w:after="200" w:line="276" w:lineRule="auto"/>
        <w:rPr>
          <w:b/>
          <w:bCs/>
        </w:rPr>
        <w:sectPr w:rsidR="0093006F" w:rsidSect="005D162B">
          <w:pgSz w:w="11906" w:h="16838"/>
          <w:pgMar w:top="1134" w:right="1134" w:bottom="1134" w:left="1134" w:header="680" w:footer="737" w:gutter="0"/>
          <w:cols w:space="708"/>
          <w:docGrid w:linePitch="360"/>
        </w:sectPr>
      </w:pPr>
    </w:p>
    <w:p w:rsidR="0093006F" w:rsidRDefault="0093006F" w:rsidP="0093006F">
      <w:pPr>
        <w:pStyle w:val="Heading1"/>
      </w:pPr>
      <w:bookmarkStart w:id="198" w:name="_Toc384293539"/>
      <w:r>
        <w:lastRenderedPageBreak/>
        <w:t>Appendix 3. Analytical results</w:t>
      </w:r>
      <w:bookmarkEnd w:id="198"/>
    </w:p>
    <w:p w:rsidR="0093006F" w:rsidRPr="000C75D3" w:rsidRDefault="0093006F" w:rsidP="0093006F"/>
    <w:p w:rsidR="00E27A5D" w:rsidRDefault="0093006F" w:rsidP="0093006F">
      <w:pPr>
        <w:autoSpaceDE w:val="0"/>
        <w:autoSpaceDN w:val="0"/>
        <w:adjustRightInd w:val="0"/>
        <w:rPr>
          <w:b/>
          <w:bCs/>
        </w:rPr>
      </w:pPr>
      <w:r w:rsidRPr="000C75D3">
        <w:rPr>
          <w:rFonts w:asciiTheme="minorHAnsi" w:hAnsiTheme="minorHAnsi" w:cs="Arial"/>
          <w:b/>
        </w:rPr>
        <w:t>Table A</w:t>
      </w:r>
      <w:r>
        <w:rPr>
          <w:rFonts w:asciiTheme="minorHAnsi" w:hAnsiTheme="minorHAnsi" w:cs="Arial"/>
          <w:b/>
        </w:rPr>
        <w:t>3</w:t>
      </w:r>
      <w:r w:rsidRPr="000C75D3">
        <w:rPr>
          <w:rFonts w:asciiTheme="minorHAnsi" w:hAnsiTheme="minorHAnsi" w:cs="Arial"/>
          <w:b/>
        </w:rPr>
        <w:t xml:space="preserve">.1. </w:t>
      </w:r>
      <w:r>
        <w:rPr>
          <w:rFonts w:asciiTheme="minorHAnsi" w:hAnsiTheme="minorHAnsi" w:cs="Arial"/>
          <w:b/>
        </w:rPr>
        <w:t>Total HCN concentration of selected foods available in Australia and New Zealand</w:t>
      </w:r>
      <w:r w:rsidR="00A14E95">
        <w:rPr>
          <w:rFonts w:asciiTheme="minorHAnsi" w:hAnsiTheme="minorHAnsi" w:cs="Arial"/>
          <w:b/>
        </w:rPr>
        <w:t xml:space="preserve"> analysed using the acid hydrolysis method</w:t>
      </w:r>
      <w:r>
        <w:rPr>
          <w:rFonts w:asciiTheme="minorHAnsi" w:hAnsiTheme="minorHAnsi" w:cs="Arial"/>
          <w:b/>
        </w:rPr>
        <w:t xml:space="preserve"> </w:t>
      </w:r>
    </w:p>
    <w:tbl>
      <w:tblPr>
        <w:tblStyle w:val="MediumShading1-Accent1"/>
        <w:tblW w:w="5000" w:type="pct"/>
        <w:tblLook w:val="01E0" w:firstRow="1" w:lastRow="1" w:firstColumn="1" w:lastColumn="1" w:noHBand="0" w:noVBand="0"/>
      </w:tblPr>
      <w:tblGrid>
        <w:gridCol w:w="4078"/>
        <w:gridCol w:w="1275"/>
        <w:gridCol w:w="1700"/>
        <w:gridCol w:w="2552"/>
        <w:gridCol w:w="2552"/>
        <w:gridCol w:w="2629"/>
      </w:tblGrid>
      <w:tr w:rsidR="0093006F" w:rsidRPr="00B868A9" w:rsidTr="004258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79" w:type="pct"/>
            <w:tcBorders>
              <w:right w:val="single" w:sz="8" w:space="0" w:color="7BA0CD" w:themeColor="accent1" w:themeTint="BF"/>
            </w:tcBorders>
          </w:tcPr>
          <w:p w:rsidR="0093006F" w:rsidRPr="00B868A9" w:rsidRDefault="0093006F" w:rsidP="00425868">
            <w:pPr>
              <w:rPr>
                <w:rFonts w:cs="Arial"/>
                <w:sz w:val="20"/>
                <w:szCs w:val="20"/>
              </w:rPr>
            </w:pPr>
            <w:bookmarkStart w:id="199" w:name="_Toc367957665"/>
            <w:bookmarkStart w:id="200" w:name="_Toc367957764"/>
            <w:r w:rsidRPr="00B868A9">
              <w:rPr>
                <w:rFonts w:cs="Arial"/>
                <w:sz w:val="20"/>
                <w:szCs w:val="20"/>
              </w:rPr>
              <w:t>Food type</w:t>
            </w:r>
          </w:p>
        </w:tc>
        <w:tc>
          <w:tcPr>
            <w:cnfStyle w:val="000010000000" w:firstRow="0" w:lastRow="0" w:firstColumn="0" w:lastColumn="0" w:oddVBand="1" w:evenVBand="0" w:oddHBand="0" w:evenHBand="0" w:firstRowFirstColumn="0" w:firstRowLastColumn="0" w:lastRowFirstColumn="0" w:lastRowLastColumn="0"/>
            <w:tcW w:w="431" w:type="pct"/>
            <w:tcBorders>
              <w:left w:val="single" w:sz="8" w:space="0" w:color="7BA0CD" w:themeColor="accent1" w:themeTint="BF"/>
              <w:right w:val="single" w:sz="8" w:space="0" w:color="7BA0CD" w:themeColor="accent1" w:themeTint="BF"/>
            </w:tcBorders>
          </w:tcPr>
          <w:p w:rsidR="0093006F" w:rsidRDefault="0093006F" w:rsidP="00425868">
            <w:pPr>
              <w:rPr>
                <w:rFonts w:cs="Arial"/>
                <w:sz w:val="20"/>
                <w:szCs w:val="20"/>
              </w:rPr>
            </w:pPr>
            <w:r w:rsidRPr="00B868A9">
              <w:rPr>
                <w:rFonts w:cs="Arial"/>
                <w:sz w:val="20"/>
                <w:szCs w:val="20"/>
              </w:rPr>
              <w:t>Number of samples</w:t>
            </w:r>
          </w:p>
          <w:p w:rsidR="0093006F" w:rsidRPr="00B868A9" w:rsidRDefault="0093006F" w:rsidP="00425868">
            <w:pPr>
              <w:rPr>
                <w:rFonts w:cs="Arial"/>
                <w:sz w:val="20"/>
                <w:szCs w:val="20"/>
              </w:rPr>
            </w:pPr>
            <w:r>
              <w:rPr>
                <w:rFonts w:cs="Arial"/>
                <w:sz w:val="20"/>
                <w:szCs w:val="20"/>
              </w:rPr>
              <w:t>analysed</w:t>
            </w:r>
          </w:p>
        </w:tc>
        <w:tc>
          <w:tcPr>
            <w:tcW w:w="575" w:type="pct"/>
            <w:tcBorders>
              <w:left w:val="single" w:sz="8" w:space="0" w:color="7BA0CD" w:themeColor="accent1" w:themeTint="BF"/>
              <w:right w:val="single" w:sz="8" w:space="0" w:color="7BA0CD" w:themeColor="accent1" w:themeTint="BF"/>
            </w:tcBorders>
          </w:tcPr>
          <w:p w:rsidR="0093006F" w:rsidRPr="00B868A9" w:rsidRDefault="0093006F" w:rsidP="00425868">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B868A9">
              <w:rPr>
                <w:rFonts w:cs="Arial"/>
                <w:sz w:val="20"/>
                <w:szCs w:val="20"/>
              </w:rPr>
              <w:t xml:space="preserve">Number positive for total </w:t>
            </w:r>
            <w:r>
              <w:rPr>
                <w:rFonts w:cs="Arial"/>
                <w:sz w:val="20"/>
                <w:szCs w:val="20"/>
              </w:rPr>
              <w:t>HCN</w:t>
            </w:r>
            <w:r w:rsidRPr="00B868A9">
              <w:rPr>
                <w:rFonts w:cs="Arial"/>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863" w:type="pct"/>
            <w:tcBorders>
              <w:left w:val="single" w:sz="8" w:space="0" w:color="7BA0CD" w:themeColor="accent1" w:themeTint="BF"/>
              <w:right w:val="single" w:sz="8" w:space="0" w:color="7BA0CD" w:themeColor="accent1" w:themeTint="BF"/>
            </w:tcBorders>
          </w:tcPr>
          <w:p w:rsidR="0093006F" w:rsidRPr="00B868A9" w:rsidRDefault="0093006F" w:rsidP="00425868">
            <w:pPr>
              <w:rPr>
                <w:rFonts w:cs="Arial"/>
                <w:sz w:val="20"/>
                <w:szCs w:val="20"/>
              </w:rPr>
            </w:pPr>
            <w:r w:rsidRPr="00B868A9">
              <w:rPr>
                <w:rFonts w:cs="Arial"/>
                <w:sz w:val="20"/>
                <w:szCs w:val="20"/>
              </w:rPr>
              <w:t xml:space="preserve">Total </w:t>
            </w:r>
            <w:r>
              <w:rPr>
                <w:rFonts w:cs="Arial"/>
                <w:sz w:val="20"/>
                <w:szCs w:val="20"/>
              </w:rPr>
              <w:t>HCN</w:t>
            </w:r>
            <w:r w:rsidRPr="00B868A9">
              <w:rPr>
                <w:rFonts w:cs="Arial"/>
                <w:sz w:val="20"/>
                <w:szCs w:val="20"/>
              </w:rPr>
              <w:t xml:space="preserve"> in positive samples, mean (range) (mg</w:t>
            </w:r>
            <w:r>
              <w:rPr>
                <w:rFonts w:cs="Arial"/>
                <w:sz w:val="20"/>
                <w:szCs w:val="20"/>
              </w:rPr>
              <w:t xml:space="preserve"> HCN</w:t>
            </w:r>
            <w:r w:rsidRPr="00B868A9">
              <w:rPr>
                <w:rFonts w:cs="Arial"/>
                <w:sz w:val="20"/>
                <w:szCs w:val="20"/>
              </w:rPr>
              <w:t>/kg)</w:t>
            </w:r>
          </w:p>
        </w:tc>
        <w:tc>
          <w:tcPr>
            <w:tcW w:w="863" w:type="pct"/>
            <w:tcBorders>
              <w:left w:val="single" w:sz="8" w:space="0" w:color="7BA0CD" w:themeColor="accent1" w:themeTint="BF"/>
              <w:right w:val="single" w:sz="8" w:space="0" w:color="7BA0CD" w:themeColor="accent1" w:themeTint="BF"/>
            </w:tcBorders>
          </w:tcPr>
          <w:p w:rsidR="0093006F" w:rsidRPr="00B868A9" w:rsidRDefault="0093006F" w:rsidP="00425868">
            <w:pP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Comparison of levels to the available scientific literature</w:t>
            </w:r>
          </w:p>
        </w:tc>
        <w:tc>
          <w:tcPr>
            <w:cnfStyle w:val="000100000000" w:firstRow="0" w:lastRow="0" w:firstColumn="0" w:lastColumn="1" w:oddVBand="0" w:evenVBand="0" w:oddHBand="0" w:evenHBand="0" w:firstRowFirstColumn="0" w:firstRowLastColumn="0" w:lastRowFirstColumn="0" w:lastRowLastColumn="0"/>
            <w:tcW w:w="889" w:type="pct"/>
            <w:tcBorders>
              <w:left w:val="single" w:sz="8" w:space="0" w:color="7BA0CD" w:themeColor="accent1" w:themeTint="BF"/>
            </w:tcBorders>
          </w:tcPr>
          <w:p w:rsidR="0093006F" w:rsidRPr="00B868A9" w:rsidRDefault="0093006F" w:rsidP="00425868">
            <w:pPr>
              <w:rPr>
                <w:rFonts w:cs="Arial"/>
                <w:sz w:val="20"/>
                <w:szCs w:val="20"/>
              </w:rPr>
            </w:pPr>
            <w:r>
              <w:rPr>
                <w:rFonts w:cs="Arial"/>
                <w:sz w:val="20"/>
                <w:szCs w:val="20"/>
              </w:rPr>
              <w:t>Comparison to standards in the Code</w:t>
            </w:r>
          </w:p>
        </w:tc>
      </w:tr>
      <w:tr w:rsidR="0093006F" w:rsidRPr="00B868A9" w:rsidTr="00425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9" w:type="pct"/>
            <w:tcBorders>
              <w:bottom w:val="single" w:sz="8" w:space="0" w:color="7BA0CD" w:themeColor="accent1" w:themeTint="BF"/>
              <w:right w:val="single" w:sz="8" w:space="0" w:color="7BA0CD" w:themeColor="accent1" w:themeTint="BF"/>
            </w:tcBorders>
          </w:tcPr>
          <w:p w:rsidR="0093006F" w:rsidRDefault="0093006F" w:rsidP="00425868">
            <w:pPr>
              <w:rPr>
                <w:rFonts w:cs="Arial"/>
                <w:sz w:val="20"/>
                <w:szCs w:val="20"/>
              </w:rPr>
            </w:pPr>
            <w:r>
              <w:rPr>
                <w:rFonts w:cs="Arial"/>
                <w:sz w:val="20"/>
                <w:szCs w:val="20"/>
              </w:rPr>
              <w:t>Apricot kernels and apricot kernel products</w:t>
            </w:r>
          </w:p>
          <w:p w:rsidR="0093006F" w:rsidRDefault="0093006F" w:rsidP="00425868">
            <w:pPr>
              <w:spacing w:line="240" w:lineRule="atLeast"/>
              <w:rPr>
                <w:rFonts w:cs="Arial"/>
                <w:b w:val="0"/>
                <w:sz w:val="20"/>
                <w:szCs w:val="20"/>
                <w:u w:val="single"/>
              </w:rPr>
            </w:pPr>
            <w:r>
              <w:rPr>
                <w:rFonts w:cs="Arial"/>
                <w:sz w:val="20"/>
                <w:szCs w:val="20"/>
              </w:rPr>
              <w:t xml:space="preserve"> </w:t>
            </w:r>
            <w:r w:rsidRPr="00E35AC5">
              <w:rPr>
                <w:rFonts w:cs="Arial"/>
                <w:b w:val="0"/>
                <w:sz w:val="20"/>
                <w:szCs w:val="20"/>
                <w:u w:val="single"/>
              </w:rPr>
              <w:t xml:space="preserve">Survey </w:t>
            </w:r>
            <w:r>
              <w:rPr>
                <w:rFonts w:cs="Arial"/>
                <w:b w:val="0"/>
                <w:sz w:val="20"/>
                <w:szCs w:val="20"/>
                <w:u w:val="single"/>
              </w:rPr>
              <w:t>3</w:t>
            </w:r>
          </w:p>
          <w:p w:rsidR="0093006F" w:rsidRDefault="0093006F" w:rsidP="00425868">
            <w:pPr>
              <w:spacing w:line="240" w:lineRule="atLeast"/>
              <w:rPr>
                <w:rFonts w:cs="Arial"/>
                <w:b w:val="0"/>
                <w:sz w:val="20"/>
                <w:szCs w:val="20"/>
              </w:rPr>
            </w:pPr>
            <w:r>
              <w:rPr>
                <w:rFonts w:cs="Arial"/>
                <w:b w:val="0"/>
                <w:sz w:val="20"/>
                <w:szCs w:val="20"/>
              </w:rPr>
              <w:tab/>
              <w:t>Apricot kernels, with skin</w:t>
            </w:r>
          </w:p>
          <w:p w:rsidR="0093006F" w:rsidRDefault="0093006F" w:rsidP="00425868">
            <w:pPr>
              <w:spacing w:line="240" w:lineRule="atLeast"/>
              <w:rPr>
                <w:rFonts w:cs="Arial"/>
                <w:b w:val="0"/>
                <w:sz w:val="20"/>
                <w:szCs w:val="20"/>
              </w:rPr>
            </w:pPr>
            <w:r>
              <w:rPr>
                <w:rFonts w:cs="Arial"/>
                <w:b w:val="0"/>
                <w:sz w:val="20"/>
                <w:szCs w:val="20"/>
              </w:rPr>
              <w:tab/>
              <w:t>Apricot kernels, without skin</w:t>
            </w:r>
          </w:p>
          <w:p w:rsidR="0093006F" w:rsidRDefault="0093006F" w:rsidP="00425868">
            <w:pPr>
              <w:spacing w:line="240" w:lineRule="atLeast"/>
              <w:rPr>
                <w:rFonts w:cs="Arial"/>
                <w:b w:val="0"/>
                <w:sz w:val="20"/>
                <w:szCs w:val="20"/>
                <w:vertAlign w:val="superscript"/>
              </w:rPr>
            </w:pPr>
            <w:r>
              <w:rPr>
                <w:rFonts w:cs="Arial"/>
                <w:b w:val="0"/>
                <w:sz w:val="20"/>
                <w:szCs w:val="20"/>
              </w:rPr>
              <w:tab/>
              <w:t>Amaretti biscuits</w:t>
            </w:r>
            <w:r>
              <w:rPr>
                <w:rFonts w:cs="Arial"/>
                <w:b w:val="0"/>
                <w:sz w:val="20"/>
                <w:szCs w:val="20"/>
                <w:vertAlign w:val="superscript"/>
              </w:rPr>
              <w:t>~</w:t>
            </w:r>
          </w:p>
          <w:p w:rsidR="0093006F" w:rsidRDefault="0093006F" w:rsidP="00425868">
            <w:pPr>
              <w:spacing w:line="240" w:lineRule="atLeast"/>
              <w:rPr>
                <w:rFonts w:cs="Arial"/>
                <w:b w:val="0"/>
                <w:sz w:val="20"/>
                <w:szCs w:val="20"/>
              </w:rPr>
            </w:pPr>
            <w:r>
              <w:rPr>
                <w:rFonts w:cs="Arial"/>
                <w:b w:val="0"/>
                <w:sz w:val="20"/>
                <w:szCs w:val="20"/>
                <w:vertAlign w:val="superscript"/>
              </w:rPr>
              <w:tab/>
            </w:r>
            <w:r>
              <w:rPr>
                <w:rFonts w:cs="Arial"/>
                <w:b w:val="0"/>
                <w:sz w:val="20"/>
                <w:szCs w:val="20"/>
              </w:rPr>
              <w:t>Almond fingers/apple fingers</w:t>
            </w:r>
            <w:r>
              <w:rPr>
                <w:rFonts w:cs="Arial"/>
                <w:b w:val="0"/>
                <w:sz w:val="20"/>
                <w:szCs w:val="20"/>
                <w:vertAlign w:val="superscript"/>
              </w:rPr>
              <w:t>~</w:t>
            </w:r>
          </w:p>
          <w:p w:rsidR="0093006F" w:rsidRPr="00B868A9" w:rsidRDefault="0093006F" w:rsidP="00425868">
            <w:pPr>
              <w:spacing w:line="240" w:lineRule="atLeast"/>
              <w:rPr>
                <w:rFonts w:cs="Arial"/>
                <w:sz w:val="20"/>
                <w:szCs w:val="20"/>
              </w:rPr>
            </w:pPr>
            <w:r>
              <w:rPr>
                <w:rFonts w:cs="Arial"/>
                <w:b w:val="0"/>
                <w:sz w:val="20"/>
                <w:szCs w:val="20"/>
              </w:rPr>
              <w:tab/>
            </w:r>
          </w:p>
        </w:tc>
        <w:tc>
          <w:tcPr>
            <w:cnfStyle w:val="000010000000" w:firstRow="0" w:lastRow="0" w:firstColumn="0" w:lastColumn="0" w:oddVBand="1" w:evenVBand="0" w:oddHBand="0" w:evenHBand="0" w:firstRowFirstColumn="0" w:firstRowLastColumn="0" w:lastRowFirstColumn="0" w:lastRowLastColumn="0"/>
            <w:tcW w:w="431" w:type="pct"/>
            <w:tcBorders>
              <w:left w:val="single" w:sz="8" w:space="0" w:color="7BA0CD" w:themeColor="accent1" w:themeTint="BF"/>
              <w:bottom w:val="single" w:sz="8" w:space="0" w:color="7BA0CD" w:themeColor="accent1" w:themeTint="BF"/>
              <w:right w:val="single" w:sz="8" w:space="0" w:color="7BA0CD" w:themeColor="accent1" w:themeTint="BF"/>
            </w:tcBorders>
          </w:tcPr>
          <w:p w:rsidR="0093006F" w:rsidRDefault="0093006F" w:rsidP="00425868">
            <w:pPr>
              <w:jc w:val="center"/>
              <w:rPr>
                <w:rFonts w:cs="Arial"/>
                <w:sz w:val="20"/>
                <w:szCs w:val="20"/>
              </w:rPr>
            </w:pPr>
          </w:p>
          <w:p w:rsidR="0093006F" w:rsidRDefault="0093006F" w:rsidP="00425868">
            <w:pPr>
              <w:jc w:val="center"/>
              <w:rPr>
                <w:rFonts w:cs="Arial"/>
                <w:sz w:val="20"/>
                <w:szCs w:val="20"/>
              </w:rPr>
            </w:pPr>
          </w:p>
          <w:p w:rsidR="0093006F" w:rsidRDefault="0093006F" w:rsidP="00425868">
            <w:pPr>
              <w:jc w:val="center"/>
              <w:rPr>
                <w:rFonts w:cs="Arial"/>
                <w:sz w:val="20"/>
                <w:szCs w:val="20"/>
              </w:rPr>
            </w:pPr>
          </w:p>
          <w:p w:rsidR="0093006F" w:rsidRDefault="0093006F" w:rsidP="00425868">
            <w:pPr>
              <w:jc w:val="center"/>
              <w:rPr>
                <w:rFonts w:cs="Arial"/>
                <w:sz w:val="20"/>
                <w:szCs w:val="20"/>
              </w:rPr>
            </w:pPr>
            <w:r>
              <w:rPr>
                <w:rFonts w:cs="Arial"/>
                <w:sz w:val="20"/>
                <w:szCs w:val="20"/>
              </w:rPr>
              <w:t>18</w:t>
            </w:r>
          </w:p>
          <w:p w:rsidR="0093006F" w:rsidRDefault="0093006F" w:rsidP="00425868">
            <w:pPr>
              <w:jc w:val="center"/>
              <w:rPr>
                <w:rFonts w:cs="Arial"/>
                <w:sz w:val="20"/>
                <w:szCs w:val="20"/>
              </w:rPr>
            </w:pPr>
            <w:r>
              <w:rPr>
                <w:rFonts w:cs="Arial"/>
                <w:sz w:val="20"/>
                <w:szCs w:val="20"/>
              </w:rPr>
              <w:t>10</w:t>
            </w:r>
          </w:p>
          <w:p w:rsidR="0093006F" w:rsidRDefault="0093006F" w:rsidP="00425868">
            <w:pPr>
              <w:jc w:val="center"/>
              <w:rPr>
                <w:rFonts w:cs="Arial"/>
                <w:sz w:val="20"/>
                <w:szCs w:val="20"/>
              </w:rPr>
            </w:pPr>
            <w:r>
              <w:rPr>
                <w:rFonts w:cs="Arial"/>
                <w:sz w:val="20"/>
                <w:szCs w:val="20"/>
              </w:rPr>
              <w:t>1</w:t>
            </w:r>
          </w:p>
          <w:p w:rsidR="0093006F" w:rsidRDefault="0093006F" w:rsidP="00425868">
            <w:pPr>
              <w:jc w:val="center"/>
              <w:rPr>
                <w:rFonts w:cs="Arial"/>
                <w:sz w:val="20"/>
                <w:szCs w:val="20"/>
              </w:rPr>
            </w:pPr>
            <w:r>
              <w:rPr>
                <w:rFonts w:cs="Arial"/>
                <w:sz w:val="20"/>
                <w:szCs w:val="20"/>
              </w:rPr>
              <w:t>1</w:t>
            </w:r>
          </w:p>
          <w:p w:rsidR="0093006F" w:rsidRPr="00B868A9" w:rsidRDefault="0093006F" w:rsidP="00425868">
            <w:pPr>
              <w:jc w:val="center"/>
              <w:rPr>
                <w:rFonts w:cs="Arial"/>
                <w:sz w:val="20"/>
                <w:szCs w:val="20"/>
              </w:rPr>
            </w:pPr>
          </w:p>
        </w:tc>
        <w:tc>
          <w:tcPr>
            <w:tcW w:w="575" w:type="pct"/>
            <w:tcBorders>
              <w:left w:val="single" w:sz="8" w:space="0" w:color="7BA0CD" w:themeColor="accent1" w:themeTint="BF"/>
              <w:bottom w:val="single" w:sz="8" w:space="0" w:color="7BA0CD" w:themeColor="accent1" w:themeTint="BF"/>
              <w:right w:val="single" w:sz="8" w:space="0" w:color="7BA0CD" w:themeColor="accent1" w:themeTint="BF"/>
            </w:tcBorders>
          </w:tcPr>
          <w:p w:rsidR="0093006F"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rsidR="0093006F"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rsidR="0093006F"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rsidR="0093006F" w:rsidRPr="00533A5D"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533A5D">
              <w:rPr>
                <w:rFonts w:cs="Arial"/>
                <w:sz w:val="20"/>
                <w:szCs w:val="20"/>
              </w:rPr>
              <w:t>18 (100)</w:t>
            </w:r>
          </w:p>
          <w:p w:rsidR="0093006F" w:rsidRPr="00533A5D"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533A5D">
              <w:rPr>
                <w:rFonts w:cs="Arial"/>
                <w:sz w:val="20"/>
                <w:szCs w:val="20"/>
              </w:rPr>
              <w:t>10 (100)</w:t>
            </w:r>
          </w:p>
          <w:p w:rsidR="0093006F" w:rsidRPr="00533A5D"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533A5D">
              <w:rPr>
                <w:rFonts w:cs="Arial"/>
                <w:sz w:val="20"/>
                <w:szCs w:val="20"/>
              </w:rPr>
              <w:t>1 (100)</w:t>
            </w:r>
          </w:p>
          <w:p w:rsidR="0093006F" w:rsidRPr="00533A5D"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533A5D">
              <w:rPr>
                <w:rFonts w:cs="Arial"/>
                <w:sz w:val="20"/>
                <w:szCs w:val="20"/>
              </w:rPr>
              <w:t>1 (100)</w:t>
            </w:r>
          </w:p>
          <w:p w:rsidR="0093006F" w:rsidRPr="00B868A9"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863" w:type="pct"/>
            <w:tcBorders>
              <w:left w:val="single" w:sz="8" w:space="0" w:color="7BA0CD" w:themeColor="accent1" w:themeTint="BF"/>
              <w:bottom w:val="single" w:sz="8" w:space="0" w:color="7BA0CD" w:themeColor="accent1" w:themeTint="BF"/>
              <w:right w:val="single" w:sz="8" w:space="0" w:color="7BA0CD" w:themeColor="accent1" w:themeTint="BF"/>
            </w:tcBorders>
          </w:tcPr>
          <w:p w:rsidR="0093006F" w:rsidRDefault="0093006F" w:rsidP="00425868">
            <w:pPr>
              <w:jc w:val="center"/>
              <w:rPr>
                <w:rFonts w:cs="Arial"/>
                <w:b/>
                <w:sz w:val="20"/>
                <w:szCs w:val="20"/>
              </w:rPr>
            </w:pPr>
          </w:p>
          <w:p w:rsidR="0093006F" w:rsidRDefault="0093006F" w:rsidP="00425868">
            <w:pPr>
              <w:jc w:val="center"/>
              <w:rPr>
                <w:rFonts w:cs="Arial"/>
                <w:b/>
                <w:sz w:val="20"/>
                <w:szCs w:val="20"/>
              </w:rPr>
            </w:pPr>
          </w:p>
          <w:p w:rsidR="0093006F" w:rsidRDefault="0093006F" w:rsidP="00425868">
            <w:pPr>
              <w:jc w:val="center"/>
              <w:rPr>
                <w:rFonts w:cs="Arial"/>
                <w:b/>
                <w:sz w:val="20"/>
                <w:szCs w:val="20"/>
              </w:rPr>
            </w:pPr>
          </w:p>
          <w:p w:rsidR="0093006F" w:rsidRPr="00533A5D" w:rsidRDefault="0093006F" w:rsidP="00425868">
            <w:pPr>
              <w:jc w:val="center"/>
              <w:rPr>
                <w:rFonts w:cs="Arial"/>
                <w:b/>
                <w:sz w:val="20"/>
                <w:szCs w:val="20"/>
              </w:rPr>
            </w:pPr>
            <w:r w:rsidRPr="00533A5D">
              <w:rPr>
                <w:rFonts w:cs="Arial"/>
                <w:b/>
                <w:sz w:val="20"/>
                <w:szCs w:val="20"/>
              </w:rPr>
              <w:t>2,120 (1,240-2,820)</w:t>
            </w:r>
          </w:p>
          <w:p w:rsidR="0093006F" w:rsidRPr="00533A5D" w:rsidRDefault="0093006F" w:rsidP="00425868">
            <w:pPr>
              <w:jc w:val="center"/>
              <w:rPr>
                <w:rFonts w:cs="Arial"/>
                <w:b/>
                <w:sz w:val="20"/>
                <w:szCs w:val="20"/>
              </w:rPr>
            </w:pPr>
            <w:r w:rsidRPr="00533A5D">
              <w:rPr>
                <w:rFonts w:cs="Arial"/>
                <w:b/>
                <w:sz w:val="20"/>
                <w:szCs w:val="20"/>
              </w:rPr>
              <w:t>190 (49-440)</w:t>
            </w:r>
          </w:p>
          <w:p w:rsidR="0093006F" w:rsidRPr="00533A5D" w:rsidRDefault="0093006F" w:rsidP="00425868">
            <w:pPr>
              <w:jc w:val="center"/>
              <w:rPr>
                <w:rFonts w:cs="Arial"/>
                <w:b/>
                <w:sz w:val="20"/>
                <w:szCs w:val="20"/>
              </w:rPr>
            </w:pPr>
            <w:r w:rsidRPr="00533A5D">
              <w:rPr>
                <w:rFonts w:cs="Arial"/>
                <w:b/>
                <w:sz w:val="20"/>
                <w:szCs w:val="20"/>
              </w:rPr>
              <w:t>34</w:t>
            </w:r>
          </w:p>
          <w:p w:rsidR="0093006F" w:rsidRPr="00533A5D" w:rsidRDefault="0093006F" w:rsidP="00425868">
            <w:pPr>
              <w:jc w:val="center"/>
              <w:rPr>
                <w:rFonts w:cs="Arial"/>
                <w:b/>
                <w:sz w:val="20"/>
                <w:szCs w:val="20"/>
              </w:rPr>
            </w:pPr>
            <w:r w:rsidRPr="00533A5D">
              <w:rPr>
                <w:rFonts w:cs="Arial"/>
                <w:b/>
                <w:sz w:val="20"/>
                <w:szCs w:val="20"/>
              </w:rPr>
              <w:t>13</w:t>
            </w:r>
          </w:p>
          <w:p w:rsidR="0093006F" w:rsidRPr="00B868A9" w:rsidRDefault="0093006F" w:rsidP="00425868">
            <w:pPr>
              <w:jc w:val="center"/>
              <w:rPr>
                <w:rFonts w:cs="Arial"/>
                <w:b/>
                <w:sz w:val="20"/>
                <w:szCs w:val="20"/>
              </w:rPr>
            </w:pPr>
          </w:p>
        </w:tc>
        <w:tc>
          <w:tcPr>
            <w:tcW w:w="863" w:type="pct"/>
            <w:tcBorders>
              <w:left w:val="single" w:sz="8" w:space="0" w:color="7BA0CD" w:themeColor="accent1" w:themeTint="BF"/>
              <w:bottom w:val="single" w:sz="8" w:space="0" w:color="7BA0CD" w:themeColor="accent1" w:themeTint="BF"/>
              <w:right w:val="single" w:sz="8" w:space="0" w:color="7BA0CD" w:themeColor="accent1" w:themeTint="BF"/>
            </w:tcBorders>
          </w:tcPr>
          <w:p w:rsidR="0093006F" w:rsidRDefault="0093006F" w:rsidP="00425868">
            <w:pPr>
              <w:cnfStyle w:val="000000100000" w:firstRow="0" w:lastRow="0" w:firstColumn="0" w:lastColumn="0" w:oddVBand="0" w:evenVBand="0" w:oddHBand="1" w:evenHBand="0" w:firstRowFirstColumn="0" w:firstRowLastColumn="0" w:lastRowFirstColumn="0" w:lastRowLastColumn="0"/>
              <w:rPr>
                <w:rFonts w:cs="Arial"/>
                <w:sz w:val="16"/>
                <w:szCs w:val="16"/>
              </w:rPr>
            </w:pPr>
          </w:p>
          <w:p w:rsidR="0093006F" w:rsidRDefault="0093006F" w:rsidP="00425868">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 xml:space="preserve">Apricot kernels – range of </w:t>
            </w:r>
            <w:r w:rsidRPr="00613FEF">
              <w:rPr>
                <w:rFonts w:cs="Arial"/>
                <w:sz w:val="16"/>
                <w:szCs w:val="16"/>
              </w:rPr>
              <w:t>122-4,090 mg/kg (Holzbecher et al, 1984).</w:t>
            </w:r>
          </w:p>
          <w:p w:rsidR="0093006F" w:rsidRDefault="0093006F" w:rsidP="00425868">
            <w:pPr>
              <w:cnfStyle w:val="000000100000" w:firstRow="0" w:lastRow="0" w:firstColumn="0" w:lastColumn="0" w:oddVBand="0" w:evenVBand="0" w:oddHBand="1" w:evenHBand="0" w:firstRowFirstColumn="0" w:firstRowLastColumn="0" w:lastRowFirstColumn="0" w:lastRowLastColumn="0"/>
              <w:rPr>
                <w:rFonts w:cs="Arial"/>
                <w:sz w:val="16"/>
                <w:szCs w:val="16"/>
              </w:rPr>
            </w:pPr>
          </w:p>
          <w:p w:rsidR="0093006F" w:rsidRDefault="0093006F" w:rsidP="00425868">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 xml:space="preserve">Amaretti biscuits – </w:t>
            </w:r>
            <w:r w:rsidRPr="00613FEF">
              <w:rPr>
                <w:rFonts w:cs="Arial"/>
                <w:sz w:val="16"/>
                <w:szCs w:val="16"/>
              </w:rPr>
              <w:t>44 mg/kg</w:t>
            </w:r>
            <w:r>
              <w:rPr>
                <w:rFonts w:cs="Arial"/>
                <w:sz w:val="16"/>
                <w:szCs w:val="16"/>
              </w:rPr>
              <w:t xml:space="preserve"> (EFSA</w:t>
            </w:r>
            <w:r w:rsidRPr="00613FEF">
              <w:rPr>
                <w:rFonts w:cs="Arial"/>
                <w:sz w:val="16"/>
                <w:szCs w:val="16"/>
              </w:rPr>
              <w:t>, 2004).</w:t>
            </w:r>
          </w:p>
          <w:p w:rsidR="0093006F" w:rsidRDefault="0093006F" w:rsidP="00425868">
            <w:pPr>
              <w:cnfStyle w:val="000000100000" w:firstRow="0" w:lastRow="0" w:firstColumn="0" w:lastColumn="0" w:oddVBand="0" w:evenVBand="0" w:oddHBand="1" w:evenHBand="0" w:firstRowFirstColumn="0" w:firstRowLastColumn="0" w:lastRowFirstColumn="0" w:lastRowLastColumn="0"/>
              <w:rPr>
                <w:rFonts w:cs="Arial"/>
                <w:sz w:val="16"/>
                <w:szCs w:val="16"/>
              </w:rPr>
            </w:pPr>
          </w:p>
          <w:p w:rsidR="0093006F" w:rsidRDefault="0093006F" w:rsidP="00425868">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100000000" w:firstRow="0" w:lastRow="0" w:firstColumn="0" w:lastColumn="1" w:oddVBand="0" w:evenVBand="0" w:oddHBand="0" w:evenHBand="0" w:firstRowFirstColumn="0" w:firstRowLastColumn="0" w:lastRowFirstColumn="0" w:lastRowLastColumn="0"/>
            <w:tcW w:w="889" w:type="pct"/>
            <w:tcBorders>
              <w:left w:val="single" w:sz="8" w:space="0" w:color="7BA0CD" w:themeColor="accent1" w:themeTint="BF"/>
              <w:bottom w:val="single" w:sz="8" w:space="0" w:color="7BA0CD" w:themeColor="accent1" w:themeTint="BF"/>
            </w:tcBorders>
          </w:tcPr>
          <w:p w:rsidR="0093006F" w:rsidRDefault="0093006F" w:rsidP="00425868">
            <w:pPr>
              <w:rPr>
                <w:rFonts w:cs="Arial"/>
                <w:b w:val="0"/>
                <w:sz w:val="16"/>
                <w:szCs w:val="16"/>
              </w:rPr>
            </w:pPr>
          </w:p>
          <w:p w:rsidR="0093006F" w:rsidRDefault="0093006F" w:rsidP="00425868">
            <w:pPr>
              <w:rPr>
                <w:rFonts w:cs="Arial"/>
                <w:b w:val="0"/>
                <w:sz w:val="16"/>
                <w:szCs w:val="16"/>
              </w:rPr>
            </w:pPr>
            <w:r w:rsidRPr="00C92B06">
              <w:rPr>
                <w:rFonts w:cs="Arial"/>
                <w:b w:val="0"/>
                <w:sz w:val="16"/>
                <w:szCs w:val="16"/>
              </w:rPr>
              <w:t xml:space="preserve">There are no </w:t>
            </w:r>
            <w:r>
              <w:rPr>
                <w:rFonts w:cs="Arial"/>
                <w:b w:val="0"/>
                <w:sz w:val="16"/>
                <w:szCs w:val="16"/>
              </w:rPr>
              <w:t>set maximum levels for total HCN for apricot kernels.</w:t>
            </w:r>
          </w:p>
          <w:p w:rsidR="0093006F" w:rsidRDefault="0093006F" w:rsidP="00425868">
            <w:pPr>
              <w:rPr>
                <w:rFonts w:cs="Arial"/>
                <w:b w:val="0"/>
                <w:sz w:val="16"/>
                <w:szCs w:val="16"/>
              </w:rPr>
            </w:pPr>
          </w:p>
          <w:p w:rsidR="0093006F" w:rsidRDefault="0093006F" w:rsidP="00425868">
            <w:pPr>
              <w:rPr>
                <w:rFonts w:cs="Arial"/>
                <w:b w:val="0"/>
                <w:sz w:val="16"/>
                <w:szCs w:val="16"/>
              </w:rPr>
            </w:pPr>
          </w:p>
        </w:tc>
      </w:tr>
      <w:tr w:rsidR="0093006F" w:rsidRPr="00B868A9" w:rsidTr="004258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9" w:type="pct"/>
            <w:tcBorders>
              <w:bottom w:val="single" w:sz="8" w:space="0" w:color="7BA0CD" w:themeColor="accent1" w:themeTint="BF"/>
              <w:right w:val="single" w:sz="8" w:space="0" w:color="7BA0CD" w:themeColor="accent1" w:themeTint="BF"/>
            </w:tcBorders>
            <w:shd w:val="clear" w:color="auto" w:fill="auto"/>
          </w:tcPr>
          <w:p w:rsidR="0093006F" w:rsidRPr="00B868A9" w:rsidRDefault="0093006F" w:rsidP="00425868">
            <w:pPr>
              <w:rPr>
                <w:rFonts w:cs="Arial"/>
                <w:sz w:val="20"/>
                <w:szCs w:val="20"/>
              </w:rPr>
            </w:pPr>
            <w:r w:rsidRPr="00B868A9">
              <w:rPr>
                <w:rFonts w:cs="Arial"/>
                <w:sz w:val="20"/>
                <w:szCs w:val="20"/>
              </w:rPr>
              <w:t>Cassava and cassava products</w:t>
            </w:r>
          </w:p>
          <w:p w:rsidR="0093006F" w:rsidRPr="00E35AC5" w:rsidRDefault="0093006F" w:rsidP="00425868">
            <w:pPr>
              <w:spacing w:line="240" w:lineRule="atLeast"/>
              <w:rPr>
                <w:rFonts w:cs="Arial"/>
                <w:b w:val="0"/>
                <w:sz w:val="20"/>
                <w:szCs w:val="20"/>
                <w:u w:val="single"/>
              </w:rPr>
            </w:pPr>
            <w:r w:rsidRPr="00E35AC5">
              <w:rPr>
                <w:rFonts w:cs="Arial"/>
                <w:b w:val="0"/>
                <w:sz w:val="20"/>
                <w:szCs w:val="20"/>
                <w:u w:val="single"/>
              </w:rPr>
              <w:t>Survey 1</w:t>
            </w:r>
          </w:p>
          <w:p w:rsidR="0093006F" w:rsidRPr="00B868A9" w:rsidRDefault="0093006F" w:rsidP="00425868">
            <w:pPr>
              <w:spacing w:line="240" w:lineRule="atLeast"/>
              <w:rPr>
                <w:rFonts w:cs="Arial"/>
                <w:b w:val="0"/>
                <w:sz w:val="20"/>
                <w:szCs w:val="20"/>
              </w:rPr>
            </w:pPr>
            <w:r>
              <w:rPr>
                <w:rFonts w:cs="Arial"/>
                <w:b w:val="0"/>
                <w:sz w:val="20"/>
                <w:szCs w:val="20"/>
              </w:rPr>
              <w:tab/>
            </w:r>
            <w:r w:rsidRPr="00B868A9">
              <w:rPr>
                <w:rFonts w:cs="Arial"/>
                <w:b w:val="0"/>
                <w:sz w:val="20"/>
                <w:szCs w:val="20"/>
              </w:rPr>
              <w:t>Cassava</w:t>
            </w:r>
            <w:r>
              <w:rPr>
                <w:rFonts w:cs="Arial"/>
                <w:b w:val="0"/>
                <w:sz w:val="20"/>
                <w:szCs w:val="20"/>
              </w:rPr>
              <w:t>, frozen root, raw</w:t>
            </w:r>
            <w:r w:rsidRPr="00B868A9">
              <w:rPr>
                <w:rFonts w:cs="Arial"/>
                <w:b w:val="0"/>
                <w:sz w:val="20"/>
                <w:szCs w:val="20"/>
              </w:rPr>
              <w:t xml:space="preserve"> (whole or </w:t>
            </w:r>
            <w:r>
              <w:rPr>
                <w:rFonts w:cs="Arial"/>
                <w:b w:val="0"/>
                <w:sz w:val="20"/>
                <w:szCs w:val="20"/>
              </w:rPr>
              <w:t xml:space="preserve">                 </w:t>
            </w:r>
            <w:r>
              <w:rPr>
                <w:rFonts w:cs="Arial"/>
                <w:b w:val="0"/>
                <w:sz w:val="20"/>
                <w:szCs w:val="20"/>
              </w:rPr>
              <w:tab/>
              <w:t xml:space="preserve">   </w:t>
            </w:r>
            <w:r w:rsidRPr="00B868A9">
              <w:rPr>
                <w:rFonts w:cs="Arial"/>
                <w:b w:val="0"/>
                <w:sz w:val="20"/>
                <w:szCs w:val="20"/>
              </w:rPr>
              <w:t>grated)</w:t>
            </w:r>
          </w:p>
          <w:p w:rsidR="0093006F" w:rsidRDefault="0093006F" w:rsidP="00425868">
            <w:pPr>
              <w:spacing w:line="240" w:lineRule="atLeast"/>
              <w:rPr>
                <w:rFonts w:cs="Arial"/>
                <w:b w:val="0"/>
                <w:sz w:val="20"/>
                <w:szCs w:val="20"/>
              </w:rPr>
            </w:pPr>
            <w:r w:rsidRPr="00B868A9">
              <w:rPr>
                <w:rFonts w:cs="Arial"/>
                <w:b w:val="0"/>
                <w:sz w:val="20"/>
                <w:szCs w:val="20"/>
              </w:rPr>
              <w:tab/>
              <w:t>Cassava flour/tapioca products</w:t>
            </w:r>
          </w:p>
          <w:p w:rsidR="0093006F" w:rsidRDefault="0093006F" w:rsidP="00425868">
            <w:pPr>
              <w:spacing w:line="240" w:lineRule="atLeast"/>
              <w:rPr>
                <w:rFonts w:cs="Arial"/>
                <w:b w:val="0"/>
                <w:sz w:val="20"/>
                <w:szCs w:val="20"/>
              </w:rPr>
            </w:pPr>
          </w:p>
          <w:p w:rsidR="0093006F" w:rsidRDefault="0093006F" w:rsidP="00425868">
            <w:pPr>
              <w:spacing w:line="240" w:lineRule="atLeast"/>
              <w:rPr>
                <w:rFonts w:cs="Arial"/>
                <w:b w:val="0"/>
                <w:sz w:val="20"/>
                <w:szCs w:val="20"/>
                <w:u w:val="single"/>
              </w:rPr>
            </w:pPr>
            <w:r w:rsidRPr="00533A5D">
              <w:rPr>
                <w:rFonts w:cs="Arial"/>
                <w:b w:val="0"/>
                <w:sz w:val="20"/>
                <w:szCs w:val="20"/>
                <w:u w:val="single"/>
              </w:rPr>
              <w:t>Survey 3</w:t>
            </w:r>
          </w:p>
          <w:p w:rsidR="0093006F" w:rsidRPr="00533A5D" w:rsidRDefault="0093006F" w:rsidP="00425868">
            <w:pPr>
              <w:spacing w:line="240" w:lineRule="atLeast"/>
              <w:rPr>
                <w:rFonts w:cs="Arial"/>
                <w:b w:val="0"/>
                <w:sz w:val="20"/>
                <w:szCs w:val="20"/>
              </w:rPr>
            </w:pPr>
            <w:r>
              <w:rPr>
                <w:rFonts w:cs="Arial"/>
                <w:b w:val="0"/>
                <w:sz w:val="20"/>
                <w:szCs w:val="20"/>
              </w:rPr>
              <w:tab/>
              <w:t>Cassava, frozen root, r</w:t>
            </w:r>
            <w:r w:rsidRPr="00533A5D">
              <w:rPr>
                <w:rFonts w:cs="Arial"/>
                <w:b w:val="0"/>
                <w:sz w:val="20"/>
                <w:szCs w:val="20"/>
              </w:rPr>
              <w:t>aw</w:t>
            </w:r>
          </w:p>
          <w:p w:rsidR="0093006F" w:rsidRPr="00533A5D" w:rsidRDefault="0093006F" w:rsidP="00425868">
            <w:pPr>
              <w:spacing w:line="240" w:lineRule="atLeast"/>
              <w:rPr>
                <w:rFonts w:cs="Arial"/>
                <w:b w:val="0"/>
                <w:sz w:val="20"/>
                <w:szCs w:val="20"/>
              </w:rPr>
            </w:pPr>
            <w:r w:rsidRPr="00533A5D">
              <w:rPr>
                <w:rFonts w:cs="Arial"/>
                <w:b w:val="0"/>
                <w:sz w:val="20"/>
                <w:szCs w:val="20"/>
              </w:rPr>
              <w:tab/>
              <w:t>Cook</w:t>
            </w:r>
            <w:r>
              <w:rPr>
                <w:rFonts w:cs="Arial"/>
                <w:b w:val="0"/>
                <w:sz w:val="20"/>
                <w:szCs w:val="20"/>
              </w:rPr>
              <w:t xml:space="preserve">ed – </w:t>
            </w:r>
            <w:r w:rsidRPr="00533A5D">
              <w:rPr>
                <w:rFonts w:cs="Arial"/>
                <w:b w:val="0"/>
                <w:sz w:val="20"/>
                <w:szCs w:val="20"/>
              </w:rPr>
              <w:t>method 1 (</w:t>
            </w:r>
            <w:r>
              <w:rPr>
                <w:rFonts w:cs="Arial"/>
                <w:b w:val="0"/>
                <w:sz w:val="20"/>
                <w:szCs w:val="20"/>
              </w:rPr>
              <w:t>s</w:t>
            </w:r>
            <w:r w:rsidRPr="00533A5D">
              <w:rPr>
                <w:rFonts w:cs="Arial"/>
                <w:b w:val="0"/>
                <w:sz w:val="20"/>
                <w:szCs w:val="20"/>
              </w:rPr>
              <w:t>teaming)</w:t>
            </w:r>
          </w:p>
          <w:p w:rsidR="0093006F" w:rsidRPr="00533A5D" w:rsidRDefault="0093006F" w:rsidP="00425868">
            <w:pPr>
              <w:spacing w:line="240" w:lineRule="atLeast"/>
              <w:rPr>
                <w:rFonts w:cs="Arial"/>
                <w:b w:val="0"/>
                <w:sz w:val="20"/>
                <w:szCs w:val="20"/>
              </w:rPr>
            </w:pPr>
            <w:r w:rsidRPr="00533A5D">
              <w:rPr>
                <w:rFonts w:cs="Arial"/>
                <w:b w:val="0"/>
                <w:sz w:val="20"/>
                <w:szCs w:val="20"/>
              </w:rPr>
              <w:tab/>
            </w:r>
            <w:r>
              <w:rPr>
                <w:rFonts w:cs="Arial"/>
                <w:b w:val="0"/>
                <w:sz w:val="20"/>
                <w:szCs w:val="20"/>
              </w:rPr>
              <w:t>Cassava, frozen root, raw</w:t>
            </w:r>
          </w:p>
          <w:p w:rsidR="0093006F" w:rsidRPr="00533A5D" w:rsidRDefault="0093006F" w:rsidP="00425868">
            <w:pPr>
              <w:spacing w:line="240" w:lineRule="atLeast"/>
              <w:rPr>
                <w:rFonts w:cs="Arial"/>
                <w:b w:val="0"/>
                <w:sz w:val="20"/>
                <w:szCs w:val="20"/>
              </w:rPr>
            </w:pPr>
            <w:r w:rsidRPr="00533A5D">
              <w:rPr>
                <w:rFonts w:cs="Arial"/>
                <w:b w:val="0"/>
                <w:sz w:val="20"/>
                <w:szCs w:val="20"/>
              </w:rPr>
              <w:tab/>
              <w:t>Cook</w:t>
            </w:r>
            <w:r>
              <w:rPr>
                <w:rFonts w:cs="Arial"/>
                <w:b w:val="0"/>
                <w:sz w:val="20"/>
                <w:szCs w:val="20"/>
              </w:rPr>
              <w:t xml:space="preserve">ed – method </w:t>
            </w:r>
            <w:r w:rsidRPr="00533A5D">
              <w:rPr>
                <w:rFonts w:cs="Arial"/>
                <w:b w:val="0"/>
                <w:sz w:val="20"/>
                <w:szCs w:val="20"/>
              </w:rPr>
              <w:t>2 (</w:t>
            </w:r>
            <w:r>
              <w:rPr>
                <w:rFonts w:cs="Arial"/>
                <w:b w:val="0"/>
                <w:sz w:val="20"/>
                <w:szCs w:val="20"/>
              </w:rPr>
              <w:t>b</w:t>
            </w:r>
            <w:r w:rsidRPr="00533A5D">
              <w:rPr>
                <w:rFonts w:cs="Arial"/>
                <w:b w:val="0"/>
                <w:sz w:val="20"/>
                <w:szCs w:val="20"/>
              </w:rPr>
              <w:t>oiling)</w:t>
            </w:r>
          </w:p>
          <w:p w:rsidR="0093006F" w:rsidRPr="00533A5D" w:rsidRDefault="0093006F" w:rsidP="00425868">
            <w:pPr>
              <w:spacing w:line="240" w:lineRule="atLeast"/>
              <w:rPr>
                <w:rFonts w:cs="Arial"/>
                <w:b w:val="0"/>
                <w:sz w:val="20"/>
                <w:szCs w:val="20"/>
              </w:rPr>
            </w:pPr>
            <w:r w:rsidRPr="00533A5D">
              <w:rPr>
                <w:rFonts w:cs="Arial"/>
                <w:b w:val="0"/>
                <w:sz w:val="20"/>
                <w:szCs w:val="20"/>
              </w:rPr>
              <w:tab/>
            </w:r>
            <w:r>
              <w:rPr>
                <w:rFonts w:cs="Arial"/>
                <w:b w:val="0"/>
                <w:sz w:val="20"/>
                <w:szCs w:val="20"/>
              </w:rPr>
              <w:t>Cassava, frozen root, ra</w:t>
            </w:r>
            <w:r w:rsidRPr="00533A5D">
              <w:rPr>
                <w:rFonts w:cs="Arial"/>
                <w:b w:val="0"/>
                <w:sz w:val="20"/>
                <w:szCs w:val="20"/>
              </w:rPr>
              <w:t>w</w:t>
            </w:r>
          </w:p>
          <w:p w:rsidR="0093006F" w:rsidRDefault="0093006F" w:rsidP="00425868">
            <w:pPr>
              <w:spacing w:line="240" w:lineRule="atLeast"/>
              <w:rPr>
                <w:rFonts w:cs="Arial"/>
                <w:b w:val="0"/>
                <w:sz w:val="20"/>
                <w:szCs w:val="20"/>
                <w:u w:val="single"/>
              </w:rPr>
            </w:pPr>
            <w:r w:rsidRPr="00533A5D">
              <w:rPr>
                <w:rFonts w:cs="Arial"/>
                <w:b w:val="0"/>
                <w:sz w:val="20"/>
                <w:szCs w:val="20"/>
              </w:rPr>
              <w:tab/>
              <w:t>Cook</w:t>
            </w:r>
            <w:r>
              <w:rPr>
                <w:rFonts w:cs="Arial"/>
                <w:b w:val="0"/>
                <w:sz w:val="20"/>
                <w:szCs w:val="20"/>
              </w:rPr>
              <w:t xml:space="preserve">ed – method </w:t>
            </w:r>
            <w:r w:rsidRPr="00533A5D">
              <w:rPr>
                <w:rFonts w:cs="Arial"/>
                <w:b w:val="0"/>
                <w:sz w:val="20"/>
                <w:szCs w:val="20"/>
              </w:rPr>
              <w:t>3 (</w:t>
            </w:r>
            <w:r>
              <w:rPr>
                <w:rFonts w:cs="Arial"/>
                <w:b w:val="0"/>
                <w:sz w:val="20"/>
                <w:szCs w:val="20"/>
              </w:rPr>
              <w:t>f</w:t>
            </w:r>
            <w:r w:rsidRPr="00533A5D">
              <w:rPr>
                <w:rFonts w:cs="Arial"/>
                <w:b w:val="0"/>
                <w:sz w:val="20"/>
                <w:szCs w:val="20"/>
              </w:rPr>
              <w:t>rying)</w:t>
            </w:r>
          </w:p>
          <w:p w:rsidR="0093006F" w:rsidRPr="00533A5D" w:rsidRDefault="0093006F" w:rsidP="00425868">
            <w:pPr>
              <w:spacing w:line="240" w:lineRule="atLeast"/>
              <w:rPr>
                <w:rFonts w:cs="Arial"/>
                <w:sz w:val="20"/>
                <w:szCs w:val="20"/>
                <w:u w:val="single"/>
              </w:rPr>
            </w:pPr>
          </w:p>
        </w:tc>
        <w:tc>
          <w:tcPr>
            <w:cnfStyle w:val="000010000000" w:firstRow="0" w:lastRow="0" w:firstColumn="0" w:lastColumn="0" w:oddVBand="1" w:evenVBand="0" w:oddHBand="0" w:evenHBand="0" w:firstRowFirstColumn="0" w:firstRowLastColumn="0" w:lastRowFirstColumn="0" w:lastRowLastColumn="0"/>
            <w:tcW w:w="431" w:type="pct"/>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auto"/>
          </w:tcPr>
          <w:p w:rsidR="0093006F" w:rsidRPr="00B868A9" w:rsidRDefault="0093006F" w:rsidP="00425868">
            <w:pPr>
              <w:jc w:val="center"/>
              <w:rPr>
                <w:rFonts w:cs="Arial"/>
                <w:sz w:val="20"/>
                <w:szCs w:val="20"/>
              </w:rPr>
            </w:pPr>
          </w:p>
          <w:p w:rsidR="0093006F" w:rsidRDefault="0093006F" w:rsidP="00425868">
            <w:pPr>
              <w:jc w:val="center"/>
              <w:rPr>
                <w:rFonts w:cs="Arial"/>
                <w:sz w:val="20"/>
                <w:szCs w:val="20"/>
              </w:rPr>
            </w:pPr>
          </w:p>
          <w:p w:rsidR="0093006F" w:rsidRPr="00B868A9" w:rsidRDefault="0093006F" w:rsidP="00425868">
            <w:pPr>
              <w:jc w:val="center"/>
              <w:rPr>
                <w:rFonts w:cs="Arial"/>
                <w:sz w:val="20"/>
                <w:szCs w:val="20"/>
              </w:rPr>
            </w:pPr>
            <w:r w:rsidRPr="00B868A9">
              <w:rPr>
                <w:rFonts w:cs="Arial"/>
                <w:sz w:val="20"/>
                <w:szCs w:val="20"/>
              </w:rPr>
              <w:t>11</w:t>
            </w:r>
          </w:p>
          <w:p w:rsidR="0093006F" w:rsidRDefault="0093006F" w:rsidP="00425868">
            <w:pPr>
              <w:jc w:val="center"/>
              <w:rPr>
                <w:rFonts w:cs="Arial"/>
                <w:sz w:val="20"/>
                <w:szCs w:val="20"/>
              </w:rPr>
            </w:pPr>
          </w:p>
          <w:p w:rsidR="0093006F" w:rsidRDefault="0093006F" w:rsidP="00425868">
            <w:pPr>
              <w:jc w:val="center"/>
              <w:rPr>
                <w:rFonts w:cs="Arial"/>
                <w:sz w:val="20"/>
                <w:szCs w:val="20"/>
              </w:rPr>
            </w:pPr>
            <w:r w:rsidRPr="00B868A9">
              <w:rPr>
                <w:rFonts w:cs="Arial"/>
                <w:sz w:val="20"/>
                <w:szCs w:val="20"/>
              </w:rPr>
              <w:t>4</w:t>
            </w:r>
          </w:p>
          <w:p w:rsidR="0093006F" w:rsidRDefault="0093006F" w:rsidP="00425868">
            <w:pPr>
              <w:jc w:val="center"/>
              <w:rPr>
                <w:rFonts w:cs="Arial"/>
                <w:sz w:val="20"/>
                <w:szCs w:val="20"/>
              </w:rPr>
            </w:pPr>
          </w:p>
          <w:p w:rsidR="0093006F" w:rsidRDefault="0093006F" w:rsidP="00425868">
            <w:pPr>
              <w:jc w:val="center"/>
              <w:rPr>
                <w:rFonts w:cs="Arial"/>
                <w:sz w:val="20"/>
                <w:szCs w:val="20"/>
              </w:rPr>
            </w:pPr>
          </w:p>
          <w:p w:rsidR="0093006F" w:rsidRPr="00AF6322" w:rsidRDefault="0093006F" w:rsidP="00425868">
            <w:pPr>
              <w:jc w:val="center"/>
              <w:rPr>
                <w:rFonts w:cs="Arial"/>
                <w:sz w:val="20"/>
                <w:szCs w:val="20"/>
              </w:rPr>
            </w:pPr>
            <w:r w:rsidRPr="00AF6322">
              <w:rPr>
                <w:rFonts w:cs="Arial"/>
                <w:sz w:val="20"/>
                <w:szCs w:val="20"/>
              </w:rPr>
              <w:t>3</w:t>
            </w:r>
          </w:p>
          <w:p w:rsidR="0093006F" w:rsidRPr="00AF6322" w:rsidRDefault="0093006F" w:rsidP="00425868">
            <w:pPr>
              <w:jc w:val="center"/>
              <w:rPr>
                <w:rFonts w:cs="Arial"/>
                <w:sz w:val="20"/>
                <w:szCs w:val="20"/>
              </w:rPr>
            </w:pPr>
            <w:r w:rsidRPr="00AF6322">
              <w:rPr>
                <w:rFonts w:cs="Arial"/>
                <w:sz w:val="20"/>
                <w:szCs w:val="20"/>
              </w:rPr>
              <w:t>3</w:t>
            </w:r>
          </w:p>
          <w:p w:rsidR="0093006F" w:rsidRPr="00AF6322" w:rsidRDefault="0093006F" w:rsidP="00425868">
            <w:pPr>
              <w:jc w:val="center"/>
              <w:rPr>
                <w:rFonts w:cs="Arial"/>
                <w:sz w:val="20"/>
                <w:szCs w:val="20"/>
              </w:rPr>
            </w:pPr>
            <w:r w:rsidRPr="00AF6322">
              <w:rPr>
                <w:rFonts w:cs="Arial"/>
                <w:sz w:val="20"/>
                <w:szCs w:val="20"/>
              </w:rPr>
              <w:t>3</w:t>
            </w:r>
          </w:p>
          <w:p w:rsidR="0093006F" w:rsidRPr="00AF6322" w:rsidRDefault="0093006F" w:rsidP="00425868">
            <w:pPr>
              <w:jc w:val="center"/>
              <w:rPr>
                <w:rFonts w:cs="Arial"/>
                <w:sz w:val="20"/>
                <w:szCs w:val="20"/>
              </w:rPr>
            </w:pPr>
            <w:r w:rsidRPr="00AF6322">
              <w:rPr>
                <w:rFonts w:cs="Arial"/>
                <w:sz w:val="20"/>
                <w:szCs w:val="20"/>
              </w:rPr>
              <w:t>3</w:t>
            </w:r>
          </w:p>
          <w:p w:rsidR="0093006F" w:rsidRPr="00AF6322" w:rsidRDefault="0093006F" w:rsidP="00425868">
            <w:pPr>
              <w:jc w:val="center"/>
              <w:rPr>
                <w:rFonts w:cs="Arial"/>
                <w:sz w:val="20"/>
                <w:szCs w:val="20"/>
              </w:rPr>
            </w:pPr>
            <w:r w:rsidRPr="00AF6322">
              <w:rPr>
                <w:rFonts w:cs="Arial"/>
                <w:sz w:val="20"/>
                <w:szCs w:val="20"/>
              </w:rPr>
              <w:t>3</w:t>
            </w:r>
          </w:p>
          <w:p w:rsidR="0093006F" w:rsidRPr="00B868A9" w:rsidRDefault="0093006F" w:rsidP="00425868">
            <w:pPr>
              <w:jc w:val="center"/>
              <w:rPr>
                <w:rFonts w:cs="Arial"/>
                <w:sz w:val="20"/>
                <w:szCs w:val="20"/>
              </w:rPr>
            </w:pPr>
            <w:r w:rsidRPr="00AF6322">
              <w:rPr>
                <w:rFonts w:cs="Arial"/>
                <w:sz w:val="20"/>
                <w:szCs w:val="20"/>
              </w:rPr>
              <w:t>3</w:t>
            </w:r>
          </w:p>
        </w:tc>
        <w:tc>
          <w:tcPr>
            <w:tcW w:w="575" w:type="pct"/>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auto"/>
          </w:tcPr>
          <w:p w:rsidR="0093006F" w:rsidRPr="00B868A9"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p>
          <w:p w:rsidR="0093006F"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p>
          <w:p w:rsidR="0093006F" w:rsidRPr="00B868A9"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B868A9">
              <w:rPr>
                <w:rFonts w:cs="Arial"/>
                <w:sz w:val="20"/>
                <w:szCs w:val="20"/>
              </w:rPr>
              <w:t>11 (100)</w:t>
            </w:r>
          </w:p>
          <w:p w:rsidR="0093006F"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p>
          <w:p w:rsidR="0093006F"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B868A9">
              <w:rPr>
                <w:rFonts w:cs="Arial"/>
                <w:sz w:val="20"/>
                <w:szCs w:val="20"/>
              </w:rPr>
              <w:t>0 (0)</w:t>
            </w:r>
          </w:p>
          <w:p w:rsidR="0093006F"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p>
          <w:p w:rsidR="0093006F"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p>
          <w:p w:rsidR="0093006F" w:rsidRPr="00AF6322"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AF6322">
              <w:rPr>
                <w:rFonts w:cs="Arial"/>
                <w:sz w:val="20"/>
                <w:szCs w:val="20"/>
              </w:rPr>
              <w:t>3 (100)</w:t>
            </w:r>
          </w:p>
          <w:p w:rsidR="0093006F" w:rsidRPr="00AF6322"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AF6322">
              <w:rPr>
                <w:rFonts w:cs="Arial"/>
                <w:sz w:val="20"/>
                <w:szCs w:val="20"/>
              </w:rPr>
              <w:t>3 (100)</w:t>
            </w:r>
          </w:p>
          <w:p w:rsidR="0093006F" w:rsidRPr="00AF6322"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AF6322">
              <w:rPr>
                <w:rFonts w:cs="Arial"/>
                <w:sz w:val="20"/>
                <w:szCs w:val="20"/>
              </w:rPr>
              <w:t>3 (100)</w:t>
            </w:r>
          </w:p>
          <w:p w:rsidR="0093006F" w:rsidRPr="00AF6322"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AF6322">
              <w:rPr>
                <w:rFonts w:cs="Arial"/>
                <w:sz w:val="20"/>
                <w:szCs w:val="20"/>
              </w:rPr>
              <w:t>3 (100)</w:t>
            </w:r>
          </w:p>
          <w:p w:rsidR="0093006F" w:rsidRPr="00AF6322"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AF6322">
              <w:rPr>
                <w:rFonts w:cs="Arial"/>
                <w:sz w:val="20"/>
                <w:szCs w:val="20"/>
              </w:rPr>
              <w:t>3 (100)</w:t>
            </w:r>
          </w:p>
          <w:p w:rsidR="0093006F" w:rsidRPr="00B868A9"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AF6322">
              <w:rPr>
                <w:rFonts w:cs="Arial"/>
                <w:sz w:val="20"/>
                <w:szCs w:val="20"/>
              </w:rPr>
              <w:t>3 (100)</w:t>
            </w:r>
          </w:p>
        </w:tc>
        <w:tc>
          <w:tcPr>
            <w:cnfStyle w:val="000010000000" w:firstRow="0" w:lastRow="0" w:firstColumn="0" w:lastColumn="0" w:oddVBand="1" w:evenVBand="0" w:oddHBand="0" w:evenHBand="0" w:firstRowFirstColumn="0" w:firstRowLastColumn="0" w:lastRowFirstColumn="0" w:lastRowLastColumn="0"/>
            <w:tcW w:w="863" w:type="pct"/>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auto"/>
          </w:tcPr>
          <w:p w:rsidR="0093006F" w:rsidRPr="00B868A9" w:rsidRDefault="0093006F" w:rsidP="00425868">
            <w:pPr>
              <w:jc w:val="center"/>
              <w:rPr>
                <w:rFonts w:cs="Arial"/>
                <w:b/>
                <w:sz w:val="20"/>
                <w:szCs w:val="20"/>
              </w:rPr>
            </w:pPr>
          </w:p>
          <w:p w:rsidR="0093006F" w:rsidRDefault="0093006F" w:rsidP="00425868">
            <w:pPr>
              <w:jc w:val="center"/>
              <w:rPr>
                <w:rFonts w:cs="Arial"/>
                <w:b/>
                <w:sz w:val="20"/>
                <w:szCs w:val="20"/>
              </w:rPr>
            </w:pPr>
          </w:p>
          <w:p w:rsidR="0093006F" w:rsidRDefault="0093006F" w:rsidP="00425868">
            <w:pPr>
              <w:jc w:val="center"/>
              <w:rPr>
                <w:rFonts w:cs="Arial"/>
                <w:b/>
                <w:sz w:val="20"/>
                <w:szCs w:val="20"/>
              </w:rPr>
            </w:pPr>
            <w:r w:rsidRPr="00B868A9">
              <w:rPr>
                <w:rFonts w:cs="Arial"/>
                <w:b/>
                <w:sz w:val="20"/>
                <w:szCs w:val="20"/>
              </w:rPr>
              <w:t>21.0 (8.6-43.6)</w:t>
            </w:r>
          </w:p>
          <w:p w:rsidR="0093006F" w:rsidRDefault="0093006F" w:rsidP="00425868">
            <w:pPr>
              <w:jc w:val="center"/>
              <w:rPr>
                <w:rFonts w:cs="Arial"/>
                <w:b/>
                <w:sz w:val="20"/>
                <w:szCs w:val="20"/>
              </w:rPr>
            </w:pPr>
          </w:p>
          <w:p w:rsidR="0093006F" w:rsidRDefault="0093006F" w:rsidP="00425868">
            <w:pPr>
              <w:jc w:val="center"/>
              <w:rPr>
                <w:rFonts w:cs="Arial"/>
                <w:b/>
                <w:sz w:val="20"/>
                <w:szCs w:val="20"/>
              </w:rPr>
            </w:pPr>
            <w:r>
              <w:rPr>
                <w:rFonts w:cs="Arial"/>
                <w:b/>
                <w:sz w:val="20"/>
                <w:szCs w:val="20"/>
              </w:rPr>
              <w:t>-</w:t>
            </w:r>
          </w:p>
          <w:p w:rsidR="0093006F" w:rsidRDefault="0093006F" w:rsidP="00425868">
            <w:pPr>
              <w:jc w:val="center"/>
              <w:rPr>
                <w:rFonts w:cs="Arial"/>
                <w:b/>
                <w:sz w:val="20"/>
                <w:szCs w:val="20"/>
              </w:rPr>
            </w:pPr>
          </w:p>
          <w:p w:rsidR="0093006F" w:rsidRDefault="0093006F" w:rsidP="00425868">
            <w:pPr>
              <w:jc w:val="center"/>
              <w:rPr>
                <w:rFonts w:cs="Arial"/>
                <w:b/>
                <w:sz w:val="20"/>
                <w:szCs w:val="20"/>
              </w:rPr>
            </w:pPr>
          </w:p>
          <w:p w:rsidR="0093006F" w:rsidRPr="00AF6322" w:rsidRDefault="0093006F" w:rsidP="00425868">
            <w:pPr>
              <w:jc w:val="center"/>
              <w:rPr>
                <w:rFonts w:cs="Arial"/>
                <w:b/>
                <w:sz w:val="20"/>
                <w:szCs w:val="20"/>
              </w:rPr>
            </w:pPr>
            <w:r w:rsidRPr="00AF6322">
              <w:rPr>
                <w:rFonts w:cs="Arial"/>
                <w:b/>
                <w:sz w:val="20"/>
                <w:szCs w:val="20"/>
              </w:rPr>
              <w:t>37.3 (34-4</w:t>
            </w:r>
            <w:r>
              <w:rPr>
                <w:rFonts w:cs="Arial"/>
                <w:b/>
                <w:sz w:val="20"/>
                <w:szCs w:val="20"/>
              </w:rPr>
              <w:t>0</w:t>
            </w:r>
            <w:r w:rsidRPr="00AF6322">
              <w:rPr>
                <w:rFonts w:cs="Arial"/>
                <w:b/>
                <w:sz w:val="20"/>
                <w:szCs w:val="20"/>
              </w:rPr>
              <w:t>)</w:t>
            </w:r>
          </w:p>
          <w:p w:rsidR="0093006F" w:rsidRPr="00AF6322" w:rsidRDefault="0093006F" w:rsidP="00425868">
            <w:pPr>
              <w:jc w:val="center"/>
              <w:rPr>
                <w:rFonts w:cs="Arial"/>
                <w:b/>
                <w:sz w:val="20"/>
                <w:szCs w:val="20"/>
              </w:rPr>
            </w:pPr>
            <w:r w:rsidRPr="00AF6322">
              <w:rPr>
                <w:rFonts w:cs="Arial"/>
                <w:b/>
                <w:sz w:val="20"/>
                <w:szCs w:val="20"/>
              </w:rPr>
              <w:t>16.0 (9.0-26)</w:t>
            </w:r>
          </w:p>
          <w:p w:rsidR="0093006F" w:rsidRPr="00AF6322" w:rsidRDefault="0093006F" w:rsidP="00425868">
            <w:pPr>
              <w:jc w:val="center"/>
              <w:rPr>
                <w:rFonts w:cs="Arial"/>
                <w:b/>
                <w:sz w:val="20"/>
                <w:szCs w:val="20"/>
              </w:rPr>
            </w:pPr>
            <w:r w:rsidRPr="00AF6322">
              <w:rPr>
                <w:rFonts w:cs="Arial"/>
                <w:b/>
                <w:sz w:val="20"/>
                <w:szCs w:val="20"/>
              </w:rPr>
              <w:t>23.6 (16-32)</w:t>
            </w:r>
          </w:p>
          <w:p w:rsidR="0093006F" w:rsidRPr="00AF6322" w:rsidRDefault="0093006F" w:rsidP="00425868">
            <w:pPr>
              <w:jc w:val="center"/>
              <w:rPr>
                <w:rFonts w:cs="Arial"/>
                <w:b/>
                <w:sz w:val="20"/>
                <w:szCs w:val="20"/>
              </w:rPr>
            </w:pPr>
            <w:r w:rsidRPr="00AF6322">
              <w:rPr>
                <w:rFonts w:cs="Arial"/>
                <w:b/>
                <w:sz w:val="20"/>
                <w:szCs w:val="20"/>
              </w:rPr>
              <w:t>15.0 (7.3-23)</w:t>
            </w:r>
          </w:p>
          <w:p w:rsidR="0093006F" w:rsidRPr="00AF6322" w:rsidRDefault="0093006F" w:rsidP="00425868">
            <w:pPr>
              <w:jc w:val="center"/>
              <w:rPr>
                <w:rFonts w:cs="Arial"/>
                <w:b/>
                <w:sz w:val="20"/>
                <w:szCs w:val="20"/>
              </w:rPr>
            </w:pPr>
            <w:r w:rsidRPr="00AF6322">
              <w:rPr>
                <w:rFonts w:cs="Arial"/>
                <w:b/>
                <w:sz w:val="20"/>
                <w:szCs w:val="20"/>
              </w:rPr>
              <w:t>50.9 (31-81)</w:t>
            </w:r>
          </w:p>
          <w:p w:rsidR="0093006F" w:rsidRPr="00B868A9" w:rsidRDefault="0093006F" w:rsidP="00425868">
            <w:pPr>
              <w:jc w:val="center"/>
              <w:rPr>
                <w:rFonts w:cs="Arial"/>
                <w:b/>
                <w:sz w:val="20"/>
                <w:szCs w:val="20"/>
              </w:rPr>
            </w:pPr>
            <w:r w:rsidRPr="00AF6322">
              <w:rPr>
                <w:rFonts w:cs="Arial"/>
                <w:b/>
                <w:sz w:val="20"/>
                <w:szCs w:val="20"/>
              </w:rPr>
              <w:t>18.8 (5.4-37)</w:t>
            </w:r>
          </w:p>
        </w:tc>
        <w:tc>
          <w:tcPr>
            <w:tcW w:w="863" w:type="pct"/>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auto"/>
          </w:tcPr>
          <w:p w:rsidR="0093006F" w:rsidRDefault="0093006F" w:rsidP="00425868">
            <w:pPr>
              <w:cnfStyle w:val="000000010000" w:firstRow="0" w:lastRow="0" w:firstColumn="0" w:lastColumn="0" w:oddVBand="0" w:evenVBand="0" w:oddHBand="0" w:evenHBand="1" w:firstRowFirstColumn="0" w:firstRowLastColumn="0" w:lastRowFirstColumn="0" w:lastRowLastColumn="0"/>
              <w:rPr>
                <w:rFonts w:cs="Arial"/>
                <w:sz w:val="16"/>
                <w:szCs w:val="16"/>
              </w:rPr>
            </w:pPr>
          </w:p>
          <w:p w:rsidR="0093006F" w:rsidRDefault="0093006F" w:rsidP="00425868">
            <w:pPr>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Raw – concentrations r</w:t>
            </w:r>
            <w:r w:rsidRPr="00F17236">
              <w:rPr>
                <w:rFonts w:cs="Arial"/>
                <w:sz w:val="16"/>
                <w:szCs w:val="16"/>
              </w:rPr>
              <w:t>ange from 10 mg/kg for sweet cassava up to 1</w:t>
            </w:r>
            <w:r>
              <w:rPr>
                <w:rFonts w:cs="Arial"/>
                <w:sz w:val="16"/>
                <w:szCs w:val="16"/>
              </w:rPr>
              <w:t>,</w:t>
            </w:r>
            <w:r w:rsidRPr="00F17236">
              <w:rPr>
                <w:rFonts w:cs="Arial"/>
                <w:sz w:val="16"/>
                <w:szCs w:val="16"/>
              </w:rPr>
              <w:t>120 mg/kg for bitter cassava (EFSA, 2004)</w:t>
            </w:r>
            <w:r>
              <w:rPr>
                <w:rFonts w:cs="Arial"/>
                <w:sz w:val="16"/>
                <w:szCs w:val="16"/>
              </w:rPr>
              <w:t>.</w:t>
            </w:r>
          </w:p>
          <w:p w:rsidR="0093006F" w:rsidRDefault="0093006F" w:rsidP="00425868">
            <w:pPr>
              <w:cnfStyle w:val="000000010000" w:firstRow="0" w:lastRow="0" w:firstColumn="0" w:lastColumn="0" w:oddVBand="0" w:evenVBand="0" w:oddHBand="0" w:evenHBand="1" w:firstRowFirstColumn="0" w:firstRowLastColumn="0" w:lastRowFirstColumn="0" w:lastRowLastColumn="0"/>
              <w:rPr>
                <w:rFonts w:cs="Arial"/>
                <w:sz w:val="16"/>
                <w:szCs w:val="16"/>
              </w:rPr>
            </w:pPr>
          </w:p>
          <w:p w:rsidR="0093006F" w:rsidRDefault="0093006F" w:rsidP="00425868">
            <w:pPr>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 xml:space="preserve">Reductions in HCN differ depending on the cooking method. </w:t>
            </w:r>
          </w:p>
          <w:p w:rsidR="0093006F" w:rsidRDefault="0093006F" w:rsidP="00425868">
            <w:pPr>
              <w:cnfStyle w:val="000000010000" w:firstRow="0" w:lastRow="0" w:firstColumn="0" w:lastColumn="0" w:oddVBand="0" w:evenVBand="0" w:oddHBand="0" w:evenHBand="1" w:firstRowFirstColumn="0" w:firstRowLastColumn="0" w:lastRowFirstColumn="0" w:lastRowLastColumn="0"/>
              <w:rPr>
                <w:rFonts w:cs="Arial"/>
                <w:sz w:val="16"/>
                <w:szCs w:val="16"/>
              </w:rPr>
            </w:pPr>
          </w:p>
          <w:p w:rsidR="0093006F" w:rsidRDefault="0093006F" w:rsidP="00425868">
            <w:pPr>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 xml:space="preserve">Montagnac (2009) reports reductions of 10% for frying, 13% for </w:t>
            </w:r>
            <w:r w:rsidRPr="000F4703">
              <w:rPr>
                <w:rFonts w:cs="Arial"/>
                <w:sz w:val="16"/>
                <w:szCs w:val="16"/>
              </w:rPr>
              <w:t>baking or steaming</w:t>
            </w:r>
            <w:r>
              <w:rPr>
                <w:rFonts w:cs="Arial"/>
                <w:sz w:val="16"/>
                <w:szCs w:val="16"/>
              </w:rPr>
              <w:t xml:space="preserve"> and 45% for </w:t>
            </w:r>
            <w:r w:rsidRPr="000F4703">
              <w:rPr>
                <w:rFonts w:cs="Arial"/>
                <w:sz w:val="16"/>
                <w:szCs w:val="16"/>
              </w:rPr>
              <w:t>boiling</w:t>
            </w:r>
            <w:r>
              <w:rPr>
                <w:rFonts w:cs="Arial"/>
                <w:sz w:val="16"/>
                <w:szCs w:val="16"/>
              </w:rPr>
              <w:t xml:space="preserve">. </w:t>
            </w:r>
          </w:p>
          <w:p w:rsidR="0093006F" w:rsidRDefault="0093006F" w:rsidP="00425868">
            <w:pPr>
              <w:cnfStyle w:val="000000010000" w:firstRow="0" w:lastRow="0" w:firstColumn="0" w:lastColumn="0" w:oddVBand="0" w:evenVBand="0" w:oddHBand="0" w:evenHBand="1" w:firstRowFirstColumn="0" w:firstRowLastColumn="0" w:lastRowFirstColumn="0" w:lastRowLastColumn="0"/>
              <w:rPr>
                <w:rFonts w:cs="Arial"/>
                <w:sz w:val="16"/>
                <w:szCs w:val="16"/>
              </w:rPr>
            </w:pPr>
          </w:p>
          <w:p w:rsidR="0093006F" w:rsidRDefault="0093006F" w:rsidP="00425868">
            <w:pPr>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Other literature indicates reductions of 20% for baking, frying and steaming and 80-99% for boiling (CCCF, 2013)</w:t>
            </w:r>
            <w:r w:rsidRPr="000F4703">
              <w:rPr>
                <w:rFonts w:cs="Arial"/>
                <w:sz w:val="16"/>
                <w:szCs w:val="16"/>
              </w:rPr>
              <w:t>.</w:t>
            </w:r>
          </w:p>
          <w:p w:rsidR="00953A30" w:rsidRPr="00F17236" w:rsidRDefault="00953A30" w:rsidP="00425868">
            <w:pPr>
              <w:cnfStyle w:val="000000010000" w:firstRow="0" w:lastRow="0" w:firstColumn="0" w:lastColumn="0" w:oddVBand="0" w:evenVBand="0" w:oddHBand="0" w:evenHBand="1" w:firstRowFirstColumn="0" w:firstRowLastColumn="0" w:lastRowFirstColumn="0" w:lastRowLastColumn="0"/>
              <w:rPr>
                <w:rFonts w:cs="Arial"/>
                <w:b/>
                <w:sz w:val="16"/>
                <w:szCs w:val="16"/>
              </w:rPr>
            </w:pPr>
          </w:p>
        </w:tc>
        <w:tc>
          <w:tcPr>
            <w:cnfStyle w:val="000100000000" w:firstRow="0" w:lastRow="0" w:firstColumn="0" w:lastColumn="1" w:oddVBand="0" w:evenVBand="0" w:oddHBand="0" w:evenHBand="0" w:firstRowFirstColumn="0" w:firstRowLastColumn="0" w:lastRowFirstColumn="0" w:lastRowLastColumn="0"/>
            <w:tcW w:w="889" w:type="pct"/>
            <w:tcBorders>
              <w:left w:val="single" w:sz="8" w:space="0" w:color="7BA0CD" w:themeColor="accent1" w:themeTint="BF"/>
              <w:bottom w:val="single" w:sz="8" w:space="0" w:color="7BA0CD" w:themeColor="accent1" w:themeTint="BF"/>
            </w:tcBorders>
            <w:shd w:val="clear" w:color="auto" w:fill="auto"/>
          </w:tcPr>
          <w:p w:rsidR="0093006F" w:rsidRDefault="0093006F" w:rsidP="00425868">
            <w:pPr>
              <w:rPr>
                <w:rFonts w:cs="Arial"/>
                <w:b w:val="0"/>
                <w:sz w:val="16"/>
                <w:szCs w:val="16"/>
              </w:rPr>
            </w:pPr>
          </w:p>
          <w:p w:rsidR="0093006F" w:rsidRPr="00F17236" w:rsidRDefault="0093006F" w:rsidP="00425868">
            <w:pPr>
              <w:rPr>
                <w:rFonts w:cs="Arial"/>
                <w:b w:val="0"/>
                <w:sz w:val="16"/>
                <w:szCs w:val="16"/>
              </w:rPr>
            </w:pPr>
            <w:r>
              <w:rPr>
                <w:rFonts w:cs="Arial"/>
                <w:b w:val="0"/>
                <w:sz w:val="16"/>
                <w:szCs w:val="16"/>
              </w:rPr>
              <w:t xml:space="preserve">All but one sample in Survey 3 </w:t>
            </w:r>
            <w:r w:rsidRPr="00F17236">
              <w:rPr>
                <w:rFonts w:cs="Arial"/>
                <w:b w:val="0"/>
                <w:sz w:val="16"/>
                <w:szCs w:val="16"/>
              </w:rPr>
              <w:t>met the requirements of Standard 1.1.2 for ‘sweet cassava’</w:t>
            </w:r>
            <w:r>
              <w:rPr>
                <w:rFonts w:cs="Arial"/>
                <w:b w:val="0"/>
                <w:sz w:val="16"/>
                <w:szCs w:val="16"/>
              </w:rPr>
              <w:t>.</w:t>
            </w:r>
          </w:p>
          <w:p w:rsidR="0093006F" w:rsidRDefault="0093006F" w:rsidP="00425868">
            <w:pPr>
              <w:rPr>
                <w:rFonts w:cs="Arial"/>
                <w:b w:val="0"/>
                <w:sz w:val="16"/>
                <w:szCs w:val="16"/>
              </w:rPr>
            </w:pPr>
          </w:p>
          <w:p w:rsidR="0093006F" w:rsidRDefault="0093006F" w:rsidP="00425868">
            <w:pPr>
              <w:rPr>
                <w:rFonts w:cs="Arial"/>
                <w:b w:val="0"/>
                <w:sz w:val="16"/>
                <w:szCs w:val="16"/>
              </w:rPr>
            </w:pPr>
            <w:r w:rsidRPr="00F17236">
              <w:rPr>
                <w:rFonts w:cs="Arial"/>
                <w:b w:val="0"/>
                <w:sz w:val="16"/>
                <w:szCs w:val="16"/>
              </w:rPr>
              <w:t xml:space="preserve">Levels </w:t>
            </w:r>
            <w:r>
              <w:rPr>
                <w:rFonts w:cs="Arial"/>
                <w:b w:val="0"/>
                <w:sz w:val="16"/>
                <w:szCs w:val="16"/>
              </w:rPr>
              <w:t xml:space="preserve">for all but one sample in Survey 3 </w:t>
            </w:r>
            <w:r w:rsidRPr="00F17236">
              <w:rPr>
                <w:rFonts w:cs="Arial"/>
                <w:b w:val="0"/>
                <w:sz w:val="16"/>
                <w:szCs w:val="16"/>
              </w:rPr>
              <w:t>compl</w:t>
            </w:r>
            <w:r>
              <w:rPr>
                <w:rFonts w:cs="Arial"/>
                <w:b w:val="0"/>
                <w:sz w:val="16"/>
                <w:szCs w:val="16"/>
              </w:rPr>
              <w:t>ied</w:t>
            </w:r>
            <w:r w:rsidRPr="00F17236">
              <w:rPr>
                <w:rFonts w:cs="Arial"/>
                <w:b w:val="0"/>
                <w:sz w:val="16"/>
                <w:szCs w:val="16"/>
              </w:rPr>
              <w:t xml:space="preserve"> with Standard 1.4.4</w:t>
            </w:r>
            <w:r>
              <w:rPr>
                <w:rFonts w:cs="Arial"/>
                <w:b w:val="0"/>
                <w:sz w:val="16"/>
                <w:szCs w:val="16"/>
              </w:rPr>
              <w:t xml:space="preserve"> (&lt;50 mg/kg HCN for ‘sweet cassava’).</w:t>
            </w:r>
          </w:p>
          <w:p w:rsidR="0093006F" w:rsidRDefault="0093006F" w:rsidP="00425868">
            <w:pPr>
              <w:rPr>
                <w:rFonts w:cs="Arial"/>
                <w:b w:val="0"/>
                <w:sz w:val="16"/>
                <w:szCs w:val="16"/>
              </w:rPr>
            </w:pPr>
          </w:p>
          <w:p w:rsidR="0093006F" w:rsidRPr="00F17236" w:rsidRDefault="0093006F" w:rsidP="00425868">
            <w:pPr>
              <w:rPr>
                <w:rFonts w:cs="Arial"/>
                <w:b w:val="0"/>
                <w:sz w:val="16"/>
                <w:szCs w:val="16"/>
              </w:rPr>
            </w:pPr>
          </w:p>
        </w:tc>
      </w:tr>
      <w:tr w:rsidR="0093006F" w:rsidRPr="00B868A9" w:rsidTr="00425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9" w:type="pct"/>
            <w:tcBorders>
              <w:bottom w:val="single" w:sz="8" w:space="0" w:color="7BA0CD" w:themeColor="accent1" w:themeTint="BF"/>
              <w:right w:val="single" w:sz="8" w:space="0" w:color="7BA0CD" w:themeColor="accent1" w:themeTint="BF"/>
            </w:tcBorders>
            <w:shd w:val="clear" w:color="auto" w:fill="D3DFEE"/>
          </w:tcPr>
          <w:p w:rsidR="0093006F" w:rsidRPr="00B868A9" w:rsidRDefault="0093006F" w:rsidP="00425868">
            <w:pPr>
              <w:rPr>
                <w:rFonts w:cs="Arial"/>
                <w:sz w:val="20"/>
                <w:szCs w:val="20"/>
              </w:rPr>
            </w:pPr>
            <w:r w:rsidRPr="00B868A9">
              <w:rPr>
                <w:rFonts w:cs="Arial"/>
                <w:sz w:val="20"/>
                <w:szCs w:val="20"/>
              </w:rPr>
              <w:t>Bamboo shoots</w:t>
            </w:r>
          </w:p>
          <w:p w:rsidR="0093006F" w:rsidRPr="00E35AC5" w:rsidRDefault="0093006F" w:rsidP="00425868">
            <w:pPr>
              <w:spacing w:line="240" w:lineRule="atLeast"/>
              <w:rPr>
                <w:rFonts w:cs="Arial"/>
                <w:b w:val="0"/>
                <w:sz w:val="20"/>
                <w:szCs w:val="20"/>
                <w:u w:val="single"/>
              </w:rPr>
            </w:pPr>
            <w:r w:rsidRPr="00E35AC5">
              <w:rPr>
                <w:rFonts w:cs="Arial"/>
                <w:b w:val="0"/>
                <w:sz w:val="20"/>
                <w:szCs w:val="20"/>
                <w:u w:val="single"/>
              </w:rPr>
              <w:t>Survey 1</w:t>
            </w:r>
          </w:p>
          <w:p w:rsidR="0093006F" w:rsidRPr="00B868A9" w:rsidRDefault="0093006F" w:rsidP="00425868">
            <w:pPr>
              <w:spacing w:line="240" w:lineRule="atLeast"/>
              <w:rPr>
                <w:rFonts w:cs="Arial"/>
                <w:b w:val="0"/>
                <w:sz w:val="20"/>
                <w:szCs w:val="20"/>
              </w:rPr>
            </w:pPr>
            <w:r>
              <w:rPr>
                <w:rFonts w:cs="Arial"/>
                <w:sz w:val="20"/>
                <w:szCs w:val="20"/>
              </w:rPr>
              <w:tab/>
            </w:r>
            <w:r w:rsidRPr="00B868A9">
              <w:rPr>
                <w:rFonts w:cs="Arial"/>
                <w:b w:val="0"/>
                <w:sz w:val="20"/>
                <w:szCs w:val="20"/>
              </w:rPr>
              <w:t>Canned</w:t>
            </w:r>
          </w:p>
          <w:p w:rsidR="0093006F" w:rsidRDefault="0093006F" w:rsidP="00425868">
            <w:pPr>
              <w:spacing w:line="240" w:lineRule="atLeast"/>
              <w:rPr>
                <w:rFonts w:cs="Arial"/>
                <w:sz w:val="20"/>
                <w:szCs w:val="20"/>
              </w:rPr>
            </w:pPr>
            <w:r w:rsidRPr="00B868A9">
              <w:rPr>
                <w:rFonts w:cs="Arial"/>
                <w:b w:val="0"/>
                <w:sz w:val="20"/>
                <w:szCs w:val="20"/>
              </w:rPr>
              <w:tab/>
              <w:t>Other</w:t>
            </w:r>
            <w:r>
              <w:rPr>
                <w:rFonts w:cs="Arial"/>
                <w:b w:val="0"/>
                <w:sz w:val="20"/>
                <w:szCs w:val="20"/>
              </w:rPr>
              <w:t xml:space="preserve"> (pickled)</w:t>
            </w:r>
            <w:r w:rsidRPr="00B868A9">
              <w:rPr>
                <w:rFonts w:cs="Arial"/>
                <w:sz w:val="20"/>
                <w:szCs w:val="20"/>
              </w:rPr>
              <w:t xml:space="preserve"> </w:t>
            </w:r>
          </w:p>
          <w:p w:rsidR="0093006F" w:rsidRDefault="0093006F" w:rsidP="00425868">
            <w:pPr>
              <w:spacing w:line="240" w:lineRule="atLeast"/>
              <w:rPr>
                <w:rFonts w:cs="Arial"/>
                <w:sz w:val="20"/>
                <w:szCs w:val="20"/>
              </w:rPr>
            </w:pPr>
          </w:p>
          <w:p w:rsidR="0093006F" w:rsidRDefault="0093006F" w:rsidP="00425868">
            <w:pPr>
              <w:spacing w:line="240" w:lineRule="atLeast"/>
              <w:rPr>
                <w:rFonts w:cs="Arial"/>
                <w:b w:val="0"/>
                <w:sz w:val="20"/>
                <w:szCs w:val="20"/>
                <w:u w:val="single"/>
              </w:rPr>
            </w:pPr>
            <w:r w:rsidRPr="007B0AE5">
              <w:rPr>
                <w:rFonts w:cs="Arial"/>
                <w:b w:val="0"/>
                <w:sz w:val="20"/>
                <w:szCs w:val="20"/>
                <w:u w:val="single"/>
              </w:rPr>
              <w:t>Survey 3</w:t>
            </w:r>
          </w:p>
          <w:p w:rsidR="0093006F" w:rsidRDefault="0093006F" w:rsidP="00425868">
            <w:pPr>
              <w:spacing w:line="240" w:lineRule="atLeast"/>
              <w:rPr>
                <w:rFonts w:cs="Arial"/>
                <w:b w:val="0"/>
                <w:sz w:val="20"/>
                <w:szCs w:val="20"/>
              </w:rPr>
            </w:pPr>
            <w:r>
              <w:rPr>
                <w:rFonts w:cs="Arial"/>
                <w:b w:val="0"/>
                <w:sz w:val="20"/>
                <w:szCs w:val="20"/>
              </w:rPr>
              <w:tab/>
              <w:t>Fresh/frozen shoots, raw</w:t>
            </w:r>
          </w:p>
          <w:p w:rsidR="0093006F" w:rsidRDefault="0093006F" w:rsidP="00425868">
            <w:pPr>
              <w:spacing w:line="240" w:lineRule="atLeast"/>
              <w:rPr>
                <w:rFonts w:cs="Arial"/>
                <w:b w:val="0"/>
                <w:sz w:val="20"/>
                <w:szCs w:val="20"/>
              </w:rPr>
            </w:pPr>
            <w:r>
              <w:rPr>
                <w:rFonts w:cs="Arial"/>
                <w:b w:val="0"/>
                <w:sz w:val="20"/>
                <w:szCs w:val="20"/>
              </w:rPr>
              <w:tab/>
              <w:t>Cooked (boiling)</w:t>
            </w:r>
          </w:p>
          <w:p w:rsidR="0093006F" w:rsidRPr="007B0AE5" w:rsidRDefault="0093006F" w:rsidP="00425868">
            <w:pPr>
              <w:spacing w:line="240" w:lineRule="atLeast"/>
              <w:rPr>
                <w:rFonts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431" w:type="pct"/>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D3DFEE"/>
          </w:tcPr>
          <w:p w:rsidR="0093006F" w:rsidRPr="00B868A9" w:rsidRDefault="0093006F" w:rsidP="00425868">
            <w:pPr>
              <w:jc w:val="center"/>
              <w:rPr>
                <w:rFonts w:cs="Arial"/>
                <w:sz w:val="20"/>
                <w:szCs w:val="20"/>
              </w:rPr>
            </w:pPr>
          </w:p>
          <w:p w:rsidR="0093006F" w:rsidRDefault="0093006F" w:rsidP="00425868">
            <w:pPr>
              <w:jc w:val="center"/>
              <w:rPr>
                <w:rFonts w:cs="Arial"/>
                <w:sz w:val="20"/>
                <w:szCs w:val="20"/>
              </w:rPr>
            </w:pPr>
          </w:p>
          <w:p w:rsidR="0093006F" w:rsidRPr="00B868A9" w:rsidRDefault="0093006F" w:rsidP="00425868">
            <w:pPr>
              <w:jc w:val="center"/>
              <w:rPr>
                <w:rFonts w:cs="Arial"/>
                <w:sz w:val="20"/>
                <w:szCs w:val="20"/>
              </w:rPr>
            </w:pPr>
            <w:r w:rsidRPr="00B868A9">
              <w:rPr>
                <w:rFonts w:cs="Arial"/>
                <w:sz w:val="20"/>
                <w:szCs w:val="20"/>
              </w:rPr>
              <w:t>7</w:t>
            </w:r>
          </w:p>
          <w:p w:rsidR="0093006F" w:rsidRDefault="0093006F" w:rsidP="00425868">
            <w:pPr>
              <w:jc w:val="center"/>
              <w:rPr>
                <w:rFonts w:cs="Arial"/>
                <w:sz w:val="20"/>
                <w:szCs w:val="20"/>
              </w:rPr>
            </w:pPr>
            <w:r w:rsidRPr="00B868A9">
              <w:rPr>
                <w:rFonts w:cs="Arial"/>
                <w:sz w:val="20"/>
                <w:szCs w:val="20"/>
              </w:rPr>
              <w:t>3</w:t>
            </w:r>
          </w:p>
          <w:p w:rsidR="0093006F" w:rsidRDefault="0093006F" w:rsidP="00425868">
            <w:pPr>
              <w:jc w:val="center"/>
              <w:rPr>
                <w:rFonts w:cs="Arial"/>
                <w:sz w:val="20"/>
                <w:szCs w:val="20"/>
              </w:rPr>
            </w:pPr>
          </w:p>
          <w:p w:rsidR="0093006F" w:rsidRDefault="0093006F" w:rsidP="00425868">
            <w:pPr>
              <w:jc w:val="center"/>
              <w:rPr>
                <w:rFonts w:cs="Arial"/>
                <w:sz w:val="20"/>
                <w:szCs w:val="20"/>
              </w:rPr>
            </w:pPr>
          </w:p>
          <w:p w:rsidR="0093006F" w:rsidRDefault="0093006F" w:rsidP="00425868">
            <w:pPr>
              <w:jc w:val="center"/>
              <w:rPr>
                <w:rFonts w:cs="Arial"/>
                <w:sz w:val="20"/>
                <w:szCs w:val="20"/>
              </w:rPr>
            </w:pPr>
            <w:r>
              <w:rPr>
                <w:rFonts w:cs="Arial"/>
                <w:sz w:val="20"/>
                <w:szCs w:val="20"/>
              </w:rPr>
              <w:t>3</w:t>
            </w:r>
          </w:p>
          <w:p w:rsidR="0093006F" w:rsidRPr="00B868A9" w:rsidRDefault="0093006F" w:rsidP="00425868">
            <w:pPr>
              <w:jc w:val="center"/>
              <w:rPr>
                <w:rFonts w:cs="Arial"/>
                <w:sz w:val="20"/>
                <w:szCs w:val="20"/>
              </w:rPr>
            </w:pPr>
            <w:r>
              <w:rPr>
                <w:rFonts w:cs="Arial"/>
                <w:sz w:val="20"/>
                <w:szCs w:val="20"/>
              </w:rPr>
              <w:t>3</w:t>
            </w:r>
          </w:p>
        </w:tc>
        <w:tc>
          <w:tcPr>
            <w:tcW w:w="575" w:type="pct"/>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D3DFEE"/>
          </w:tcPr>
          <w:p w:rsidR="0093006F" w:rsidRPr="00B868A9"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rsidR="0093006F"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rsidR="0093006F" w:rsidRPr="00B868A9"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868A9">
              <w:rPr>
                <w:rFonts w:cs="Arial"/>
                <w:sz w:val="20"/>
                <w:szCs w:val="20"/>
              </w:rPr>
              <w:t>7 (100)</w:t>
            </w:r>
          </w:p>
          <w:p w:rsidR="0093006F"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868A9">
              <w:rPr>
                <w:rFonts w:cs="Arial"/>
                <w:sz w:val="20"/>
                <w:szCs w:val="20"/>
              </w:rPr>
              <w:t>3 (100)</w:t>
            </w:r>
          </w:p>
          <w:p w:rsidR="0093006F"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rsidR="0093006F"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rsidR="0093006F" w:rsidRPr="007B0AE5"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7B0AE5">
              <w:rPr>
                <w:rFonts w:cs="Arial"/>
                <w:sz w:val="20"/>
                <w:szCs w:val="20"/>
              </w:rPr>
              <w:t>3 (100)</w:t>
            </w:r>
          </w:p>
          <w:p w:rsidR="0093006F" w:rsidRPr="00B868A9"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7B0AE5">
              <w:rPr>
                <w:rFonts w:cs="Arial"/>
                <w:sz w:val="20"/>
                <w:szCs w:val="20"/>
              </w:rPr>
              <w:t>3 (100)</w:t>
            </w:r>
          </w:p>
        </w:tc>
        <w:tc>
          <w:tcPr>
            <w:cnfStyle w:val="000010000000" w:firstRow="0" w:lastRow="0" w:firstColumn="0" w:lastColumn="0" w:oddVBand="1" w:evenVBand="0" w:oddHBand="0" w:evenHBand="0" w:firstRowFirstColumn="0" w:firstRowLastColumn="0" w:lastRowFirstColumn="0" w:lastRowLastColumn="0"/>
            <w:tcW w:w="863" w:type="pct"/>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D3DFEE"/>
          </w:tcPr>
          <w:p w:rsidR="0093006F" w:rsidRPr="00B868A9" w:rsidRDefault="0093006F" w:rsidP="00425868">
            <w:pPr>
              <w:jc w:val="center"/>
              <w:rPr>
                <w:rFonts w:cs="Arial"/>
                <w:b/>
                <w:sz w:val="20"/>
                <w:szCs w:val="20"/>
              </w:rPr>
            </w:pPr>
          </w:p>
          <w:p w:rsidR="0093006F" w:rsidRDefault="0093006F" w:rsidP="00425868">
            <w:pPr>
              <w:jc w:val="center"/>
              <w:rPr>
                <w:rFonts w:cs="Arial"/>
                <w:b/>
                <w:sz w:val="20"/>
                <w:szCs w:val="20"/>
              </w:rPr>
            </w:pPr>
          </w:p>
          <w:p w:rsidR="0093006F" w:rsidRPr="00B868A9" w:rsidRDefault="0093006F" w:rsidP="00425868">
            <w:pPr>
              <w:jc w:val="center"/>
              <w:rPr>
                <w:rFonts w:cs="Arial"/>
                <w:b/>
                <w:sz w:val="20"/>
                <w:szCs w:val="20"/>
              </w:rPr>
            </w:pPr>
            <w:r w:rsidRPr="00B868A9">
              <w:rPr>
                <w:rFonts w:cs="Arial"/>
                <w:b/>
                <w:sz w:val="20"/>
                <w:szCs w:val="20"/>
              </w:rPr>
              <w:t>10.0 (3.7-24.5)</w:t>
            </w:r>
          </w:p>
          <w:p w:rsidR="0093006F" w:rsidRDefault="0093006F" w:rsidP="00425868">
            <w:pPr>
              <w:jc w:val="center"/>
              <w:rPr>
                <w:rFonts w:cs="Arial"/>
                <w:b/>
                <w:sz w:val="20"/>
                <w:szCs w:val="20"/>
              </w:rPr>
            </w:pPr>
            <w:r w:rsidRPr="00B868A9">
              <w:rPr>
                <w:rFonts w:cs="Arial"/>
                <w:b/>
                <w:sz w:val="20"/>
                <w:szCs w:val="20"/>
              </w:rPr>
              <w:t>21.1 (9.6-44.0)</w:t>
            </w:r>
          </w:p>
          <w:p w:rsidR="0093006F" w:rsidRDefault="0093006F" w:rsidP="00425868">
            <w:pPr>
              <w:jc w:val="center"/>
              <w:rPr>
                <w:rFonts w:cs="Arial"/>
                <w:b/>
                <w:sz w:val="20"/>
                <w:szCs w:val="20"/>
              </w:rPr>
            </w:pPr>
          </w:p>
          <w:p w:rsidR="0093006F" w:rsidRDefault="0093006F" w:rsidP="00425868">
            <w:pPr>
              <w:jc w:val="center"/>
              <w:rPr>
                <w:rFonts w:cs="Arial"/>
                <w:b/>
                <w:sz w:val="20"/>
                <w:szCs w:val="20"/>
              </w:rPr>
            </w:pPr>
          </w:p>
          <w:p w:rsidR="0093006F" w:rsidRPr="007B0AE5" w:rsidRDefault="0093006F" w:rsidP="00425868">
            <w:pPr>
              <w:jc w:val="center"/>
              <w:rPr>
                <w:rFonts w:cs="Arial"/>
                <w:b/>
                <w:sz w:val="20"/>
                <w:szCs w:val="20"/>
              </w:rPr>
            </w:pPr>
            <w:r w:rsidRPr="007B0AE5">
              <w:rPr>
                <w:rFonts w:cs="Arial"/>
                <w:b/>
                <w:sz w:val="20"/>
                <w:szCs w:val="20"/>
              </w:rPr>
              <w:t>320 (24-550)</w:t>
            </w:r>
          </w:p>
          <w:p w:rsidR="0093006F" w:rsidRPr="00B868A9" w:rsidRDefault="0093006F" w:rsidP="00425868">
            <w:pPr>
              <w:jc w:val="center"/>
              <w:rPr>
                <w:rFonts w:cs="Arial"/>
                <w:b/>
                <w:sz w:val="20"/>
                <w:szCs w:val="20"/>
              </w:rPr>
            </w:pPr>
            <w:r w:rsidRPr="007B0AE5">
              <w:rPr>
                <w:rFonts w:cs="Arial"/>
                <w:b/>
                <w:sz w:val="20"/>
                <w:szCs w:val="20"/>
              </w:rPr>
              <w:t>46 (28-73)</w:t>
            </w:r>
          </w:p>
        </w:tc>
        <w:tc>
          <w:tcPr>
            <w:tcW w:w="863" w:type="pct"/>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D3DFEE"/>
          </w:tcPr>
          <w:p w:rsidR="0093006F" w:rsidRDefault="0093006F" w:rsidP="00425868">
            <w:pPr>
              <w:cnfStyle w:val="000000100000" w:firstRow="0" w:lastRow="0" w:firstColumn="0" w:lastColumn="0" w:oddVBand="0" w:evenVBand="0" w:oddHBand="1" w:evenHBand="0" w:firstRowFirstColumn="0" w:firstRowLastColumn="0" w:lastRowFirstColumn="0" w:lastRowLastColumn="0"/>
              <w:rPr>
                <w:rFonts w:cs="Arial"/>
                <w:sz w:val="16"/>
                <w:szCs w:val="16"/>
              </w:rPr>
            </w:pPr>
          </w:p>
          <w:p w:rsidR="0093006F" w:rsidRDefault="0093006F" w:rsidP="00425868">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 xml:space="preserve">Canned – </w:t>
            </w:r>
            <w:r w:rsidRPr="00F17236">
              <w:rPr>
                <w:rFonts w:cs="Arial"/>
                <w:sz w:val="16"/>
                <w:szCs w:val="16"/>
              </w:rPr>
              <w:t>27 mg/kg (Ferreira et al, 1995)</w:t>
            </w:r>
            <w:r>
              <w:rPr>
                <w:rFonts w:cs="Arial"/>
                <w:sz w:val="16"/>
                <w:szCs w:val="16"/>
              </w:rPr>
              <w:t xml:space="preserve">. </w:t>
            </w:r>
          </w:p>
          <w:p w:rsidR="0093006F" w:rsidRDefault="0093006F" w:rsidP="00425868">
            <w:pPr>
              <w:cnfStyle w:val="000000100000" w:firstRow="0" w:lastRow="0" w:firstColumn="0" w:lastColumn="0" w:oddVBand="0" w:evenVBand="0" w:oddHBand="1" w:evenHBand="0" w:firstRowFirstColumn="0" w:firstRowLastColumn="0" w:lastRowFirstColumn="0" w:lastRowLastColumn="0"/>
              <w:rPr>
                <w:rFonts w:cs="Arial"/>
                <w:sz w:val="16"/>
                <w:szCs w:val="16"/>
              </w:rPr>
            </w:pPr>
          </w:p>
          <w:p w:rsidR="0093006F" w:rsidRDefault="0093006F" w:rsidP="00425868">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 xml:space="preserve">Raw – </w:t>
            </w:r>
            <w:r w:rsidRPr="00F6495F">
              <w:rPr>
                <w:rFonts w:cs="Arial"/>
                <w:sz w:val="16"/>
                <w:szCs w:val="16"/>
              </w:rPr>
              <w:t>concentrations are within the range previously reported for bamboo shoots</w:t>
            </w:r>
            <w:r>
              <w:rPr>
                <w:rFonts w:cs="Arial"/>
                <w:sz w:val="16"/>
                <w:szCs w:val="16"/>
              </w:rPr>
              <w:t xml:space="preserve"> of 551 mg/kg</w:t>
            </w:r>
            <w:r w:rsidRPr="00F6495F">
              <w:rPr>
                <w:rFonts w:cs="Arial"/>
                <w:sz w:val="16"/>
                <w:szCs w:val="16"/>
              </w:rPr>
              <w:t xml:space="preserve"> (Chandra et al, 2004</w:t>
            </w:r>
            <w:r>
              <w:rPr>
                <w:rFonts w:cs="Arial"/>
                <w:sz w:val="16"/>
                <w:szCs w:val="16"/>
              </w:rPr>
              <w:t>)</w:t>
            </w:r>
            <w:r w:rsidRPr="00F6495F">
              <w:rPr>
                <w:rFonts w:cs="Arial"/>
                <w:sz w:val="16"/>
                <w:szCs w:val="16"/>
              </w:rPr>
              <w:t xml:space="preserve">; </w:t>
            </w:r>
            <w:r>
              <w:rPr>
                <w:rFonts w:cs="Arial"/>
                <w:sz w:val="16"/>
                <w:szCs w:val="16"/>
              </w:rPr>
              <w:t>139-1,164 mg/kg (</w:t>
            </w:r>
            <w:r w:rsidRPr="00F6495F">
              <w:rPr>
                <w:rFonts w:cs="Arial"/>
                <w:sz w:val="16"/>
                <w:szCs w:val="16"/>
              </w:rPr>
              <w:t>Haorongbam et al, 2009</w:t>
            </w:r>
            <w:r>
              <w:rPr>
                <w:rFonts w:cs="Arial"/>
                <w:sz w:val="16"/>
                <w:szCs w:val="16"/>
              </w:rPr>
              <w:t>)</w:t>
            </w:r>
            <w:r w:rsidRPr="00F6495F">
              <w:rPr>
                <w:rFonts w:cs="Arial"/>
                <w:sz w:val="16"/>
                <w:szCs w:val="16"/>
              </w:rPr>
              <w:t xml:space="preserve">; </w:t>
            </w:r>
            <w:r>
              <w:rPr>
                <w:rFonts w:cs="Arial"/>
                <w:sz w:val="16"/>
                <w:szCs w:val="16"/>
              </w:rPr>
              <w:t>114-1,460 mg/kg (</w:t>
            </w:r>
            <w:r w:rsidRPr="00F6495F">
              <w:rPr>
                <w:rFonts w:cs="Arial"/>
                <w:sz w:val="16"/>
                <w:szCs w:val="16"/>
              </w:rPr>
              <w:t>Haque and Bradbury, 2002).</w:t>
            </w:r>
          </w:p>
          <w:p w:rsidR="0093006F" w:rsidRPr="00F17236" w:rsidRDefault="0093006F" w:rsidP="00425868">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100000000" w:firstRow="0" w:lastRow="0" w:firstColumn="0" w:lastColumn="1" w:oddVBand="0" w:evenVBand="0" w:oddHBand="0" w:evenHBand="0" w:firstRowFirstColumn="0" w:firstRowLastColumn="0" w:lastRowFirstColumn="0" w:lastRowLastColumn="0"/>
            <w:tcW w:w="889" w:type="pct"/>
            <w:tcBorders>
              <w:left w:val="single" w:sz="8" w:space="0" w:color="7BA0CD" w:themeColor="accent1" w:themeTint="BF"/>
              <w:bottom w:val="single" w:sz="8" w:space="0" w:color="7BA0CD" w:themeColor="accent1" w:themeTint="BF"/>
            </w:tcBorders>
            <w:shd w:val="clear" w:color="auto" w:fill="D3DFEE"/>
          </w:tcPr>
          <w:p w:rsidR="0093006F" w:rsidRDefault="0093006F" w:rsidP="00425868">
            <w:pPr>
              <w:rPr>
                <w:rFonts w:cs="Arial"/>
                <w:b w:val="0"/>
                <w:sz w:val="16"/>
                <w:szCs w:val="16"/>
              </w:rPr>
            </w:pPr>
          </w:p>
          <w:p w:rsidR="0093006F" w:rsidRPr="00F17236" w:rsidRDefault="0093006F" w:rsidP="00425868">
            <w:pPr>
              <w:rPr>
                <w:rFonts w:cs="Arial"/>
                <w:b w:val="0"/>
                <w:sz w:val="16"/>
                <w:szCs w:val="16"/>
              </w:rPr>
            </w:pPr>
            <w:r>
              <w:rPr>
                <w:rFonts w:cs="Arial"/>
                <w:b w:val="0"/>
                <w:sz w:val="16"/>
                <w:szCs w:val="16"/>
              </w:rPr>
              <w:t>T</w:t>
            </w:r>
            <w:r w:rsidRPr="00F17236">
              <w:rPr>
                <w:rFonts w:cs="Arial"/>
                <w:b w:val="0"/>
                <w:sz w:val="16"/>
                <w:szCs w:val="16"/>
              </w:rPr>
              <w:t xml:space="preserve">here are no set </w:t>
            </w:r>
            <w:r>
              <w:rPr>
                <w:rFonts w:cs="Arial"/>
                <w:b w:val="0"/>
                <w:sz w:val="16"/>
                <w:szCs w:val="16"/>
              </w:rPr>
              <w:t>ML</w:t>
            </w:r>
            <w:r w:rsidRPr="00F17236">
              <w:rPr>
                <w:rFonts w:cs="Arial"/>
                <w:b w:val="0"/>
                <w:sz w:val="16"/>
                <w:szCs w:val="16"/>
              </w:rPr>
              <w:t xml:space="preserve">s for </w:t>
            </w:r>
            <w:r>
              <w:rPr>
                <w:rFonts w:cs="Arial"/>
                <w:b w:val="0"/>
                <w:sz w:val="16"/>
                <w:szCs w:val="16"/>
              </w:rPr>
              <w:t>HCN</w:t>
            </w:r>
            <w:r w:rsidRPr="00F17236">
              <w:rPr>
                <w:rFonts w:cs="Arial"/>
                <w:b w:val="0"/>
                <w:sz w:val="16"/>
                <w:szCs w:val="16"/>
              </w:rPr>
              <w:t xml:space="preserve"> for this product.</w:t>
            </w:r>
          </w:p>
        </w:tc>
      </w:tr>
      <w:tr w:rsidR="0093006F" w:rsidRPr="00B868A9" w:rsidTr="004258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9" w:type="pct"/>
            <w:tcBorders>
              <w:bottom w:val="single" w:sz="8" w:space="0" w:color="7BA0CD" w:themeColor="accent1" w:themeTint="BF"/>
              <w:right w:val="single" w:sz="8" w:space="0" w:color="7BA0CD" w:themeColor="accent1" w:themeTint="BF"/>
            </w:tcBorders>
            <w:shd w:val="clear" w:color="auto" w:fill="auto"/>
          </w:tcPr>
          <w:p w:rsidR="0093006F" w:rsidRPr="00B868A9" w:rsidRDefault="0093006F" w:rsidP="00425868">
            <w:pPr>
              <w:rPr>
                <w:rFonts w:cs="Arial"/>
                <w:sz w:val="20"/>
                <w:szCs w:val="20"/>
              </w:rPr>
            </w:pPr>
            <w:r w:rsidRPr="00B868A9">
              <w:rPr>
                <w:rFonts w:cs="Arial"/>
                <w:sz w:val="20"/>
                <w:szCs w:val="20"/>
              </w:rPr>
              <w:lastRenderedPageBreak/>
              <w:t>Almonds and almond products</w:t>
            </w:r>
          </w:p>
          <w:p w:rsidR="0093006F" w:rsidRPr="00E35AC5" w:rsidRDefault="0093006F" w:rsidP="00425868">
            <w:pPr>
              <w:spacing w:line="240" w:lineRule="atLeast"/>
              <w:rPr>
                <w:rFonts w:cs="Arial"/>
                <w:b w:val="0"/>
                <w:sz w:val="20"/>
                <w:szCs w:val="20"/>
                <w:u w:val="single"/>
              </w:rPr>
            </w:pPr>
            <w:r w:rsidRPr="00E35AC5">
              <w:rPr>
                <w:rFonts w:cs="Arial"/>
                <w:b w:val="0"/>
                <w:sz w:val="20"/>
                <w:szCs w:val="20"/>
                <w:u w:val="single"/>
              </w:rPr>
              <w:t>Survey 1</w:t>
            </w:r>
          </w:p>
          <w:p w:rsidR="0093006F" w:rsidRPr="00B868A9" w:rsidRDefault="0093006F" w:rsidP="00425868">
            <w:pPr>
              <w:spacing w:line="240" w:lineRule="atLeast"/>
              <w:rPr>
                <w:rFonts w:cs="Arial"/>
                <w:b w:val="0"/>
                <w:sz w:val="20"/>
                <w:szCs w:val="20"/>
              </w:rPr>
            </w:pPr>
            <w:r>
              <w:rPr>
                <w:rFonts w:cs="Arial"/>
                <w:sz w:val="20"/>
                <w:szCs w:val="20"/>
              </w:rPr>
              <w:tab/>
            </w:r>
            <w:r w:rsidRPr="00B868A9">
              <w:rPr>
                <w:rFonts w:cs="Arial"/>
                <w:b w:val="0"/>
                <w:sz w:val="20"/>
                <w:szCs w:val="20"/>
              </w:rPr>
              <w:t xml:space="preserve">Almonds (whole, flaked, ground or </w:t>
            </w:r>
            <w:r>
              <w:rPr>
                <w:rFonts w:cs="Arial"/>
                <w:b w:val="0"/>
                <w:sz w:val="20"/>
                <w:szCs w:val="20"/>
              </w:rPr>
              <w:tab/>
            </w:r>
            <w:r w:rsidRPr="00B868A9">
              <w:rPr>
                <w:rFonts w:cs="Arial"/>
                <w:b w:val="0"/>
                <w:sz w:val="20"/>
                <w:szCs w:val="20"/>
              </w:rPr>
              <w:t>butter)</w:t>
            </w:r>
          </w:p>
          <w:p w:rsidR="0093006F" w:rsidRPr="00B868A9" w:rsidRDefault="0093006F" w:rsidP="00425868">
            <w:pPr>
              <w:spacing w:line="240" w:lineRule="atLeast"/>
              <w:rPr>
                <w:rFonts w:cs="Arial"/>
                <w:b w:val="0"/>
                <w:sz w:val="20"/>
                <w:szCs w:val="20"/>
              </w:rPr>
            </w:pPr>
            <w:r w:rsidRPr="00B868A9">
              <w:rPr>
                <w:rFonts w:cs="Arial"/>
                <w:b w:val="0"/>
                <w:sz w:val="20"/>
                <w:szCs w:val="20"/>
              </w:rPr>
              <w:tab/>
              <w:t>Almond essence</w:t>
            </w:r>
          </w:p>
          <w:p w:rsidR="0093006F" w:rsidRPr="00B868A9" w:rsidRDefault="0093006F" w:rsidP="00425868">
            <w:pPr>
              <w:spacing w:line="240" w:lineRule="atLeast"/>
              <w:rPr>
                <w:rFonts w:cs="Arial"/>
                <w:b w:val="0"/>
                <w:sz w:val="20"/>
                <w:szCs w:val="20"/>
              </w:rPr>
            </w:pPr>
            <w:r w:rsidRPr="00B868A9">
              <w:rPr>
                <w:rFonts w:cs="Arial"/>
                <w:b w:val="0"/>
                <w:sz w:val="20"/>
                <w:szCs w:val="20"/>
              </w:rPr>
              <w:tab/>
              <w:t>Marzipan</w:t>
            </w:r>
          </w:p>
          <w:p w:rsidR="0093006F" w:rsidRPr="00B868A9" w:rsidRDefault="0093006F" w:rsidP="00425868">
            <w:pPr>
              <w:spacing w:line="240" w:lineRule="atLeast"/>
              <w:rPr>
                <w:rFonts w:cs="Arial"/>
                <w:sz w:val="20"/>
                <w:szCs w:val="20"/>
              </w:rPr>
            </w:pPr>
            <w:r w:rsidRPr="00B868A9">
              <w:rPr>
                <w:rFonts w:cs="Arial"/>
                <w:b w:val="0"/>
                <w:sz w:val="20"/>
                <w:szCs w:val="20"/>
              </w:rPr>
              <w:tab/>
              <w:t>Other (almond oil, almond jelly)</w:t>
            </w:r>
          </w:p>
        </w:tc>
        <w:tc>
          <w:tcPr>
            <w:cnfStyle w:val="000010000000" w:firstRow="0" w:lastRow="0" w:firstColumn="0" w:lastColumn="0" w:oddVBand="1" w:evenVBand="0" w:oddHBand="0" w:evenHBand="0" w:firstRowFirstColumn="0" w:firstRowLastColumn="0" w:lastRowFirstColumn="0" w:lastRowLastColumn="0"/>
            <w:tcW w:w="431" w:type="pct"/>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auto"/>
          </w:tcPr>
          <w:p w:rsidR="0093006F" w:rsidRPr="00B868A9" w:rsidRDefault="0093006F" w:rsidP="00425868">
            <w:pPr>
              <w:jc w:val="center"/>
              <w:rPr>
                <w:rFonts w:cs="Arial"/>
                <w:sz w:val="20"/>
                <w:szCs w:val="20"/>
              </w:rPr>
            </w:pPr>
          </w:p>
          <w:p w:rsidR="0093006F" w:rsidRDefault="0093006F" w:rsidP="00425868">
            <w:pPr>
              <w:jc w:val="center"/>
              <w:rPr>
                <w:rFonts w:cs="Arial"/>
                <w:sz w:val="20"/>
                <w:szCs w:val="20"/>
              </w:rPr>
            </w:pPr>
          </w:p>
          <w:p w:rsidR="0093006F" w:rsidRPr="00B868A9" w:rsidRDefault="0093006F" w:rsidP="00425868">
            <w:pPr>
              <w:jc w:val="center"/>
              <w:rPr>
                <w:rFonts w:cs="Arial"/>
                <w:sz w:val="20"/>
                <w:szCs w:val="20"/>
              </w:rPr>
            </w:pPr>
            <w:r w:rsidRPr="00B868A9">
              <w:rPr>
                <w:rFonts w:cs="Arial"/>
                <w:sz w:val="20"/>
                <w:szCs w:val="20"/>
              </w:rPr>
              <w:t>6</w:t>
            </w:r>
          </w:p>
          <w:p w:rsidR="0093006F" w:rsidRPr="00B868A9" w:rsidRDefault="0093006F" w:rsidP="00425868">
            <w:pPr>
              <w:jc w:val="center"/>
              <w:rPr>
                <w:rFonts w:cs="Arial"/>
                <w:sz w:val="20"/>
                <w:szCs w:val="20"/>
              </w:rPr>
            </w:pPr>
          </w:p>
          <w:p w:rsidR="0093006F" w:rsidRPr="00B868A9" w:rsidRDefault="0093006F" w:rsidP="00425868">
            <w:pPr>
              <w:jc w:val="center"/>
              <w:rPr>
                <w:rFonts w:cs="Arial"/>
                <w:sz w:val="20"/>
                <w:szCs w:val="20"/>
              </w:rPr>
            </w:pPr>
            <w:r w:rsidRPr="00B868A9">
              <w:rPr>
                <w:rFonts w:cs="Arial"/>
                <w:sz w:val="20"/>
                <w:szCs w:val="20"/>
              </w:rPr>
              <w:t>3</w:t>
            </w:r>
          </w:p>
          <w:p w:rsidR="0093006F" w:rsidRPr="00B868A9" w:rsidRDefault="0093006F" w:rsidP="00425868">
            <w:pPr>
              <w:jc w:val="center"/>
              <w:rPr>
                <w:rFonts w:cs="Arial"/>
                <w:sz w:val="20"/>
                <w:szCs w:val="20"/>
              </w:rPr>
            </w:pPr>
            <w:r w:rsidRPr="00B868A9">
              <w:rPr>
                <w:rFonts w:cs="Arial"/>
                <w:sz w:val="20"/>
                <w:szCs w:val="20"/>
              </w:rPr>
              <w:t>4</w:t>
            </w:r>
          </w:p>
          <w:p w:rsidR="0093006F" w:rsidRPr="00B868A9" w:rsidRDefault="0093006F" w:rsidP="00425868">
            <w:pPr>
              <w:jc w:val="center"/>
              <w:rPr>
                <w:rFonts w:cs="Arial"/>
                <w:sz w:val="20"/>
                <w:szCs w:val="20"/>
              </w:rPr>
            </w:pPr>
            <w:r w:rsidRPr="00B868A9">
              <w:rPr>
                <w:rFonts w:cs="Arial"/>
                <w:sz w:val="20"/>
                <w:szCs w:val="20"/>
              </w:rPr>
              <w:t>2</w:t>
            </w:r>
          </w:p>
        </w:tc>
        <w:tc>
          <w:tcPr>
            <w:tcW w:w="575" w:type="pct"/>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auto"/>
          </w:tcPr>
          <w:p w:rsidR="0093006F" w:rsidRPr="00B868A9"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p>
          <w:p w:rsidR="0093006F"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p>
          <w:p w:rsidR="0093006F" w:rsidRPr="00B868A9"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B868A9">
              <w:rPr>
                <w:rFonts w:cs="Arial"/>
                <w:sz w:val="20"/>
                <w:szCs w:val="20"/>
              </w:rPr>
              <w:t>3 (50)</w:t>
            </w:r>
          </w:p>
          <w:p w:rsidR="0093006F" w:rsidRPr="00B868A9"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p>
          <w:p w:rsidR="0093006F" w:rsidRPr="00B868A9"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B868A9">
              <w:rPr>
                <w:rFonts w:cs="Arial"/>
                <w:sz w:val="20"/>
                <w:szCs w:val="20"/>
              </w:rPr>
              <w:t>0 (0)</w:t>
            </w:r>
          </w:p>
          <w:p w:rsidR="0093006F" w:rsidRPr="00B868A9"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B868A9">
              <w:rPr>
                <w:rFonts w:cs="Arial"/>
                <w:sz w:val="20"/>
                <w:szCs w:val="20"/>
              </w:rPr>
              <w:t>1 (25)</w:t>
            </w:r>
          </w:p>
          <w:p w:rsidR="0093006F" w:rsidRPr="00B868A9"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B868A9">
              <w:rPr>
                <w:rFonts w:cs="Arial"/>
                <w:sz w:val="20"/>
                <w:szCs w:val="20"/>
              </w:rPr>
              <w:t>0 (0)</w:t>
            </w:r>
          </w:p>
        </w:tc>
        <w:tc>
          <w:tcPr>
            <w:cnfStyle w:val="000010000000" w:firstRow="0" w:lastRow="0" w:firstColumn="0" w:lastColumn="0" w:oddVBand="1" w:evenVBand="0" w:oddHBand="0" w:evenHBand="0" w:firstRowFirstColumn="0" w:firstRowLastColumn="0" w:lastRowFirstColumn="0" w:lastRowLastColumn="0"/>
            <w:tcW w:w="863" w:type="pct"/>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auto"/>
          </w:tcPr>
          <w:p w:rsidR="0093006F" w:rsidRPr="00B868A9" w:rsidRDefault="0093006F" w:rsidP="00425868">
            <w:pPr>
              <w:jc w:val="center"/>
              <w:rPr>
                <w:rFonts w:cs="Arial"/>
                <w:b/>
                <w:sz w:val="20"/>
                <w:szCs w:val="20"/>
              </w:rPr>
            </w:pPr>
          </w:p>
          <w:p w:rsidR="0093006F" w:rsidRDefault="0093006F" w:rsidP="00425868">
            <w:pPr>
              <w:jc w:val="center"/>
              <w:rPr>
                <w:rFonts w:cs="Arial"/>
                <w:b/>
                <w:sz w:val="20"/>
                <w:szCs w:val="20"/>
              </w:rPr>
            </w:pPr>
          </w:p>
          <w:p w:rsidR="0093006F" w:rsidRPr="00B868A9" w:rsidRDefault="0093006F" w:rsidP="00425868">
            <w:pPr>
              <w:jc w:val="center"/>
              <w:rPr>
                <w:rFonts w:cs="Arial"/>
                <w:b/>
                <w:sz w:val="20"/>
                <w:szCs w:val="20"/>
              </w:rPr>
            </w:pPr>
            <w:r w:rsidRPr="00B868A9">
              <w:rPr>
                <w:rFonts w:cs="Arial"/>
                <w:b/>
                <w:sz w:val="20"/>
                <w:szCs w:val="20"/>
              </w:rPr>
              <w:t>8.4 (4.8-12.4)</w:t>
            </w:r>
          </w:p>
          <w:p w:rsidR="0093006F" w:rsidRPr="00B868A9" w:rsidRDefault="0093006F" w:rsidP="00425868">
            <w:pPr>
              <w:jc w:val="center"/>
              <w:rPr>
                <w:rFonts w:cs="Arial"/>
                <w:b/>
                <w:sz w:val="20"/>
                <w:szCs w:val="20"/>
              </w:rPr>
            </w:pPr>
          </w:p>
          <w:p w:rsidR="0093006F" w:rsidRPr="00B868A9" w:rsidRDefault="0093006F" w:rsidP="00425868">
            <w:pPr>
              <w:jc w:val="center"/>
              <w:rPr>
                <w:rFonts w:cs="Arial"/>
                <w:b/>
                <w:sz w:val="20"/>
                <w:szCs w:val="20"/>
              </w:rPr>
            </w:pPr>
            <w:r>
              <w:rPr>
                <w:rFonts w:cs="Arial"/>
                <w:b/>
                <w:sz w:val="20"/>
                <w:szCs w:val="20"/>
              </w:rPr>
              <w:t>-</w:t>
            </w:r>
          </w:p>
          <w:p w:rsidR="0093006F" w:rsidRDefault="0093006F" w:rsidP="00425868">
            <w:pPr>
              <w:jc w:val="center"/>
              <w:rPr>
                <w:rFonts w:cs="Arial"/>
                <w:b/>
                <w:sz w:val="20"/>
                <w:szCs w:val="20"/>
              </w:rPr>
            </w:pPr>
            <w:r w:rsidRPr="00B868A9">
              <w:rPr>
                <w:rFonts w:cs="Arial"/>
                <w:b/>
                <w:sz w:val="20"/>
                <w:szCs w:val="20"/>
              </w:rPr>
              <w:t>5.3</w:t>
            </w:r>
          </w:p>
          <w:p w:rsidR="0093006F" w:rsidRPr="00B868A9" w:rsidRDefault="0093006F" w:rsidP="00425868">
            <w:pPr>
              <w:jc w:val="center"/>
              <w:rPr>
                <w:rFonts w:cs="Arial"/>
                <w:b/>
                <w:sz w:val="20"/>
                <w:szCs w:val="20"/>
              </w:rPr>
            </w:pPr>
            <w:r>
              <w:rPr>
                <w:rFonts w:cs="Arial"/>
                <w:b/>
                <w:sz w:val="20"/>
                <w:szCs w:val="20"/>
              </w:rPr>
              <w:t>-</w:t>
            </w:r>
          </w:p>
        </w:tc>
        <w:tc>
          <w:tcPr>
            <w:tcW w:w="863" w:type="pct"/>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auto"/>
          </w:tcPr>
          <w:p w:rsidR="0093006F" w:rsidRDefault="0093006F" w:rsidP="00425868">
            <w:pPr>
              <w:cnfStyle w:val="000000010000" w:firstRow="0" w:lastRow="0" w:firstColumn="0" w:lastColumn="0" w:oddVBand="0" w:evenVBand="0" w:oddHBand="0" w:evenHBand="1" w:firstRowFirstColumn="0" w:firstRowLastColumn="0" w:lastRowFirstColumn="0" w:lastRowLastColumn="0"/>
              <w:rPr>
                <w:rFonts w:cs="Arial"/>
                <w:sz w:val="16"/>
                <w:szCs w:val="16"/>
              </w:rPr>
            </w:pPr>
          </w:p>
          <w:p w:rsidR="0093006F" w:rsidRDefault="0093006F" w:rsidP="00425868">
            <w:pPr>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Almonds – u</w:t>
            </w:r>
            <w:r w:rsidRPr="00F17236">
              <w:rPr>
                <w:rFonts w:cs="Arial"/>
                <w:sz w:val="16"/>
                <w:szCs w:val="16"/>
              </w:rPr>
              <w:t>sually less than 10</w:t>
            </w:r>
            <w:r>
              <w:rPr>
                <w:rFonts w:cs="Arial"/>
                <w:sz w:val="16"/>
                <w:szCs w:val="16"/>
              </w:rPr>
              <w:t> </w:t>
            </w:r>
            <w:r w:rsidRPr="00F17236">
              <w:rPr>
                <w:rFonts w:cs="Arial"/>
                <w:sz w:val="16"/>
                <w:szCs w:val="16"/>
              </w:rPr>
              <w:t xml:space="preserve">mg/kg </w:t>
            </w:r>
            <w:r>
              <w:rPr>
                <w:rFonts w:cs="Arial"/>
                <w:sz w:val="16"/>
                <w:szCs w:val="16"/>
              </w:rPr>
              <w:t xml:space="preserve">for ‘sweet almonds’ however higher concentrations may occur in some varieties </w:t>
            </w:r>
            <w:r w:rsidRPr="00F17236">
              <w:rPr>
                <w:rFonts w:cs="Arial"/>
                <w:sz w:val="16"/>
                <w:szCs w:val="16"/>
              </w:rPr>
              <w:t>(Karkocha, 1973; EFSA, 2004</w:t>
            </w:r>
            <w:r>
              <w:rPr>
                <w:rFonts w:cs="Arial"/>
                <w:sz w:val="16"/>
                <w:szCs w:val="16"/>
              </w:rPr>
              <w:t>).</w:t>
            </w:r>
          </w:p>
          <w:p w:rsidR="0093006F" w:rsidRDefault="0093006F" w:rsidP="00425868">
            <w:pPr>
              <w:cnfStyle w:val="000000010000" w:firstRow="0" w:lastRow="0" w:firstColumn="0" w:lastColumn="0" w:oddVBand="0" w:evenVBand="0" w:oddHBand="0" w:evenHBand="1" w:firstRowFirstColumn="0" w:firstRowLastColumn="0" w:lastRowFirstColumn="0" w:lastRowLastColumn="0"/>
              <w:rPr>
                <w:rFonts w:cs="Arial"/>
                <w:sz w:val="16"/>
                <w:szCs w:val="16"/>
              </w:rPr>
            </w:pPr>
          </w:p>
          <w:p w:rsidR="0093006F" w:rsidRDefault="0093006F" w:rsidP="00425868">
            <w:pPr>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 xml:space="preserve">Marzipan and other similar products made from apricot kernels – range of 15-50 mg/kg </w:t>
            </w:r>
            <w:r w:rsidRPr="00F17236">
              <w:rPr>
                <w:rFonts w:cs="Arial"/>
                <w:sz w:val="16"/>
                <w:szCs w:val="16"/>
              </w:rPr>
              <w:t>(EFSA, 2004)</w:t>
            </w:r>
            <w:r>
              <w:rPr>
                <w:rFonts w:cs="Arial"/>
                <w:sz w:val="16"/>
                <w:szCs w:val="16"/>
              </w:rPr>
              <w:t>.</w:t>
            </w:r>
          </w:p>
          <w:p w:rsidR="0093006F" w:rsidRPr="00B868A9" w:rsidRDefault="0093006F" w:rsidP="00425868">
            <w:pPr>
              <w:cnfStyle w:val="000000010000" w:firstRow="0" w:lastRow="0" w:firstColumn="0" w:lastColumn="0" w:oddVBand="0" w:evenVBand="0" w:oddHBand="0" w:evenHBand="1" w:firstRowFirstColumn="0" w:firstRowLastColumn="0" w:lastRowFirstColumn="0" w:lastRowLastColumn="0"/>
              <w:rPr>
                <w:rFonts w:cs="Arial"/>
                <w:b/>
                <w:sz w:val="20"/>
                <w:szCs w:val="20"/>
              </w:rPr>
            </w:pPr>
          </w:p>
        </w:tc>
        <w:tc>
          <w:tcPr>
            <w:cnfStyle w:val="000100000000" w:firstRow="0" w:lastRow="0" w:firstColumn="0" w:lastColumn="1" w:oddVBand="0" w:evenVBand="0" w:oddHBand="0" w:evenHBand="0" w:firstRowFirstColumn="0" w:firstRowLastColumn="0" w:lastRowFirstColumn="0" w:lastRowLastColumn="0"/>
            <w:tcW w:w="889" w:type="pct"/>
            <w:tcBorders>
              <w:left w:val="single" w:sz="8" w:space="0" w:color="7BA0CD" w:themeColor="accent1" w:themeTint="BF"/>
              <w:bottom w:val="single" w:sz="8" w:space="0" w:color="7BA0CD" w:themeColor="accent1" w:themeTint="BF"/>
            </w:tcBorders>
            <w:shd w:val="clear" w:color="auto" w:fill="auto"/>
          </w:tcPr>
          <w:p w:rsidR="0093006F" w:rsidRDefault="0093006F" w:rsidP="00425868">
            <w:pPr>
              <w:rPr>
                <w:rFonts w:cs="Arial"/>
                <w:b w:val="0"/>
                <w:sz w:val="16"/>
                <w:szCs w:val="16"/>
              </w:rPr>
            </w:pPr>
          </w:p>
          <w:p w:rsidR="0093006F" w:rsidRPr="00BF1201" w:rsidRDefault="0093006F" w:rsidP="00425868">
            <w:pPr>
              <w:rPr>
                <w:rFonts w:cs="Arial"/>
                <w:b w:val="0"/>
                <w:sz w:val="16"/>
                <w:szCs w:val="16"/>
              </w:rPr>
            </w:pPr>
            <w:r w:rsidRPr="00BF1201">
              <w:rPr>
                <w:rFonts w:cs="Arial"/>
                <w:b w:val="0"/>
                <w:sz w:val="16"/>
                <w:szCs w:val="16"/>
              </w:rPr>
              <w:t>Levels comply with Standard 1.4.1</w:t>
            </w:r>
            <w:r>
              <w:rPr>
                <w:rFonts w:cs="Arial"/>
                <w:b w:val="0"/>
                <w:sz w:val="16"/>
                <w:szCs w:val="16"/>
              </w:rPr>
              <w:t>.</w:t>
            </w:r>
          </w:p>
        </w:tc>
      </w:tr>
      <w:tr w:rsidR="0093006F" w:rsidRPr="00B868A9" w:rsidTr="00425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9" w:type="pct"/>
            <w:tcBorders>
              <w:bottom w:val="single" w:sz="8" w:space="0" w:color="7BA0CD" w:themeColor="accent1" w:themeTint="BF"/>
              <w:right w:val="single" w:sz="8" w:space="0" w:color="7BA0CD" w:themeColor="accent1" w:themeTint="BF"/>
            </w:tcBorders>
            <w:shd w:val="clear" w:color="auto" w:fill="D3DFEE"/>
          </w:tcPr>
          <w:p w:rsidR="0093006F" w:rsidRPr="00B868A9" w:rsidRDefault="0093006F" w:rsidP="00425868">
            <w:pPr>
              <w:rPr>
                <w:rFonts w:cs="Arial"/>
                <w:sz w:val="20"/>
                <w:szCs w:val="20"/>
              </w:rPr>
            </w:pPr>
            <w:r w:rsidRPr="00B868A9">
              <w:rPr>
                <w:rFonts w:cs="Arial"/>
                <w:sz w:val="20"/>
                <w:szCs w:val="20"/>
              </w:rPr>
              <w:t>Apple products</w:t>
            </w:r>
          </w:p>
          <w:p w:rsidR="0093006F" w:rsidRPr="00E35AC5" w:rsidRDefault="0093006F" w:rsidP="00425868">
            <w:pPr>
              <w:spacing w:line="240" w:lineRule="atLeast"/>
              <w:rPr>
                <w:rFonts w:cs="Arial"/>
                <w:b w:val="0"/>
                <w:sz w:val="20"/>
                <w:szCs w:val="20"/>
                <w:u w:val="single"/>
              </w:rPr>
            </w:pPr>
            <w:r w:rsidRPr="00E35AC5">
              <w:rPr>
                <w:rFonts w:cs="Arial"/>
                <w:b w:val="0"/>
                <w:sz w:val="20"/>
                <w:szCs w:val="20"/>
                <w:u w:val="single"/>
              </w:rPr>
              <w:t>Survey 1</w:t>
            </w:r>
          </w:p>
          <w:p w:rsidR="0093006F" w:rsidRPr="00B868A9" w:rsidRDefault="0093006F" w:rsidP="00425868">
            <w:pPr>
              <w:spacing w:line="240" w:lineRule="atLeast"/>
              <w:rPr>
                <w:rFonts w:cs="Arial"/>
                <w:b w:val="0"/>
                <w:sz w:val="20"/>
                <w:szCs w:val="20"/>
              </w:rPr>
            </w:pPr>
            <w:r>
              <w:rPr>
                <w:rFonts w:cs="Arial"/>
                <w:b w:val="0"/>
                <w:sz w:val="20"/>
                <w:szCs w:val="20"/>
              </w:rPr>
              <w:tab/>
            </w:r>
            <w:r w:rsidRPr="00B868A9">
              <w:rPr>
                <w:rFonts w:cs="Arial"/>
                <w:b w:val="0"/>
                <w:sz w:val="20"/>
                <w:szCs w:val="20"/>
              </w:rPr>
              <w:t>Apple juice</w:t>
            </w:r>
          </w:p>
          <w:p w:rsidR="0093006F" w:rsidRPr="00B868A9" w:rsidRDefault="0093006F" w:rsidP="00425868">
            <w:pPr>
              <w:spacing w:line="240" w:lineRule="atLeast"/>
              <w:rPr>
                <w:rFonts w:cs="Arial"/>
                <w:b w:val="0"/>
                <w:sz w:val="20"/>
                <w:szCs w:val="20"/>
              </w:rPr>
            </w:pPr>
            <w:r w:rsidRPr="00B868A9">
              <w:rPr>
                <w:rFonts w:cs="Arial"/>
                <w:b w:val="0"/>
                <w:sz w:val="20"/>
                <w:szCs w:val="20"/>
              </w:rPr>
              <w:tab/>
              <w:t>Apple sauce</w:t>
            </w:r>
          </w:p>
          <w:p w:rsidR="0093006F" w:rsidRDefault="0093006F" w:rsidP="00425868">
            <w:pPr>
              <w:spacing w:line="240" w:lineRule="atLeast"/>
              <w:rPr>
                <w:rFonts w:cs="Arial"/>
                <w:b w:val="0"/>
                <w:sz w:val="20"/>
                <w:szCs w:val="20"/>
              </w:rPr>
            </w:pPr>
            <w:r w:rsidRPr="00B868A9">
              <w:rPr>
                <w:rFonts w:cs="Arial"/>
                <w:b w:val="0"/>
                <w:sz w:val="20"/>
                <w:szCs w:val="20"/>
              </w:rPr>
              <w:tab/>
              <w:t>Apple cider</w:t>
            </w:r>
            <w:r>
              <w:rPr>
                <w:rFonts w:cs="Arial"/>
                <w:b w:val="0"/>
                <w:sz w:val="20"/>
                <w:szCs w:val="20"/>
              </w:rPr>
              <w:t xml:space="preserve"> vinegar</w:t>
            </w:r>
          </w:p>
          <w:p w:rsidR="0093006F" w:rsidRDefault="0093006F" w:rsidP="00425868">
            <w:pPr>
              <w:spacing w:line="240" w:lineRule="atLeast"/>
              <w:rPr>
                <w:rFonts w:cs="Arial"/>
                <w:b w:val="0"/>
                <w:sz w:val="20"/>
                <w:szCs w:val="20"/>
                <w:u w:val="single"/>
              </w:rPr>
            </w:pPr>
          </w:p>
          <w:p w:rsidR="0093006F" w:rsidRDefault="0093006F" w:rsidP="00425868">
            <w:pPr>
              <w:spacing w:line="240" w:lineRule="atLeast"/>
              <w:rPr>
                <w:rFonts w:cs="Arial"/>
                <w:b w:val="0"/>
                <w:sz w:val="20"/>
                <w:szCs w:val="20"/>
                <w:u w:val="single"/>
              </w:rPr>
            </w:pPr>
            <w:r>
              <w:rPr>
                <w:rFonts w:cs="Arial"/>
                <w:b w:val="0"/>
                <w:sz w:val="20"/>
                <w:szCs w:val="20"/>
                <w:u w:val="single"/>
              </w:rPr>
              <w:t>Survey 2</w:t>
            </w:r>
          </w:p>
          <w:p w:rsidR="0093006F" w:rsidRPr="00AF6322" w:rsidRDefault="0093006F" w:rsidP="00425868">
            <w:pPr>
              <w:spacing w:line="240" w:lineRule="atLeast"/>
              <w:rPr>
                <w:rFonts w:cs="Arial"/>
                <w:b w:val="0"/>
                <w:sz w:val="20"/>
                <w:szCs w:val="20"/>
              </w:rPr>
            </w:pPr>
            <w:r>
              <w:rPr>
                <w:rFonts w:cs="Arial"/>
                <w:b w:val="0"/>
                <w:sz w:val="20"/>
                <w:szCs w:val="20"/>
              </w:rPr>
              <w:tab/>
              <w:t>Apple juice</w:t>
            </w:r>
          </w:p>
          <w:p w:rsidR="0093006F" w:rsidRDefault="0093006F" w:rsidP="00425868">
            <w:pPr>
              <w:spacing w:line="240" w:lineRule="atLeast"/>
              <w:rPr>
                <w:rFonts w:cs="Arial"/>
                <w:b w:val="0"/>
                <w:sz w:val="20"/>
                <w:szCs w:val="20"/>
                <w:u w:val="single"/>
              </w:rPr>
            </w:pPr>
          </w:p>
          <w:p w:rsidR="0093006F" w:rsidRDefault="0093006F" w:rsidP="00425868">
            <w:pPr>
              <w:spacing w:line="240" w:lineRule="atLeast"/>
              <w:rPr>
                <w:rFonts w:cs="Arial"/>
                <w:b w:val="0"/>
                <w:sz w:val="20"/>
                <w:szCs w:val="20"/>
                <w:u w:val="single"/>
              </w:rPr>
            </w:pPr>
            <w:r w:rsidRPr="00E35AC5">
              <w:rPr>
                <w:rFonts w:cs="Arial"/>
                <w:b w:val="0"/>
                <w:sz w:val="20"/>
                <w:szCs w:val="20"/>
                <w:u w:val="single"/>
              </w:rPr>
              <w:t xml:space="preserve">Survey </w:t>
            </w:r>
            <w:r>
              <w:rPr>
                <w:rFonts w:cs="Arial"/>
                <w:b w:val="0"/>
                <w:sz w:val="20"/>
                <w:szCs w:val="20"/>
                <w:u w:val="single"/>
              </w:rPr>
              <w:t>3</w:t>
            </w:r>
          </w:p>
          <w:p w:rsidR="0093006F" w:rsidRPr="002916C3" w:rsidRDefault="0093006F" w:rsidP="00425868">
            <w:pPr>
              <w:spacing w:line="240" w:lineRule="atLeast"/>
              <w:rPr>
                <w:rFonts w:cs="Arial"/>
                <w:b w:val="0"/>
                <w:sz w:val="20"/>
                <w:szCs w:val="20"/>
              </w:rPr>
            </w:pPr>
            <w:r>
              <w:rPr>
                <w:rFonts w:cs="Arial"/>
                <w:b w:val="0"/>
                <w:sz w:val="20"/>
                <w:szCs w:val="20"/>
              </w:rPr>
              <w:tab/>
              <w:t>Infant apple puree</w:t>
            </w:r>
          </w:p>
        </w:tc>
        <w:tc>
          <w:tcPr>
            <w:cnfStyle w:val="000010000000" w:firstRow="0" w:lastRow="0" w:firstColumn="0" w:lastColumn="0" w:oddVBand="1" w:evenVBand="0" w:oddHBand="0" w:evenHBand="0" w:firstRowFirstColumn="0" w:firstRowLastColumn="0" w:lastRowFirstColumn="0" w:lastRowLastColumn="0"/>
            <w:tcW w:w="431" w:type="pct"/>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D3DFEE"/>
          </w:tcPr>
          <w:p w:rsidR="0093006F" w:rsidRPr="00B868A9" w:rsidRDefault="0093006F" w:rsidP="00425868">
            <w:pPr>
              <w:jc w:val="center"/>
              <w:rPr>
                <w:rFonts w:cs="Arial"/>
                <w:sz w:val="20"/>
                <w:szCs w:val="20"/>
              </w:rPr>
            </w:pPr>
          </w:p>
          <w:p w:rsidR="0093006F" w:rsidRDefault="0093006F" w:rsidP="00425868">
            <w:pPr>
              <w:jc w:val="center"/>
              <w:rPr>
                <w:rFonts w:cs="Arial"/>
                <w:sz w:val="20"/>
                <w:szCs w:val="20"/>
              </w:rPr>
            </w:pPr>
          </w:p>
          <w:p w:rsidR="0093006F" w:rsidRPr="00B868A9" w:rsidRDefault="0093006F" w:rsidP="00425868">
            <w:pPr>
              <w:jc w:val="center"/>
              <w:rPr>
                <w:rFonts w:cs="Arial"/>
                <w:sz w:val="20"/>
                <w:szCs w:val="20"/>
              </w:rPr>
            </w:pPr>
            <w:r w:rsidRPr="00B868A9">
              <w:rPr>
                <w:rFonts w:cs="Arial"/>
                <w:sz w:val="20"/>
                <w:szCs w:val="20"/>
              </w:rPr>
              <w:t>8</w:t>
            </w:r>
          </w:p>
          <w:p w:rsidR="0093006F" w:rsidRPr="00B868A9" w:rsidRDefault="0093006F" w:rsidP="00425868">
            <w:pPr>
              <w:jc w:val="center"/>
              <w:rPr>
                <w:rFonts w:cs="Arial"/>
                <w:sz w:val="20"/>
                <w:szCs w:val="20"/>
              </w:rPr>
            </w:pPr>
            <w:r w:rsidRPr="00B868A9">
              <w:rPr>
                <w:rFonts w:cs="Arial"/>
                <w:sz w:val="20"/>
                <w:szCs w:val="20"/>
              </w:rPr>
              <w:t>3</w:t>
            </w:r>
          </w:p>
          <w:p w:rsidR="0093006F" w:rsidRDefault="0093006F" w:rsidP="00425868">
            <w:pPr>
              <w:jc w:val="center"/>
              <w:rPr>
                <w:rFonts w:cs="Arial"/>
                <w:sz w:val="20"/>
                <w:szCs w:val="20"/>
              </w:rPr>
            </w:pPr>
            <w:r w:rsidRPr="00B868A9">
              <w:rPr>
                <w:rFonts w:cs="Arial"/>
                <w:sz w:val="20"/>
                <w:szCs w:val="20"/>
              </w:rPr>
              <w:t>1</w:t>
            </w:r>
          </w:p>
          <w:p w:rsidR="0093006F" w:rsidRDefault="0093006F" w:rsidP="00425868">
            <w:pPr>
              <w:jc w:val="center"/>
              <w:rPr>
                <w:rFonts w:cs="Arial"/>
                <w:sz w:val="20"/>
                <w:szCs w:val="20"/>
              </w:rPr>
            </w:pPr>
          </w:p>
          <w:p w:rsidR="0093006F" w:rsidRDefault="0093006F" w:rsidP="00425868">
            <w:pPr>
              <w:jc w:val="center"/>
              <w:rPr>
                <w:rFonts w:cs="Arial"/>
                <w:sz w:val="20"/>
                <w:szCs w:val="20"/>
              </w:rPr>
            </w:pPr>
          </w:p>
          <w:p w:rsidR="0093006F" w:rsidRDefault="0093006F" w:rsidP="00425868">
            <w:pPr>
              <w:jc w:val="center"/>
              <w:rPr>
                <w:rFonts w:cs="Arial"/>
                <w:sz w:val="20"/>
                <w:szCs w:val="20"/>
              </w:rPr>
            </w:pPr>
            <w:r>
              <w:rPr>
                <w:rFonts w:cs="Arial"/>
                <w:sz w:val="20"/>
                <w:szCs w:val="20"/>
              </w:rPr>
              <w:t>108</w:t>
            </w:r>
          </w:p>
          <w:p w:rsidR="0093006F" w:rsidRDefault="0093006F" w:rsidP="00425868">
            <w:pPr>
              <w:jc w:val="center"/>
              <w:rPr>
                <w:rFonts w:cs="Arial"/>
                <w:sz w:val="20"/>
                <w:szCs w:val="20"/>
              </w:rPr>
            </w:pPr>
          </w:p>
          <w:p w:rsidR="0093006F" w:rsidRDefault="0093006F" w:rsidP="00425868">
            <w:pPr>
              <w:jc w:val="center"/>
              <w:rPr>
                <w:rFonts w:cs="Arial"/>
                <w:sz w:val="20"/>
                <w:szCs w:val="20"/>
              </w:rPr>
            </w:pPr>
          </w:p>
          <w:p w:rsidR="0093006F" w:rsidRPr="00B868A9" w:rsidRDefault="0093006F" w:rsidP="00425868">
            <w:pPr>
              <w:jc w:val="center"/>
              <w:rPr>
                <w:rFonts w:cs="Arial"/>
                <w:sz w:val="20"/>
                <w:szCs w:val="20"/>
              </w:rPr>
            </w:pPr>
            <w:r>
              <w:rPr>
                <w:rFonts w:cs="Arial"/>
                <w:sz w:val="20"/>
                <w:szCs w:val="20"/>
              </w:rPr>
              <w:t>8</w:t>
            </w:r>
          </w:p>
        </w:tc>
        <w:tc>
          <w:tcPr>
            <w:tcW w:w="575" w:type="pct"/>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D3DFEE"/>
          </w:tcPr>
          <w:p w:rsidR="0093006F" w:rsidRPr="00B868A9"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rsidR="0093006F"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rsidR="0093006F" w:rsidRPr="00B868A9"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868A9">
              <w:rPr>
                <w:rFonts w:cs="Arial"/>
                <w:sz w:val="20"/>
                <w:szCs w:val="20"/>
              </w:rPr>
              <w:t>1 (13)</w:t>
            </w:r>
          </w:p>
          <w:p w:rsidR="0093006F" w:rsidRPr="00B868A9"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868A9">
              <w:rPr>
                <w:rFonts w:cs="Arial"/>
                <w:sz w:val="20"/>
                <w:szCs w:val="20"/>
              </w:rPr>
              <w:t>2 (66)</w:t>
            </w:r>
          </w:p>
          <w:p w:rsidR="0093006F"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868A9">
              <w:rPr>
                <w:rFonts w:cs="Arial"/>
                <w:sz w:val="20"/>
                <w:szCs w:val="20"/>
              </w:rPr>
              <w:t>0 (0)</w:t>
            </w:r>
          </w:p>
          <w:p w:rsidR="0093006F"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rsidR="0093006F"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rsidR="0093006F"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4 (4)</w:t>
            </w:r>
          </w:p>
          <w:p w:rsidR="0093006F"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rsidR="0093006F"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rsidR="0093006F"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 (0)</w:t>
            </w:r>
          </w:p>
          <w:p w:rsidR="0093006F" w:rsidRPr="00B868A9"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863" w:type="pct"/>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D3DFEE"/>
          </w:tcPr>
          <w:p w:rsidR="0093006F" w:rsidRPr="00B868A9" w:rsidRDefault="0093006F" w:rsidP="00425868">
            <w:pPr>
              <w:jc w:val="center"/>
              <w:rPr>
                <w:rFonts w:cs="Arial"/>
                <w:b/>
                <w:sz w:val="20"/>
                <w:szCs w:val="20"/>
              </w:rPr>
            </w:pPr>
          </w:p>
          <w:p w:rsidR="0093006F" w:rsidRDefault="0093006F" w:rsidP="00425868">
            <w:pPr>
              <w:jc w:val="center"/>
              <w:rPr>
                <w:rFonts w:cs="Arial"/>
                <w:b/>
                <w:sz w:val="20"/>
                <w:szCs w:val="20"/>
              </w:rPr>
            </w:pPr>
          </w:p>
          <w:p w:rsidR="0093006F" w:rsidRPr="00B868A9" w:rsidRDefault="0093006F" w:rsidP="00425868">
            <w:pPr>
              <w:jc w:val="center"/>
              <w:rPr>
                <w:rFonts w:cs="Arial"/>
                <w:b/>
                <w:sz w:val="20"/>
                <w:szCs w:val="20"/>
              </w:rPr>
            </w:pPr>
            <w:r w:rsidRPr="00B868A9">
              <w:rPr>
                <w:rFonts w:cs="Arial"/>
                <w:b/>
                <w:sz w:val="20"/>
                <w:szCs w:val="20"/>
              </w:rPr>
              <w:t>5.4</w:t>
            </w:r>
          </w:p>
          <w:p w:rsidR="0093006F" w:rsidRDefault="0093006F" w:rsidP="00425868">
            <w:pPr>
              <w:jc w:val="center"/>
              <w:rPr>
                <w:rFonts w:cs="Arial"/>
                <w:b/>
                <w:sz w:val="20"/>
                <w:szCs w:val="20"/>
              </w:rPr>
            </w:pPr>
            <w:r w:rsidRPr="00B868A9">
              <w:rPr>
                <w:rFonts w:cs="Arial"/>
                <w:b/>
                <w:sz w:val="20"/>
                <w:szCs w:val="20"/>
              </w:rPr>
              <w:t>3.9 (3.6-4.</w:t>
            </w:r>
            <w:r>
              <w:rPr>
                <w:rFonts w:cs="Arial"/>
                <w:b/>
                <w:sz w:val="20"/>
                <w:szCs w:val="20"/>
              </w:rPr>
              <w:t>1</w:t>
            </w:r>
            <w:r w:rsidRPr="00B868A9">
              <w:rPr>
                <w:rFonts w:cs="Arial"/>
                <w:b/>
                <w:sz w:val="20"/>
                <w:szCs w:val="20"/>
              </w:rPr>
              <w:t>)</w:t>
            </w:r>
          </w:p>
          <w:p w:rsidR="0093006F" w:rsidRDefault="0093006F" w:rsidP="00425868">
            <w:pPr>
              <w:jc w:val="center"/>
              <w:rPr>
                <w:rFonts w:cs="Arial"/>
                <w:b/>
                <w:sz w:val="20"/>
                <w:szCs w:val="20"/>
              </w:rPr>
            </w:pPr>
            <w:r>
              <w:rPr>
                <w:rFonts w:cs="Arial"/>
                <w:b/>
                <w:sz w:val="20"/>
                <w:szCs w:val="20"/>
              </w:rPr>
              <w:t>-</w:t>
            </w:r>
          </w:p>
          <w:p w:rsidR="0093006F" w:rsidRDefault="0093006F" w:rsidP="00425868">
            <w:pPr>
              <w:jc w:val="center"/>
              <w:rPr>
                <w:rFonts w:cs="Arial"/>
                <w:b/>
                <w:sz w:val="20"/>
                <w:szCs w:val="20"/>
              </w:rPr>
            </w:pPr>
          </w:p>
          <w:p w:rsidR="0093006F" w:rsidRDefault="0093006F" w:rsidP="00425868">
            <w:pPr>
              <w:jc w:val="center"/>
              <w:rPr>
                <w:rFonts w:cs="Arial"/>
                <w:b/>
                <w:sz w:val="20"/>
                <w:szCs w:val="20"/>
              </w:rPr>
            </w:pPr>
          </w:p>
          <w:p w:rsidR="0093006F" w:rsidRDefault="0093006F" w:rsidP="00425868">
            <w:pPr>
              <w:jc w:val="center"/>
              <w:rPr>
                <w:rFonts w:cs="Arial"/>
                <w:b/>
                <w:sz w:val="20"/>
                <w:szCs w:val="20"/>
              </w:rPr>
            </w:pPr>
            <w:r>
              <w:rPr>
                <w:rFonts w:cs="Arial"/>
                <w:b/>
                <w:sz w:val="20"/>
                <w:szCs w:val="20"/>
              </w:rPr>
              <w:t>2.6 (1.5-4.2)</w:t>
            </w:r>
          </w:p>
          <w:p w:rsidR="0093006F" w:rsidRDefault="0093006F" w:rsidP="00425868">
            <w:pPr>
              <w:jc w:val="center"/>
              <w:rPr>
                <w:rFonts w:cs="Arial"/>
                <w:b/>
                <w:sz w:val="20"/>
                <w:szCs w:val="20"/>
              </w:rPr>
            </w:pPr>
          </w:p>
          <w:p w:rsidR="0093006F" w:rsidRDefault="0093006F" w:rsidP="00425868">
            <w:pPr>
              <w:jc w:val="center"/>
              <w:rPr>
                <w:rFonts w:cs="Arial"/>
                <w:b/>
                <w:sz w:val="20"/>
                <w:szCs w:val="20"/>
              </w:rPr>
            </w:pPr>
          </w:p>
          <w:p w:rsidR="0093006F" w:rsidRPr="00B868A9" w:rsidRDefault="0093006F" w:rsidP="00425868">
            <w:pPr>
              <w:jc w:val="center"/>
              <w:rPr>
                <w:rFonts w:cs="Arial"/>
                <w:b/>
                <w:sz w:val="20"/>
                <w:szCs w:val="20"/>
              </w:rPr>
            </w:pPr>
            <w:r>
              <w:rPr>
                <w:rFonts w:cs="Arial"/>
                <w:b/>
                <w:sz w:val="20"/>
                <w:szCs w:val="20"/>
              </w:rPr>
              <w:t>-</w:t>
            </w:r>
          </w:p>
        </w:tc>
        <w:tc>
          <w:tcPr>
            <w:tcW w:w="863" w:type="pct"/>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D3DFEE"/>
          </w:tcPr>
          <w:p w:rsidR="0093006F" w:rsidRDefault="0093006F" w:rsidP="00425868">
            <w:pPr>
              <w:cnfStyle w:val="000000100000" w:firstRow="0" w:lastRow="0" w:firstColumn="0" w:lastColumn="0" w:oddVBand="0" w:evenVBand="0" w:oddHBand="1" w:evenHBand="0" w:firstRowFirstColumn="0" w:firstRowLastColumn="0" w:lastRowFirstColumn="0" w:lastRowLastColumn="0"/>
              <w:rPr>
                <w:rFonts w:cs="Arial"/>
                <w:sz w:val="16"/>
                <w:szCs w:val="16"/>
              </w:rPr>
            </w:pPr>
          </w:p>
          <w:p w:rsidR="0093006F" w:rsidRDefault="0093006F" w:rsidP="00425868">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A</w:t>
            </w:r>
            <w:r w:rsidRPr="00BF1201">
              <w:rPr>
                <w:rFonts w:cs="Arial"/>
                <w:sz w:val="16"/>
                <w:szCs w:val="16"/>
              </w:rPr>
              <w:t>pple seeds</w:t>
            </w:r>
            <w:r>
              <w:rPr>
                <w:rFonts w:cs="Arial"/>
                <w:sz w:val="16"/>
                <w:szCs w:val="16"/>
              </w:rPr>
              <w:t xml:space="preserve"> – r</w:t>
            </w:r>
            <w:r w:rsidRPr="00BF1201">
              <w:rPr>
                <w:rFonts w:cs="Arial"/>
                <w:sz w:val="16"/>
                <w:szCs w:val="16"/>
              </w:rPr>
              <w:t xml:space="preserve">ange </w:t>
            </w:r>
            <w:r>
              <w:rPr>
                <w:rFonts w:cs="Arial"/>
                <w:sz w:val="16"/>
                <w:szCs w:val="16"/>
              </w:rPr>
              <w:t xml:space="preserve">of </w:t>
            </w:r>
            <w:r w:rsidRPr="00BF1201">
              <w:rPr>
                <w:rFonts w:cs="Arial"/>
                <w:sz w:val="16"/>
                <w:szCs w:val="16"/>
              </w:rPr>
              <w:t>566-690</w:t>
            </w:r>
            <w:r>
              <w:rPr>
                <w:rFonts w:cs="Arial"/>
                <w:sz w:val="16"/>
                <w:szCs w:val="16"/>
              </w:rPr>
              <w:t> </w:t>
            </w:r>
            <w:r w:rsidRPr="00BF1201">
              <w:rPr>
                <w:rFonts w:cs="Arial"/>
                <w:sz w:val="16"/>
                <w:szCs w:val="16"/>
              </w:rPr>
              <w:t>mg/kg (Haque and Bradbury, 2002; Holzbecher, 1984</w:t>
            </w:r>
            <w:r>
              <w:rPr>
                <w:rFonts w:cs="Arial"/>
                <w:sz w:val="16"/>
                <w:szCs w:val="16"/>
              </w:rPr>
              <w:t>;</w:t>
            </w:r>
            <w:r w:rsidRPr="00BF1201">
              <w:rPr>
                <w:rFonts w:cs="Arial"/>
                <w:sz w:val="16"/>
                <w:szCs w:val="16"/>
              </w:rPr>
              <w:t xml:space="preserve"> WHO, 2012)</w:t>
            </w:r>
            <w:r>
              <w:rPr>
                <w:rFonts w:cs="Arial"/>
                <w:sz w:val="16"/>
                <w:szCs w:val="16"/>
              </w:rPr>
              <w:t>.</w:t>
            </w:r>
          </w:p>
          <w:p w:rsidR="0093006F" w:rsidRDefault="0093006F" w:rsidP="00425868">
            <w:pPr>
              <w:cnfStyle w:val="000000100000" w:firstRow="0" w:lastRow="0" w:firstColumn="0" w:lastColumn="0" w:oddVBand="0" w:evenVBand="0" w:oddHBand="1" w:evenHBand="0" w:firstRowFirstColumn="0" w:firstRowLastColumn="0" w:lastRowFirstColumn="0" w:lastRowLastColumn="0"/>
              <w:rPr>
                <w:rFonts w:cs="Arial"/>
                <w:sz w:val="16"/>
                <w:szCs w:val="16"/>
              </w:rPr>
            </w:pPr>
          </w:p>
          <w:p w:rsidR="0093006F" w:rsidRPr="00FF6DEF" w:rsidRDefault="0093006F" w:rsidP="00425868">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FF6DEF">
              <w:rPr>
                <w:rFonts w:cs="Arial"/>
                <w:sz w:val="16"/>
                <w:szCs w:val="16"/>
              </w:rPr>
              <w:t>There does not appear to be any published data on the total HCN content of apple juice or apple sauce.</w:t>
            </w:r>
          </w:p>
          <w:p w:rsidR="0093006F" w:rsidRDefault="0093006F" w:rsidP="00425868">
            <w:pPr>
              <w:cnfStyle w:val="000000100000" w:firstRow="0" w:lastRow="0" w:firstColumn="0" w:lastColumn="0" w:oddVBand="0" w:evenVBand="0" w:oddHBand="1" w:evenHBand="0" w:firstRowFirstColumn="0" w:firstRowLastColumn="0" w:lastRowFirstColumn="0" w:lastRowLastColumn="0"/>
              <w:rPr>
                <w:rFonts w:cs="Arial"/>
                <w:sz w:val="16"/>
                <w:szCs w:val="16"/>
              </w:rPr>
            </w:pPr>
          </w:p>
          <w:p w:rsidR="0093006F" w:rsidRPr="00BF1201" w:rsidRDefault="0093006F" w:rsidP="00425868">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100000000" w:firstRow="0" w:lastRow="0" w:firstColumn="0" w:lastColumn="1" w:oddVBand="0" w:evenVBand="0" w:oddHBand="0" w:evenHBand="0" w:firstRowFirstColumn="0" w:firstRowLastColumn="0" w:lastRowFirstColumn="0" w:lastRowLastColumn="0"/>
            <w:tcW w:w="889" w:type="pct"/>
            <w:tcBorders>
              <w:left w:val="single" w:sz="8" w:space="0" w:color="7BA0CD" w:themeColor="accent1" w:themeTint="BF"/>
              <w:bottom w:val="single" w:sz="8" w:space="0" w:color="7BA0CD" w:themeColor="accent1" w:themeTint="BF"/>
            </w:tcBorders>
            <w:shd w:val="clear" w:color="auto" w:fill="D3DFEE"/>
          </w:tcPr>
          <w:p w:rsidR="0093006F" w:rsidRDefault="0093006F" w:rsidP="00425868">
            <w:pPr>
              <w:rPr>
                <w:rFonts w:cs="Arial"/>
                <w:b w:val="0"/>
                <w:sz w:val="16"/>
                <w:szCs w:val="16"/>
              </w:rPr>
            </w:pPr>
          </w:p>
          <w:p w:rsidR="0093006F" w:rsidRPr="00B868A9" w:rsidRDefault="0093006F" w:rsidP="00425868">
            <w:pPr>
              <w:rPr>
                <w:rFonts w:cs="Arial"/>
                <w:b w:val="0"/>
                <w:sz w:val="20"/>
                <w:szCs w:val="20"/>
              </w:rPr>
            </w:pPr>
            <w:r>
              <w:rPr>
                <w:rFonts w:cs="Arial"/>
                <w:b w:val="0"/>
                <w:sz w:val="16"/>
                <w:szCs w:val="16"/>
              </w:rPr>
              <w:t>N</w:t>
            </w:r>
            <w:r w:rsidRPr="00F17236">
              <w:rPr>
                <w:rFonts w:cs="Arial"/>
                <w:b w:val="0"/>
                <w:sz w:val="16"/>
                <w:szCs w:val="16"/>
              </w:rPr>
              <w:t xml:space="preserve">o </w:t>
            </w:r>
            <w:r>
              <w:rPr>
                <w:rFonts w:cs="Arial"/>
                <w:b w:val="0"/>
                <w:sz w:val="16"/>
                <w:szCs w:val="16"/>
              </w:rPr>
              <w:t>standards established.</w:t>
            </w:r>
          </w:p>
        </w:tc>
      </w:tr>
      <w:tr w:rsidR="0093006F" w:rsidRPr="00B868A9" w:rsidTr="004258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9" w:type="pct"/>
            <w:tcBorders>
              <w:bottom w:val="single" w:sz="8" w:space="0" w:color="7BA0CD" w:themeColor="accent1" w:themeTint="BF"/>
              <w:right w:val="single" w:sz="8" w:space="0" w:color="7BA0CD" w:themeColor="accent1" w:themeTint="BF"/>
            </w:tcBorders>
            <w:shd w:val="clear" w:color="auto" w:fill="auto"/>
          </w:tcPr>
          <w:p w:rsidR="0093006F" w:rsidRPr="00B868A9" w:rsidRDefault="0093006F" w:rsidP="00425868">
            <w:pPr>
              <w:rPr>
                <w:rFonts w:cs="Arial"/>
                <w:sz w:val="20"/>
                <w:szCs w:val="20"/>
              </w:rPr>
            </w:pPr>
            <w:r w:rsidRPr="00B868A9">
              <w:rPr>
                <w:rFonts w:cs="Arial"/>
                <w:sz w:val="20"/>
                <w:szCs w:val="20"/>
              </w:rPr>
              <w:t>Linseed/flaxseed and products</w:t>
            </w:r>
          </w:p>
          <w:p w:rsidR="0093006F" w:rsidRPr="00E35AC5" w:rsidRDefault="0093006F" w:rsidP="00425868">
            <w:pPr>
              <w:spacing w:line="240" w:lineRule="atLeast"/>
              <w:rPr>
                <w:rFonts w:cs="Arial"/>
                <w:b w:val="0"/>
                <w:sz w:val="20"/>
                <w:szCs w:val="20"/>
                <w:u w:val="single"/>
              </w:rPr>
            </w:pPr>
            <w:r w:rsidRPr="00E35AC5">
              <w:rPr>
                <w:rFonts w:cs="Arial"/>
                <w:b w:val="0"/>
                <w:sz w:val="20"/>
                <w:szCs w:val="20"/>
                <w:u w:val="single"/>
              </w:rPr>
              <w:t>Survey 1</w:t>
            </w:r>
          </w:p>
          <w:p w:rsidR="0093006F" w:rsidRPr="00B868A9" w:rsidRDefault="0093006F" w:rsidP="00425868">
            <w:pPr>
              <w:spacing w:line="240" w:lineRule="atLeast"/>
              <w:rPr>
                <w:rFonts w:cs="Arial"/>
                <w:b w:val="0"/>
                <w:sz w:val="20"/>
                <w:szCs w:val="20"/>
              </w:rPr>
            </w:pPr>
            <w:r>
              <w:rPr>
                <w:rFonts w:cs="Arial"/>
                <w:b w:val="0"/>
                <w:sz w:val="20"/>
                <w:szCs w:val="20"/>
              </w:rPr>
              <w:tab/>
            </w:r>
            <w:r w:rsidRPr="00B868A9">
              <w:rPr>
                <w:rFonts w:cs="Arial"/>
                <w:b w:val="0"/>
                <w:sz w:val="20"/>
                <w:szCs w:val="20"/>
              </w:rPr>
              <w:t>Linseed</w:t>
            </w:r>
            <w:r>
              <w:rPr>
                <w:rFonts w:cs="Arial"/>
                <w:b w:val="0"/>
                <w:sz w:val="20"/>
                <w:szCs w:val="20"/>
              </w:rPr>
              <w:t xml:space="preserve"> </w:t>
            </w:r>
            <w:r w:rsidRPr="00B868A9">
              <w:rPr>
                <w:rFonts w:cs="Arial"/>
                <w:b w:val="0"/>
                <w:sz w:val="20"/>
                <w:szCs w:val="20"/>
              </w:rPr>
              <w:t>(whole or meal)</w:t>
            </w:r>
          </w:p>
          <w:p w:rsidR="0093006F" w:rsidRPr="00B868A9" w:rsidRDefault="0093006F" w:rsidP="00425868">
            <w:pPr>
              <w:spacing w:line="240" w:lineRule="atLeast"/>
              <w:rPr>
                <w:rFonts w:cs="Arial"/>
                <w:b w:val="0"/>
                <w:sz w:val="20"/>
                <w:szCs w:val="20"/>
              </w:rPr>
            </w:pPr>
            <w:r>
              <w:rPr>
                <w:rFonts w:cs="Arial"/>
                <w:b w:val="0"/>
                <w:sz w:val="20"/>
                <w:szCs w:val="20"/>
              </w:rPr>
              <w:tab/>
            </w:r>
            <w:r w:rsidRPr="00B868A9">
              <w:rPr>
                <w:rFonts w:cs="Arial"/>
                <w:b w:val="0"/>
                <w:sz w:val="20"/>
                <w:szCs w:val="20"/>
              </w:rPr>
              <w:t>LSA</w:t>
            </w:r>
            <w:r>
              <w:rPr>
                <w:rFonts w:cs="Arial"/>
                <w:b w:val="0"/>
                <w:sz w:val="20"/>
                <w:szCs w:val="20"/>
                <w:vertAlign w:val="superscript"/>
              </w:rPr>
              <w:t>^</w:t>
            </w:r>
          </w:p>
          <w:p w:rsidR="0093006F" w:rsidRPr="00B868A9" w:rsidRDefault="0093006F" w:rsidP="00425868">
            <w:pPr>
              <w:spacing w:line="240" w:lineRule="atLeast"/>
              <w:rPr>
                <w:rFonts w:cs="Arial"/>
                <w:b w:val="0"/>
                <w:sz w:val="20"/>
                <w:szCs w:val="20"/>
              </w:rPr>
            </w:pPr>
            <w:r>
              <w:rPr>
                <w:rFonts w:cs="Arial"/>
                <w:b w:val="0"/>
                <w:sz w:val="20"/>
                <w:szCs w:val="20"/>
              </w:rPr>
              <w:tab/>
              <w:t>Bread containing linseed</w:t>
            </w:r>
          </w:p>
          <w:p w:rsidR="0093006F" w:rsidRDefault="0093006F" w:rsidP="00425868">
            <w:pPr>
              <w:spacing w:line="240" w:lineRule="atLeast"/>
              <w:rPr>
                <w:rFonts w:cs="Arial"/>
                <w:b w:val="0"/>
                <w:sz w:val="20"/>
                <w:szCs w:val="20"/>
              </w:rPr>
            </w:pPr>
            <w:r>
              <w:rPr>
                <w:rFonts w:cs="Arial"/>
                <w:b w:val="0"/>
                <w:sz w:val="20"/>
                <w:szCs w:val="20"/>
              </w:rPr>
              <w:tab/>
              <w:t>Flaxseed and LSA oil</w:t>
            </w:r>
          </w:p>
          <w:p w:rsidR="0093006F" w:rsidRDefault="0093006F" w:rsidP="00425868">
            <w:pPr>
              <w:spacing w:line="240" w:lineRule="atLeast"/>
              <w:rPr>
                <w:rFonts w:cs="Arial"/>
                <w:b w:val="0"/>
                <w:sz w:val="20"/>
                <w:szCs w:val="20"/>
              </w:rPr>
            </w:pPr>
          </w:p>
          <w:p w:rsidR="0093006F" w:rsidRDefault="0093006F" w:rsidP="00425868">
            <w:pPr>
              <w:spacing w:line="240" w:lineRule="atLeast"/>
              <w:rPr>
                <w:rFonts w:cs="Arial"/>
                <w:b w:val="0"/>
                <w:sz w:val="20"/>
                <w:szCs w:val="20"/>
                <w:u w:val="single"/>
              </w:rPr>
            </w:pPr>
            <w:r w:rsidRPr="00AF6322">
              <w:rPr>
                <w:rFonts w:cs="Arial"/>
                <w:b w:val="0"/>
                <w:sz w:val="20"/>
                <w:szCs w:val="20"/>
                <w:u w:val="single"/>
              </w:rPr>
              <w:t>Survey 3</w:t>
            </w:r>
          </w:p>
          <w:p w:rsidR="0093006F" w:rsidRPr="00AF6322" w:rsidRDefault="0093006F" w:rsidP="00425868">
            <w:pPr>
              <w:spacing w:line="240" w:lineRule="atLeast"/>
              <w:rPr>
                <w:rFonts w:cs="Arial"/>
                <w:sz w:val="20"/>
                <w:szCs w:val="20"/>
              </w:rPr>
            </w:pPr>
            <w:r>
              <w:rPr>
                <w:rFonts w:cs="Arial"/>
                <w:b w:val="0"/>
                <w:sz w:val="20"/>
                <w:szCs w:val="20"/>
              </w:rPr>
              <w:tab/>
              <w:t>Bread containing linseed</w:t>
            </w:r>
          </w:p>
        </w:tc>
        <w:tc>
          <w:tcPr>
            <w:cnfStyle w:val="000010000000" w:firstRow="0" w:lastRow="0" w:firstColumn="0" w:lastColumn="0" w:oddVBand="1" w:evenVBand="0" w:oddHBand="0" w:evenHBand="0" w:firstRowFirstColumn="0" w:firstRowLastColumn="0" w:lastRowFirstColumn="0" w:lastRowLastColumn="0"/>
            <w:tcW w:w="431" w:type="pct"/>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auto"/>
          </w:tcPr>
          <w:p w:rsidR="0093006F" w:rsidRPr="00B868A9" w:rsidRDefault="0093006F" w:rsidP="00425868">
            <w:pPr>
              <w:jc w:val="center"/>
              <w:rPr>
                <w:rFonts w:cs="Arial"/>
                <w:sz w:val="20"/>
                <w:szCs w:val="20"/>
              </w:rPr>
            </w:pPr>
          </w:p>
          <w:p w:rsidR="0093006F" w:rsidRDefault="0093006F" w:rsidP="00425868">
            <w:pPr>
              <w:jc w:val="center"/>
              <w:rPr>
                <w:rFonts w:cs="Arial"/>
                <w:sz w:val="20"/>
                <w:szCs w:val="20"/>
              </w:rPr>
            </w:pPr>
          </w:p>
          <w:p w:rsidR="0093006F" w:rsidRPr="00B868A9" w:rsidRDefault="0093006F" w:rsidP="00425868">
            <w:pPr>
              <w:jc w:val="center"/>
              <w:rPr>
                <w:rFonts w:cs="Arial"/>
                <w:sz w:val="20"/>
                <w:szCs w:val="20"/>
              </w:rPr>
            </w:pPr>
            <w:r w:rsidRPr="00B868A9">
              <w:rPr>
                <w:rFonts w:cs="Arial"/>
                <w:sz w:val="20"/>
                <w:szCs w:val="20"/>
              </w:rPr>
              <w:t>5</w:t>
            </w:r>
          </w:p>
          <w:p w:rsidR="0093006F" w:rsidRPr="00B868A9" w:rsidRDefault="0093006F" w:rsidP="00425868">
            <w:pPr>
              <w:jc w:val="center"/>
              <w:rPr>
                <w:rFonts w:cs="Arial"/>
                <w:sz w:val="20"/>
                <w:szCs w:val="20"/>
              </w:rPr>
            </w:pPr>
            <w:r w:rsidRPr="00B868A9">
              <w:rPr>
                <w:rFonts w:cs="Arial"/>
                <w:sz w:val="20"/>
                <w:szCs w:val="20"/>
              </w:rPr>
              <w:t>2</w:t>
            </w:r>
          </w:p>
          <w:p w:rsidR="0093006F" w:rsidRPr="00B868A9" w:rsidRDefault="0093006F" w:rsidP="00425868">
            <w:pPr>
              <w:jc w:val="center"/>
              <w:rPr>
                <w:rFonts w:cs="Arial"/>
                <w:sz w:val="20"/>
                <w:szCs w:val="20"/>
              </w:rPr>
            </w:pPr>
            <w:r w:rsidRPr="00B868A9">
              <w:rPr>
                <w:rFonts w:cs="Arial"/>
                <w:sz w:val="20"/>
                <w:szCs w:val="20"/>
              </w:rPr>
              <w:t>3</w:t>
            </w:r>
          </w:p>
          <w:p w:rsidR="0093006F" w:rsidRDefault="0093006F" w:rsidP="00425868">
            <w:pPr>
              <w:jc w:val="center"/>
              <w:rPr>
                <w:rFonts w:cs="Arial"/>
                <w:sz w:val="20"/>
                <w:szCs w:val="20"/>
              </w:rPr>
            </w:pPr>
            <w:r w:rsidRPr="00B868A9">
              <w:rPr>
                <w:rFonts w:cs="Arial"/>
                <w:sz w:val="20"/>
                <w:szCs w:val="20"/>
              </w:rPr>
              <w:t>3</w:t>
            </w:r>
          </w:p>
          <w:p w:rsidR="0093006F" w:rsidRDefault="0093006F" w:rsidP="00425868">
            <w:pPr>
              <w:jc w:val="center"/>
              <w:rPr>
                <w:rFonts w:cs="Arial"/>
                <w:sz w:val="20"/>
                <w:szCs w:val="20"/>
              </w:rPr>
            </w:pPr>
          </w:p>
          <w:p w:rsidR="0093006F" w:rsidRDefault="0093006F" w:rsidP="00425868">
            <w:pPr>
              <w:jc w:val="center"/>
              <w:rPr>
                <w:rFonts w:cs="Arial"/>
                <w:sz w:val="20"/>
                <w:szCs w:val="20"/>
              </w:rPr>
            </w:pPr>
          </w:p>
          <w:p w:rsidR="0093006F" w:rsidRPr="00B868A9" w:rsidRDefault="0093006F" w:rsidP="00425868">
            <w:pPr>
              <w:jc w:val="center"/>
              <w:rPr>
                <w:rFonts w:cs="Arial"/>
                <w:sz w:val="20"/>
                <w:szCs w:val="20"/>
              </w:rPr>
            </w:pPr>
            <w:r>
              <w:rPr>
                <w:rFonts w:cs="Arial"/>
                <w:sz w:val="20"/>
                <w:szCs w:val="20"/>
              </w:rPr>
              <w:t>3</w:t>
            </w:r>
          </w:p>
        </w:tc>
        <w:tc>
          <w:tcPr>
            <w:tcW w:w="575" w:type="pct"/>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auto"/>
          </w:tcPr>
          <w:p w:rsidR="0093006F" w:rsidRPr="00B868A9"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p>
          <w:p w:rsidR="0093006F"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p>
          <w:p w:rsidR="0093006F" w:rsidRPr="00B868A9"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B868A9">
              <w:rPr>
                <w:rFonts w:cs="Arial"/>
                <w:sz w:val="20"/>
                <w:szCs w:val="20"/>
              </w:rPr>
              <w:t>5 (100)</w:t>
            </w:r>
          </w:p>
          <w:p w:rsidR="0093006F" w:rsidRPr="00B868A9"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B868A9">
              <w:rPr>
                <w:rFonts w:cs="Arial"/>
                <w:sz w:val="20"/>
                <w:szCs w:val="20"/>
              </w:rPr>
              <w:t>2 (100)</w:t>
            </w:r>
          </w:p>
          <w:p w:rsidR="0093006F" w:rsidRPr="00B868A9"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B868A9">
              <w:rPr>
                <w:rFonts w:cs="Arial"/>
                <w:sz w:val="20"/>
                <w:szCs w:val="20"/>
              </w:rPr>
              <w:t>3 (100)</w:t>
            </w:r>
          </w:p>
          <w:p w:rsidR="0093006F"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B868A9">
              <w:rPr>
                <w:rFonts w:cs="Arial"/>
                <w:sz w:val="20"/>
                <w:szCs w:val="20"/>
              </w:rPr>
              <w:t>0 (0)</w:t>
            </w:r>
          </w:p>
          <w:p w:rsidR="0093006F"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p>
          <w:p w:rsidR="0093006F"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p>
          <w:p w:rsidR="0093006F" w:rsidRPr="00B868A9"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3 (100)</w:t>
            </w:r>
          </w:p>
        </w:tc>
        <w:tc>
          <w:tcPr>
            <w:cnfStyle w:val="000010000000" w:firstRow="0" w:lastRow="0" w:firstColumn="0" w:lastColumn="0" w:oddVBand="1" w:evenVBand="0" w:oddHBand="0" w:evenHBand="0" w:firstRowFirstColumn="0" w:firstRowLastColumn="0" w:lastRowFirstColumn="0" w:lastRowLastColumn="0"/>
            <w:tcW w:w="863" w:type="pct"/>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auto"/>
          </w:tcPr>
          <w:p w:rsidR="0093006F" w:rsidRPr="00B868A9" w:rsidRDefault="0093006F" w:rsidP="00425868">
            <w:pPr>
              <w:jc w:val="center"/>
              <w:rPr>
                <w:rFonts w:cs="Arial"/>
                <w:b/>
                <w:sz w:val="20"/>
                <w:szCs w:val="20"/>
              </w:rPr>
            </w:pPr>
          </w:p>
          <w:p w:rsidR="0093006F" w:rsidRDefault="0093006F" w:rsidP="00425868">
            <w:pPr>
              <w:jc w:val="center"/>
              <w:rPr>
                <w:rFonts w:cs="Arial"/>
                <w:b/>
                <w:sz w:val="20"/>
                <w:szCs w:val="20"/>
              </w:rPr>
            </w:pPr>
          </w:p>
          <w:p w:rsidR="0093006F" w:rsidRPr="00B868A9" w:rsidRDefault="0093006F" w:rsidP="00425868">
            <w:pPr>
              <w:jc w:val="center"/>
              <w:rPr>
                <w:rFonts w:cs="Arial"/>
                <w:b/>
                <w:sz w:val="20"/>
                <w:szCs w:val="20"/>
              </w:rPr>
            </w:pPr>
            <w:r w:rsidRPr="00B868A9">
              <w:rPr>
                <w:rFonts w:cs="Arial"/>
                <w:b/>
                <w:sz w:val="20"/>
                <w:szCs w:val="20"/>
              </w:rPr>
              <w:t>127 (91-178)</w:t>
            </w:r>
          </w:p>
          <w:p w:rsidR="0093006F" w:rsidRPr="00B868A9" w:rsidRDefault="0093006F" w:rsidP="00425868">
            <w:pPr>
              <w:jc w:val="center"/>
              <w:rPr>
                <w:rFonts w:cs="Arial"/>
                <w:b/>
                <w:sz w:val="20"/>
                <w:szCs w:val="20"/>
              </w:rPr>
            </w:pPr>
            <w:r>
              <w:rPr>
                <w:rFonts w:cs="Arial"/>
                <w:b/>
                <w:sz w:val="20"/>
                <w:szCs w:val="20"/>
              </w:rPr>
              <w:t>58</w:t>
            </w:r>
            <w:r w:rsidRPr="00B868A9">
              <w:rPr>
                <w:rFonts w:cs="Arial"/>
                <w:b/>
                <w:sz w:val="20"/>
                <w:szCs w:val="20"/>
              </w:rPr>
              <w:t xml:space="preserve"> (55-6</w:t>
            </w:r>
            <w:r>
              <w:rPr>
                <w:rFonts w:cs="Arial"/>
                <w:b/>
                <w:sz w:val="20"/>
                <w:szCs w:val="20"/>
              </w:rPr>
              <w:t>0</w:t>
            </w:r>
            <w:r w:rsidRPr="00B868A9">
              <w:rPr>
                <w:rFonts w:cs="Arial"/>
                <w:b/>
                <w:sz w:val="20"/>
                <w:szCs w:val="20"/>
              </w:rPr>
              <w:t>)</w:t>
            </w:r>
          </w:p>
          <w:p w:rsidR="0093006F" w:rsidRDefault="0093006F" w:rsidP="00425868">
            <w:pPr>
              <w:jc w:val="center"/>
              <w:rPr>
                <w:rFonts w:cs="Arial"/>
                <w:b/>
                <w:sz w:val="20"/>
                <w:szCs w:val="20"/>
              </w:rPr>
            </w:pPr>
            <w:r w:rsidRPr="00B868A9">
              <w:rPr>
                <w:rFonts w:cs="Arial"/>
                <w:b/>
                <w:sz w:val="20"/>
                <w:szCs w:val="20"/>
              </w:rPr>
              <w:t>9.0 (5.4-12.6)</w:t>
            </w:r>
          </w:p>
          <w:p w:rsidR="0093006F" w:rsidRDefault="0093006F" w:rsidP="00425868">
            <w:pPr>
              <w:jc w:val="center"/>
              <w:rPr>
                <w:rFonts w:cs="Arial"/>
                <w:b/>
                <w:sz w:val="20"/>
                <w:szCs w:val="20"/>
              </w:rPr>
            </w:pPr>
            <w:r>
              <w:rPr>
                <w:rFonts w:cs="Arial"/>
                <w:b/>
                <w:sz w:val="20"/>
                <w:szCs w:val="20"/>
              </w:rPr>
              <w:t>-</w:t>
            </w:r>
          </w:p>
          <w:p w:rsidR="0093006F" w:rsidRDefault="0093006F" w:rsidP="00425868">
            <w:pPr>
              <w:jc w:val="center"/>
              <w:rPr>
                <w:rFonts w:cs="Arial"/>
                <w:b/>
                <w:sz w:val="20"/>
                <w:szCs w:val="20"/>
              </w:rPr>
            </w:pPr>
          </w:p>
          <w:p w:rsidR="0093006F" w:rsidRDefault="0093006F" w:rsidP="00425868">
            <w:pPr>
              <w:jc w:val="center"/>
              <w:rPr>
                <w:rFonts w:cs="Arial"/>
                <w:b/>
                <w:sz w:val="20"/>
                <w:szCs w:val="20"/>
              </w:rPr>
            </w:pPr>
          </w:p>
          <w:p w:rsidR="0093006F" w:rsidRDefault="0093006F" w:rsidP="00425868">
            <w:pPr>
              <w:jc w:val="center"/>
              <w:rPr>
                <w:rFonts w:cs="Arial"/>
                <w:b/>
                <w:sz w:val="20"/>
                <w:szCs w:val="20"/>
              </w:rPr>
            </w:pPr>
            <w:r w:rsidRPr="00AF6322">
              <w:rPr>
                <w:rFonts w:cs="Arial"/>
                <w:b/>
                <w:sz w:val="20"/>
                <w:szCs w:val="20"/>
              </w:rPr>
              <w:t>37 (30-49)</w:t>
            </w:r>
          </w:p>
          <w:p w:rsidR="0093006F" w:rsidRPr="00B868A9" w:rsidRDefault="0093006F" w:rsidP="00425868">
            <w:pPr>
              <w:jc w:val="center"/>
              <w:rPr>
                <w:rFonts w:cs="Arial"/>
                <w:b/>
                <w:sz w:val="20"/>
                <w:szCs w:val="20"/>
              </w:rPr>
            </w:pPr>
          </w:p>
        </w:tc>
        <w:tc>
          <w:tcPr>
            <w:tcW w:w="863" w:type="pct"/>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auto"/>
          </w:tcPr>
          <w:p w:rsidR="0093006F" w:rsidRDefault="0093006F" w:rsidP="00425868">
            <w:pPr>
              <w:cnfStyle w:val="000000010000" w:firstRow="0" w:lastRow="0" w:firstColumn="0" w:lastColumn="0" w:oddVBand="0" w:evenVBand="0" w:oddHBand="0" w:evenHBand="1" w:firstRowFirstColumn="0" w:firstRowLastColumn="0" w:lastRowFirstColumn="0" w:lastRowLastColumn="0"/>
              <w:rPr>
                <w:rFonts w:cs="Arial"/>
                <w:sz w:val="16"/>
                <w:szCs w:val="16"/>
              </w:rPr>
            </w:pPr>
          </w:p>
          <w:p w:rsidR="0093006F" w:rsidRDefault="0093006F" w:rsidP="00425868">
            <w:pPr>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Linseed and LSA – results consistent (but generally at the low end)</w:t>
            </w:r>
            <w:r w:rsidRPr="00F43C09">
              <w:rPr>
                <w:rFonts w:cs="Arial"/>
                <w:sz w:val="16"/>
                <w:szCs w:val="16"/>
              </w:rPr>
              <w:t xml:space="preserve"> </w:t>
            </w:r>
            <w:r>
              <w:rPr>
                <w:rFonts w:cs="Arial"/>
                <w:sz w:val="16"/>
                <w:szCs w:val="16"/>
              </w:rPr>
              <w:t xml:space="preserve">with </w:t>
            </w:r>
            <w:r w:rsidRPr="00F43C09">
              <w:rPr>
                <w:rFonts w:cs="Arial"/>
                <w:sz w:val="16"/>
                <w:szCs w:val="16"/>
              </w:rPr>
              <w:t xml:space="preserve">previous published material </w:t>
            </w:r>
            <w:r>
              <w:rPr>
                <w:rFonts w:cs="Arial"/>
                <w:sz w:val="16"/>
                <w:szCs w:val="16"/>
              </w:rPr>
              <w:t>for</w:t>
            </w:r>
            <w:r w:rsidRPr="00F43C09">
              <w:rPr>
                <w:rFonts w:cs="Arial"/>
                <w:sz w:val="16"/>
                <w:szCs w:val="16"/>
              </w:rPr>
              <w:t xml:space="preserve"> linseed/flaxseed (Haque and Bradbury, 2002; Kobaisy et al, 1996; WHO, 2012)</w:t>
            </w:r>
            <w:r>
              <w:rPr>
                <w:rFonts w:cs="Arial"/>
                <w:sz w:val="16"/>
                <w:szCs w:val="16"/>
              </w:rPr>
              <w:t>.</w:t>
            </w:r>
          </w:p>
          <w:p w:rsidR="0093006F" w:rsidRDefault="0093006F" w:rsidP="00425868">
            <w:pPr>
              <w:cnfStyle w:val="000000010000" w:firstRow="0" w:lastRow="0" w:firstColumn="0" w:lastColumn="0" w:oddVBand="0" w:evenVBand="0" w:oddHBand="0" w:evenHBand="1" w:firstRowFirstColumn="0" w:firstRowLastColumn="0" w:lastRowFirstColumn="0" w:lastRowLastColumn="0"/>
              <w:rPr>
                <w:rFonts w:cs="Arial"/>
                <w:sz w:val="16"/>
                <w:szCs w:val="16"/>
              </w:rPr>
            </w:pPr>
          </w:p>
          <w:p w:rsidR="0093006F" w:rsidRDefault="0093006F" w:rsidP="00425868">
            <w:pPr>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Bread containing linseed – 9 mg/kg (WHO, 2012).</w:t>
            </w:r>
          </w:p>
          <w:p w:rsidR="0093006F" w:rsidRDefault="0093006F" w:rsidP="00425868">
            <w:pPr>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 xml:space="preserve">Results </w:t>
            </w:r>
            <w:r w:rsidRPr="00F43C09">
              <w:rPr>
                <w:rFonts w:cs="Arial"/>
                <w:sz w:val="16"/>
                <w:szCs w:val="16"/>
              </w:rPr>
              <w:t xml:space="preserve">consistent with the stated linseed content of the breads and the </w:t>
            </w:r>
            <w:r>
              <w:rPr>
                <w:rFonts w:cs="Arial"/>
                <w:sz w:val="16"/>
                <w:szCs w:val="16"/>
              </w:rPr>
              <w:t xml:space="preserve">HCN </w:t>
            </w:r>
            <w:r w:rsidRPr="00F43C09">
              <w:rPr>
                <w:rFonts w:cs="Arial"/>
                <w:sz w:val="16"/>
                <w:szCs w:val="16"/>
              </w:rPr>
              <w:t>concentrations in linseed</w:t>
            </w:r>
            <w:r>
              <w:rPr>
                <w:rFonts w:cs="Arial"/>
                <w:sz w:val="16"/>
                <w:szCs w:val="16"/>
              </w:rPr>
              <w:t xml:space="preserve"> for each country. </w:t>
            </w:r>
          </w:p>
          <w:p w:rsidR="00AB24BD" w:rsidRDefault="00AB24BD" w:rsidP="00425868">
            <w:pPr>
              <w:cnfStyle w:val="000000010000" w:firstRow="0" w:lastRow="0" w:firstColumn="0" w:lastColumn="0" w:oddVBand="0" w:evenVBand="0" w:oddHBand="0" w:evenHBand="1" w:firstRowFirstColumn="0" w:firstRowLastColumn="0" w:lastRowFirstColumn="0" w:lastRowLastColumn="0"/>
              <w:rPr>
                <w:rFonts w:cs="Arial"/>
                <w:sz w:val="16"/>
                <w:szCs w:val="16"/>
              </w:rPr>
            </w:pPr>
          </w:p>
          <w:p w:rsidR="00AB24BD" w:rsidRDefault="00AB24BD" w:rsidP="00425868">
            <w:pPr>
              <w:cnfStyle w:val="000000010000" w:firstRow="0" w:lastRow="0" w:firstColumn="0" w:lastColumn="0" w:oddVBand="0" w:evenVBand="0" w:oddHBand="0" w:evenHBand="1" w:firstRowFirstColumn="0" w:firstRowLastColumn="0" w:lastRowFirstColumn="0" w:lastRowLastColumn="0"/>
              <w:rPr>
                <w:rFonts w:cs="Arial"/>
                <w:sz w:val="16"/>
                <w:szCs w:val="16"/>
              </w:rPr>
            </w:pPr>
          </w:p>
          <w:p w:rsidR="0093006F" w:rsidRPr="00F43C09" w:rsidRDefault="0093006F" w:rsidP="00425868">
            <w:pPr>
              <w:cnfStyle w:val="000000010000" w:firstRow="0" w:lastRow="0" w:firstColumn="0" w:lastColumn="0" w:oddVBand="0" w:evenVBand="0" w:oddHBand="0" w:evenHBand="1" w:firstRowFirstColumn="0" w:firstRowLastColumn="0" w:lastRowFirstColumn="0" w:lastRowLastColumn="0"/>
              <w:rPr>
                <w:rFonts w:cs="Arial"/>
                <w:sz w:val="16"/>
                <w:szCs w:val="16"/>
              </w:rPr>
            </w:pPr>
          </w:p>
        </w:tc>
        <w:tc>
          <w:tcPr>
            <w:cnfStyle w:val="000100000000" w:firstRow="0" w:lastRow="0" w:firstColumn="0" w:lastColumn="1" w:oddVBand="0" w:evenVBand="0" w:oddHBand="0" w:evenHBand="0" w:firstRowFirstColumn="0" w:firstRowLastColumn="0" w:lastRowFirstColumn="0" w:lastRowLastColumn="0"/>
            <w:tcW w:w="889" w:type="pct"/>
            <w:tcBorders>
              <w:left w:val="single" w:sz="8" w:space="0" w:color="7BA0CD" w:themeColor="accent1" w:themeTint="BF"/>
              <w:bottom w:val="single" w:sz="8" w:space="0" w:color="7BA0CD" w:themeColor="accent1" w:themeTint="BF"/>
            </w:tcBorders>
            <w:shd w:val="clear" w:color="auto" w:fill="auto"/>
          </w:tcPr>
          <w:p w:rsidR="0093006F" w:rsidRDefault="0093006F" w:rsidP="00425868">
            <w:pPr>
              <w:rPr>
                <w:rFonts w:cs="Arial"/>
                <w:b w:val="0"/>
                <w:sz w:val="16"/>
                <w:szCs w:val="16"/>
              </w:rPr>
            </w:pPr>
          </w:p>
          <w:p w:rsidR="0093006F" w:rsidRPr="00B868A9" w:rsidRDefault="0093006F" w:rsidP="00425868">
            <w:pPr>
              <w:rPr>
                <w:rFonts w:cs="Arial"/>
                <w:b w:val="0"/>
                <w:sz w:val="20"/>
                <w:szCs w:val="20"/>
              </w:rPr>
            </w:pPr>
            <w:r>
              <w:rPr>
                <w:rFonts w:cs="Arial"/>
                <w:b w:val="0"/>
                <w:sz w:val="16"/>
                <w:szCs w:val="16"/>
              </w:rPr>
              <w:t>N</w:t>
            </w:r>
            <w:r w:rsidRPr="00F17236">
              <w:rPr>
                <w:rFonts w:cs="Arial"/>
                <w:b w:val="0"/>
                <w:sz w:val="16"/>
                <w:szCs w:val="16"/>
              </w:rPr>
              <w:t xml:space="preserve">o </w:t>
            </w:r>
            <w:r>
              <w:rPr>
                <w:rFonts w:cs="Arial"/>
                <w:b w:val="0"/>
                <w:sz w:val="16"/>
                <w:szCs w:val="16"/>
              </w:rPr>
              <w:t>standards established.</w:t>
            </w:r>
          </w:p>
        </w:tc>
      </w:tr>
      <w:tr w:rsidR="0093006F" w:rsidRPr="00B868A9" w:rsidTr="00132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9" w:type="pct"/>
            <w:tcBorders>
              <w:bottom w:val="single" w:sz="8" w:space="0" w:color="7BA0CD" w:themeColor="accent1" w:themeTint="BF"/>
              <w:right w:val="single" w:sz="8" w:space="0" w:color="7BA0CD" w:themeColor="accent1" w:themeTint="BF"/>
            </w:tcBorders>
            <w:shd w:val="clear" w:color="auto" w:fill="D3DFEE"/>
          </w:tcPr>
          <w:p w:rsidR="0093006F" w:rsidRPr="00B868A9" w:rsidRDefault="0093006F" w:rsidP="00425868">
            <w:pPr>
              <w:rPr>
                <w:rFonts w:cs="Arial"/>
                <w:sz w:val="20"/>
                <w:szCs w:val="20"/>
              </w:rPr>
            </w:pPr>
            <w:r w:rsidRPr="00B868A9">
              <w:rPr>
                <w:rFonts w:cs="Arial"/>
                <w:sz w:val="20"/>
                <w:szCs w:val="20"/>
              </w:rPr>
              <w:lastRenderedPageBreak/>
              <w:t>Stone fruit products</w:t>
            </w:r>
          </w:p>
          <w:p w:rsidR="0093006F" w:rsidRPr="00E35AC5" w:rsidRDefault="0093006F" w:rsidP="00425868">
            <w:pPr>
              <w:spacing w:line="240" w:lineRule="atLeast"/>
              <w:rPr>
                <w:rFonts w:cs="Arial"/>
                <w:b w:val="0"/>
                <w:sz w:val="20"/>
                <w:szCs w:val="20"/>
                <w:u w:val="single"/>
              </w:rPr>
            </w:pPr>
            <w:r w:rsidRPr="00E35AC5">
              <w:rPr>
                <w:rFonts w:cs="Arial"/>
                <w:b w:val="0"/>
                <w:sz w:val="20"/>
                <w:szCs w:val="20"/>
                <w:u w:val="single"/>
              </w:rPr>
              <w:t>Survey 1</w:t>
            </w:r>
          </w:p>
          <w:p w:rsidR="0093006F" w:rsidRPr="00B868A9" w:rsidRDefault="0093006F" w:rsidP="00425868">
            <w:pPr>
              <w:spacing w:line="240" w:lineRule="atLeast"/>
              <w:rPr>
                <w:rFonts w:cs="Arial"/>
                <w:b w:val="0"/>
                <w:sz w:val="20"/>
                <w:szCs w:val="20"/>
              </w:rPr>
            </w:pPr>
            <w:r>
              <w:rPr>
                <w:rFonts w:cs="Arial"/>
                <w:b w:val="0"/>
                <w:sz w:val="20"/>
                <w:szCs w:val="20"/>
              </w:rPr>
              <w:tab/>
            </w:r>
            <w:r w:rsidRPr="00B868A9">
              <w:rPr>
                <w:rFonts w:cs="Arial"/>
                <w:b w:val="0"/>
                <w:sz w:val="20"/>
                <w:szCs w:val="20"/>
              </w:rPr>
              <w:t>Canned apricots</w:t>
            </w:r>
          </w:p>
          <w:p w:rsidR="0093006F" w:rsidRPr="00B868A9" w:rsidRDefault="0093006F" w:rsidP="00425868">
            <w:pPr>
              <w:spacing w:line="240" w:lineRule="atLeast"/>
              <w:rPr>
                <w:rFonts w:cs="Arial"/>
                <w:b w:val="0"/>
                <w:sz w:val="20"/>
                <w:szCs w:val="20"/>
              </w:rPr>
            </w:pPr>
            <w:r>
              <w:rPr>
                <w:rFonts w:cs="Arial"/>
                <w:b w:val="0"/>
                <w:sz w:val="20"/>
                <w:szCs w:val="20"/>
              </w:rPr>
              <w:tab/>
            </w:r>
            <w:r w:rsidRPr="00B868A9">
              <w:rPr>
                <w:rFonts w:cs="Arial"/>
                <w:b w:val="0"/>
                <w:sz w:val="20"/>
                <w:szCs w:val="20"/>
              </w:rPr>
              <w:t>Prune or cherry juice</w:t>
            </w:r>
          </w:p>
          <w:p w:rsidR="0093006F" w:rsidRDefault="0093006F" w:rsidP="00425868">
            <w:pPr>
              <w:spacing w:line="240" w:lineRule="atLeast"/>
              <w:rPr>
                <w:rFonts w:cs="Arial"/>
                <w:b w:val="0"/>
                <w:sz w:val="20"/>
                <w:szCs w:val="20"/>
              </w:rPr>
            </w:pPr>
            <w:r>
              <w:rPr>
                <w:rFonts w:cs="Arial"/>
                <w:b w:val="0"/>
                <w:sz w:val="20"/>
                <w:szCs w:val="20"/>
              </w:rPr>
              <w:tab/>
            </w:r>
            <w:r w:rsidRPr="00B868A9">
              <w:rPr>
                <w:rFonts w:cs="Arial"/>
                <w:b w:val="0"/>
                <w:sz w:val="20"/>
                <w:szCs w:val="20"/>
              </w:rPr>
              <w:t>Cherry brandy/liqueur</w:t>
            </w:r>
          </w:p>
          <w:p w:rsidR="0093006F" w:rsidRDefault="0093006F" w:rsidP="00425868">
            <w:pPr>
              <w:spacing w:line="240" w:lineRule="atLeast"/>
              <w:rPr>
                <w:rFonts w:cs="Arial"/>
                <w:b w:val="0"/>
                <w:sz w:val="20"/>
                <w:szCs w:val="20"/>
              </w:rPr>
            </w:pPr>
          </w:p>
          <w:p w:rsidR="0093006F" w:rsidRPr="00613FEF" w:rsidRDefault="0093006F" w:rsidP="00425868">
            <w:pPr>
              <w:spacing w:line="240" w:lineRule="atLeast"/>
              <w:rPr>
                <w:rFonts w:cs="Arial"/>
                <w:b w:val="0"/>
                <w:sz w:val="20"/>
                <w:szCs w:val="20"/>
                <w:u w:val="single"/>
              </w:rPr>
            </w:pPr>
            <w:r w:rsidRPr="00613FEF">
              <w:rPr>
                <w:rFonts w:cs="Arial"/>
                <w:b w:val="0"/>
                <w:sz w:val="20"/>
                <w:szCs w:val="20"/>
                <w:u w:val="single"/>
              </w:rPr>
              <w:t>Survey 3</w:t>
            </w:r>
          </w:p>
          <w:p w:rsidR="0093006F" w:rsidRPr="00613FEF" w:rsidRDefault="0093006F" w:rsidP="00425868">
            <w:pPr>
              <w:spacing w:line="240" w:lineRule="atLeast"/>
              <w:rPr>
                <w:rFonts w:cs="Arial"/>
                <w:b w:val="0"/>
                <w:sz w:val="20"/>
                <w:szCs w:val="20"/>
              </w:rPr>
            </w:pPr>
            <w:r>
              <w:rPr>
                <w:rFonts w:cs="Arial"/>
                <w:b w:val="0"/>
                <w:sz w:val="20"/>
                <w:szCs w:val="20"/>
              </w:rPr>
              <w:tab/>
            </w:r>
            <w:r w:rsidRPr="00613FEF">
              <w:rPr>
                <w:rFonts w:cs="Arial"/>
                <w:b w:val="0"/>
                <w:sz w:val="20"/>
                <w:szCs w:val="20"/>
              </w:rPr>
              <w:t>Apricot jam</w:t>
            </w:r>
            <w:r w:rsidRPr="007A1813">
              <w:rPr>
                <w:rFonts w:cs="Arial"/>
                <w:b w:val="0"/>
                <w:sz w:val="20"/>
                <w:szCs w:val="20"/>
                <w:vertAlign w:val="superscript"/>
              </w:rPr>
              <w:t>~</w:t>
            </w:r>
          </w:p>
          <w:p w:rsidR="0093006F" w:rsidRPr="00B868A9" w:rsidRDefault="0093006F" w:rsidP="00425868">
            <w:pPr>
              <w:spacing w:line="240" w:lineRule="atLeast"/>
              <w:rPr>
                <w:rFonts w:cs="Arial"/>
                <w:sz w:val="20"/>
                <w:szCs w:val="20"/>
              </w:rPr>
            </w:pPr>
            <w:r w:rsidRPr="00613FEF">
              <w:rPr>
                <w:rFonts w:cs="Arial"/>
                <w:b w:val="0"/>
                <w:sz w:val="20"/>
                <w:szCs w:val="20"/>
              </w:rPr>
              <w:tab/>
              <w:t>Apricot nectar</w:t>
            </w:r>
            <w:r w:rsidRPr="00613FEF">
              <w:rPr>
                <w:rFonts w:cs="Arial"/>
                <w:b w:val="0"/>
                <w:sz w:val="20"/>
                <w:szCs w:val="20"/>
              </w:rPr>
              <w:tab/>
            </w:r>
          </w:p>
        </w:tc>
        <w:tc>
          <w:tcPr>
            <w:cnfStyle w:val="000010000000" w:firstRow="0" w:lastRow="0" w:firstColumn="0" w:lastColumn="0" w:oddVBand="1" w:evenVBand="0" w:oddHBand="0" w:evenHBand="0" w:firstRowFirstColumn="0" w:firstRowLastColumn="0" w:lastRowFirstColumn="0" w:lastRowLastColumn="0"/>
            <w:tcW w:w="431" w:type="pct"/>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D3DFEE"/>
          </w:tcPr>
          <w:p w:rsidR="0093006F" w:rsidRPr="00B868A9" w:rsidRDefault="0093006F" w:rsidP="00425868">
            <w:pPr>
              <w:jc w:val="center"/>
              <w:rPr>
                <w:rFonts w:cs="Arial"/>
                <w:sz w:val="20"/>
                <w:szCs w:val="20"/>
              </w:rPr>
            </w:pPr>
          </w:p>
          <w:p w:rsidR="0093006F" w:rsidRDefault="0093006F" w:rsidP="00425868">
            <w:pPr>
              <w:jc w:val="center"/>
              <w:rPr>
                <w:rFonts w:cs="Arial"/>
                <w:sz w:val="20"/>
                <w:szCs w:val="20"/>
              </w:rPr>
            </w:pPr>
          </w:p>
          <w:p w:rsidR="0093006F" w:rsidRPr="00B868A9" w:rsidRDefault="0093006F" w:rsidP="00425868">
            <w:pPr>
              <w:jc w:val="center"/>
              <w:rPr>
                <w:rFonts w:cs="Arial"/>
                <w:sz w:val="20"/>
                <w:szCs w:val="20"/>
              </w:rPr>
            </w:pPr>
            <w:r w:rsidRPr="00B868A9">
              <w:rPr>
                <w:rFonts w:cs="Arial"/>
                <w:sz w:val="20"/>
                <w:szCs w:val="20"/>
              </w:rPr>
              <w:t>4</w:t>
            </w:r>
          </w:p>
          <w:p w:rsidR="0093006F" w:rsidRPr="00B868A9" w:rsidRDefault="0093006F" w:rsidP="00425868">
            <w:pPr>
              <w:jc w:val="center"/>
              <w:rPr>
                <w:rFonts w:cs="Arial"/>
                <w:sz w:val="20"/>
                <w:szCs w:val="20"/>
              </w:rPr>
            </w:pPr>
            <w:r w:rsidRPr="00B868A9">
              <w:rPr>
                <w:rFonts w:cs="Arial"/>
                <w:sz w:val="20"/>
                <w:szCs w:val="20"/>
              </w:rPr>
              <w:t>3</w:t>
            </w:r>
          </w:p>
          <w:p w:rsidR="0093006F" w:rsidRDefault="0093006F" w:rsidP="00425868">
            <w:pPr>
              <w:jc w:val="center"/>
              <w:rPr>
                <w:rFonts w:cs="Arial"/>
                <w:sz w:val="20"/>
                <w:szCs w:val="20"/>
              </w:rPr>
            </w:pPr>
            <w:r w:rsidRPr="00B868A9">
              <w:rPr>
                <w:rFonts w:cs="Arial"/>
                <w:sz w:val="20"/>
                <w:szCs w:val="20"/>
              </w:rPr>
              <w:t>3</w:t>
            </w:r>
          </w:p>
          <w:p w:rsidR="0093006F" w:rsidRDefault="0093006F" w:rsidP="00425868">
            <w:pPr>
              <w:jc w:val="center"/>
              <w:rPr>
                <w:rFonts w:cs="Arial"/>
                <w:sz w:val="20"/>
                <w:szCs w:val="20"/>
              </w:rPr>
            </w:pPr>
          </w:p>
          <w:p w:rsidR="0093006F" w:rsidRDefault="0093006F" w:rsidP="00425868">
            <w:pPr>
              <w:jc w:val="center"/>
              <w:rPr>
                <w:rFonts w:cs="Arial"/>
                <w:sz w:val="20"/>
                <w:szCs w:val="20"/>
              </w:rPr>
            </w:pPr>
          </w:p>
          <w:p w:rsidR="0093006F" w:rsidRDefault="0093006F" w:rsidP="00425868">
            <w:pPr>
              <w:jc w:val="center"/>
              <w:rPr>
                <w:rFonts w:cs="Arial"/>
                <w:sz w:val="20"/>
                <w:szCs w:val="20"/>
              </w:rPr>
            </w:pPr>
            <w:r>
              <w:rPr>
                <w:rFonts w:cs="Arial"/>
                <w:sz w:val="20"/>
                <w:szCs w:val="20"/>
              </w:rPr>
              <w:t>1</w:t>
            </w:r>
          </w:p>
          <w:p w:rsidR="0093006F" w:rsidRPr="00B868A9" w:rsidRDefault="0093006F" w:rsidP="00425868">
            <w:pPr>
              <w:jc w:val="center"/>
              <w:rPr>
                <w:rFonts w:cs="Arial"/>
                <w:sz w:val="20"/>
                <w:szCs w:val="20"/>
              </w:rPr>
            </w:pPr>
            <w:r>
              <w:rPr>
                <w:rFonts w:cs="Arial"/>
                <w:sz w:val="20"/>
                <w:szCs w:val="20"/>
              </w:rPr>
              <w:t>4</w:t>
            </w:r>
          </w:p>
        </w:tc>
        <w:tc>
          <w:tcPr>
            <w:tcW w:w="575" w:type="pct"/>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D3DFEE"/>
          </w:tcPr>
          <w:p w:rsidR="0093006F" w:rsidRPr="00B868A9"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rsidR="0093006F"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rsidR="0093006F" w:rsidRPr="00B868A9"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868A9">
              <w:rPr>
                <w:rFonts w:cs="Arial"/>
                <w:sz w:val="20"/>
                <w:szCs w:val="20"/>
              </w:rPr>
              <w:t>0 (0)</w:t>
            </w:r>
          </w:p>
          <w:p w:rsidR="0093006F" w:rsidRPr="00B868A9"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868A9">
              <w:rPr>
                <w:rFonts w:cs="Arial"/>
                <w:sz w:val="20"/>
                <w:szCs w:val="20"/>
              </w:rPr>
              <w:t>0 (0)</w:t>
            </w:r>
          </w:p>
          <w:p w:rsidR="0093006F"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868A9">
              <w:rPr>
                <w:rFonts w:cs="Arial"/>
                <w:sz w:val="20"/>
                <w:szCs w:val="20"/>
              </w:rPr>
              <w:t>0 (0)</w:t>
            </w:r>
          </w:p>
          <w:p w:rsidR="0093006F"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rsidR="0093006F"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rsidR="0093006F" w:rsidRPr="00613FEF"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13FEF">
              <w:rPr>
                <w:rFonts w:cs="Arial"/>
                <w:sz w:val="20"/>
                <w:szCs w:val="20"/>
              </w:rPr>
              <w:t>0 (0)</w:t>
            </w:r>
          </w:p>
          <w:p w:rsidR="0093006F" w:rsidRPr="00B868A9" w:rsidRDefault="0093006F" w:rsidP="0042586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13FEF">
              <w:rPr>
                <w:rFonts w:cs="Arial"/>
                <w:sz w:val="20"/>
                <w:szCs w:val="20"/>
              </w:rPr>
              <w:t>1 (25)</w:t>
            </w:r>
          </w:p>
        </w:tc>
        <w:tc>
          <w:tcPr>
            <w:cnfStyle w:val="000010000000" w:firstRow="0" w:lastRow="0" w:firstColumn="0" w:lastColumn="0" w:oddVBand="1" w:evenVBand="0" w:oddHBand="0" w:evenHBand="0" w:firstRowFirstColumn="0" w:firstRowLastColumn="0" w:lastRowFirstColumn="0" w:lastRowLastColumn="0"/>
            <w:tcW w:w="863" w:type="pct"/>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D3DFEE"/>
          </w:tcPr>
          <w:p w:rsidR="0093006F" w:rsidRDefault="0093006F" w:rsidP="00425868">
            <w:pPr>
              <w:jc w:val="center"/>
              <w:rPr>
                <w:rFonts w:cs="Arial"/>
                <w:sz w:val="20"/>
                <w:szCs w:val="20"/>
              </w:rPr>
            </w:pPr>
          </w:p>
          <w:p w:rsidR="0093006F" w:rsidRDefault="0093006F" w:rsidP="00425868">
            <w:pPr>
              <w:jc w:val="center"/>
              <w:rPr>
                <w:rFonts w:cs="Arial"/>
                <w:sz w:val="20"/>
                <w:szCs w:val="20"/>
              </w:rPr>
            </w:pPr>
          </w:p>
          <w:p w:rsidR="0093006F" w:rsidRDefault="0093006F" w:rsidP="00425868">
            <w:pPr>
              <w:jc w:val="center"/>
              <w:rPr>
                <w:rFonts w:cs="Arial"/>
                <w:sz w:val="20"/>
                <w:szCs w:val="20"/>
              </w:rPr>
            </w:pPr>
            <w:r>
              <w:rPr>
                <w:rFonts w:cs="Arial"/>
                <w:sz w:val="20"/>
                <w:szCs w:val="20"/>
              </w:rPr>
              <w:t>-</w:t>
            </w:r>
          </w:p>
          <w:p w:rsidR="0093006F" w:rsidRPr="00F6495F" w:rsidRDefault="0093006F" w:rsidP="00425868">
            <w:pPr>
              <w:jc w:val="center"/>
              <w:rPr>
                <w:rFonts w:cs="Arial"/>
                <w:b/>
                <w:sz w:val="20"/>
                <w:szCs w:val="20"/>
              </w:rPr>
            </w:pPr>
            <w:r w:rsidRPr="00F6495F">
              <w:rPr>
                <w:rFonts w:cs="Arial"/>
                <w:b/>
                <w:sz w:val="20"/>
                <w:szCs w:val="20"/>
              </w:rPr>
              <w:t>-</w:t>
            </w:r>
          </w:p>
          <w:p w:rsidR="0093006F" w:rsidRPr="00F6495F" w:rsidRDefault="0093006F" w:rsidP="00425868">
            <w:pPr>
              <w:jc w:val="center"/>
              <w:rPr>
                <w:rFonts w:cs="Arial"/>
                <w:b/>
                <w:sz w:val="20"/>
                <w:szCs w:val="20"/>
              </w:rPr>
            </w:pPr>
            <w:r w:rsidRPr="00F6495F">
              <w:rPr>
                <w:rFonts w:cs="Arial"/>
                <w:b/>
                <w:sz w:val="20"/>
                <w:szCs w:val="20"/>
              </w:rPr>
              <w:t>-</w:t>
            </w:r>
          </w:p>
          <w:p w:rsidR="0093006F" w:rsidRDefault="0093006F" w:rsidP="00425868">
            <w:pPr>
              <w:jc w:val="center"/>
              <w:rPr>
                <w:rFonts w:cs="Arial"/>
                <w:sz w:val="20"/>
                <w:szCs w:val="20"/>
              </w:rPr>
            </w:pPr>
          </w:p>
          <w:p w:rsidR="0093006F" w:rsidRDefault="0093006F" w:rsidP="00425868">
            <w:pPr>
              <w:jc w:val="center"/>
              <w:rPr>
                <w:rFonts w:cs="Arial"/>
                <w:sz w:val="20"/>
                <w:szCs w:val="20"/>
              </w:rPr>
            </w:pPr>
          </w:p>
          <w:p w:rsidR="0093006F" w:rsidRPr="00533A5D" w:rsidRDefault="0093006F" w:rsidP="00425868">
            <w:pPr>
              <w:jc w:val="center"/>
              <w:rPr>
                <w:rFonts w:cs="Arial"/>
                <w:b/>
                <w:sz w:val="20"/>
                <w:szCs w:val="20"/>
              </w:rPr>
            </w:pPr>
            <w:r>
              <w:rPr>
                <w:rFonts w:cs="Arial"/>
                <w:b/>
                <w:sz w:val="20"/>
                <w:szCs w:val="20"/>
              </w:rPr>
              <w:t>-</w:t>
            </w:r>
          </w:p>
          <w:p w:rsidR="0093006F" w:rsidRPr="00B868A9" w:rsidRDefault="0093006F" w:rsidP="00425868">
            <w:pPr>
              <w:jc w:val="center"/>
              <w:rPr>
                <w:rFonts w:cs="Arial"/>
                <w:sz w:val="20"/>
                <w:szCs w:val="20"/>
              </w:rPr>
            </w:pPr>
            <w:r w:rsidRPr="00533A5D">
              <w:rPr>
                <w:rFonts w:cs="Arial"/>
                <w:b/>
                <w:sz w:val="20"/>
                <w:szCs w:val="20"/>
              </w:rPr>
              <w:t>6.5</w:t>
            </w:r>
          </w:p>
        </w:tc>
        <w:tc>
          <w:tcPr>
            <w:tcW w:w="863" w:type="pct"/>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D3DFEE"/>
          </w:tcPr>
          <w:p w:rsidR="0093006F" w:rsidRDefault="0093006F" w:rsidP="00425868">
            <w:pPr>
              <w:cnfStyle w:val="000000100000" w:firstRow="0" w:lastRow="0" w:firstColumn="0" w:lastColumn="0" w:oddVBand="0" w:evenVBand="0" w:oddHBand="1" w:evenHBand="0" w:firstRowFirstColumn="0" w:firstRowLastColumn="0" w:lastRowFirstColumn="0" w:lastRowLastColumn="0"/>
              <w:rPr>
                <w:rFonts w:cs="Arial"/>
                <w:sz w:val="16"/>
                <w:szCs w:val="16"/>
              </w:rPr>
            </w:pPr>
          </w:p>
          <w:p w:rsidR="0093006F" w:rsidRPr="000F162C" w:rsidRDefault="0093006F" w:rsidP="00425868">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0F162C">
              <w:rPr>
                <w:rFonts w:cs="Arial"/>
                <w:sz w:val="16"/>
                <w:szCs w:val="16"/>
              </w:rPr>
              <w:t>Canned stone fruit</w:t>
            </w:r>
            <w:r>
              <w:rPr>
                <w:rFonts w:cs="Arial"/>
                <w:sz w:val="16"/>
                <w:szCs w:val="16"/>
              </w:rPr>
              <w:t xml:space="preserve"> – </w:t>
            </w:r>
            <w:r w:rsidRPr="000F162C">
              <w:rPr>
                <w:rFonts w:cs="Arial"/>
                <w:sz w:val="16"/>
                <w:szCs w:val="16"/>
              </w:rPr>
              <w:t>up to 4 mg/kg</w:t>
            </w:r>
            <w:r>
              <w:rPr>
                <w:rFonts w:cs="Arial"/>
                <w:sz w:val="16"/>
                <w:szCs w:val="16"/>
              </w:rPr>
              <w:t xml:space="preserve"> </w:t>
            </w:r>
            <w:r w:rsidRPr="000F162C">
              <w:rPr>
                <w:rFonts w:cs="Arial"/>
                <w:sz w:val="16"/>
                <w:szCs w:val="16"/>
              </w:rPr>
              <w:t>(EFSA, 2004)</w:t>
            </w:r>
            <w:r>
              <w:rPr>
                <w:rFonts w:cs="Arial"/>
                <w:sz w:val="16"/>
                <w:szCs w:val="16"/>
              </w:rPr>
              <w:t>.</w:t>
            </w:r>
          </w:p>
          <w:p w:rsidR="0093006F" w:rsidRPr="000F162C" w:rsidRDefault="0093006F" w:rsidP="00425868">
            <w:pPr>
              <w:cnfStyle w:val="000000100000" w:firstRow="0" w:lastRow="0" w:firstColumn="0" w:lastColumn="0" w:oddVBand="0" w:evenVBand="0" w:oddHBand="1" w:evenHBand="0" w:firstRowFirstColumn="0" w:firstRowLastColumn="0" w:lastRowFirstColumn="0" w:lastRowLastColumn="0"/>
              <w:rPr>
                <w:rFonts w:cs="Arial"/>
                <w:sz w:val="16"/>
                <w:szCs w:val="16"/>
              </w:rPr>
            </w:pPr>
          </w:p>
          <w:p w:rsidR="0093006F" w:rsidRDefault="0093006F" w:rsidP="00425868">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0F162C">
              <w:rPr>
                <w:rFonts w:cs="Arial"/>
                <w:sz w:val="16"/>
                <w:szCs w:val="16"/>
              </w:rPr>
              <w:t xml:space="preserve">Stone fruit juices (including cherry, plum, apricot and peach juices) and stone fruit liqueurs </w:t>
            </w:r>
            <w:r>
              <w:rPr>
                <w:rFonts w:cs="Arial"/>
                <w:sz w:val="16"/>
                <w:szCs w:val="16"/>
              </w:rPr>
              <w:t xml:space="preserve">– </w:t>
            </w:r>
            <w:r w:rsidRPr="000F162C">
              <w:rPr>
                <w:rFonts w:cs="Arial"/>
                <w:sz w:val="16"/>
                <w:szCs w:val="16"/>
              </w:rPr>
              <w:t xml:space="preserve">0.3-12 mg/L and &lt;10 mg/L of total </w:t>
            </w:r>
            <w:r>
              <w:rPr>
                <w:rFonts w:cs="Arial"/>
                <w:sz w:val="16"/>
                <w:szCs w:val="16"/>
              </w:rPr>
              <w:t>HCN</w:t>
            </w:r>
            <w:r w:rsidRPr="000F162C">
              <w:rPr>
                <w:rFonts w:cs="Arial"/>
                <w:sz w:val="16"/>
                <w:szCs w:val="16"/>
              </w:rPr>
              <w:t>, respectively (EFSA, 2004)</w:t>
            </w:r>
            <w:r>
              <w:rPr>
                <w:rFonts w:cs="Arial"/>
                <w:sz w:val="16"/>
                <w:szCs w:val="16"/>
              </w:rPr>
              <w:t>.</w:t>
            </w:r>
          </w:p>
          <w:p w:rsidR="0093006F" w:rsidRDefault="0093006F" w:rsidP="00425868">
            <w:pPr>
              <w:cnfStyle w:val="000000100000" w:firstRow="0" w:lastRow="0" w:firstColumn="0" w:lastColumn="0" w:oddVBand="0" w:evenVBand="0" w:oddHBand="1" w:evenHBand="0" w:firstRowFirstColumn="0" w:firstRowLastColumn="0" w:lastRowFirstColumn="0" w:lastRowLastColumn="0"/>
              <w:rPr>
                <w:rFonts w:cs="Arial"/>
                <w:sz w:val="16"/>
                <w:szCs w:val="16"/>
              </w:rPr>
            </w:pPr>
          </w:p>
          <w:p w:rsidR="0093006F" w:rsidRPr="000F162C" w:rsidRDefault="0093006F" w:rsidP="00425868">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100000000" w:firstRow="0" w:lastRow="0" w:firstColumn="0" w:lastColumn="1" w:oddVBand="0" w:evenVBand="0" w:oddHBand="0" w:evenHBand="0" w:firstRowFirstColumn="0" w:firstRowLastColumn="0" w:lastRowFirstColumn="0" w:lastRowLastColumn="0"/>
            <w:tcW w:w="889" w:type="pct"/>
            <w:tcBorders>
              <w:left w:val="single" w:sz="8" w:space="0" w:color="7BA0CD" w:themeColor="accent1" w:themeTint="BF"/>
              <w:bottom w:val="single" w:sz="8" w:space="0" w:color="7BA0CD" w:themeColor="accent1" w:themeTint="BF"/>
            </w:tcBorders>
            <w:shd w:val="clear" w:color="auto" w:fill="D3DFEE"/>
          </w:tcPr>
          <w:p w:rsidR="0093006F" w:rsidRDefault="0093006F" w:rsidP="00425868">
            <w:pPr>
              <w:rPr>
                <w:rFonts w:cs="Arial"/>
                <w:b w:val="0"/>
                <w:sz w:val="16"/>
                <w:szCs w:val="16"/>
              </w:rPr>
            </w:pPr>
          </w:p>
          <w:p w:rsidR="0093006F" w:rsidRDefault="0093006F" w:rsidP="00425868">
            <w:pPr>
              <w:rPr>
                <w:rFonts w:cs="Arial"/>
                <w:b w:val="0"/>
                <w:sz w:val="16"/>
                <w:szCs w:val="16"/>
              </w:rPr>
            </w:pPr>
            <w:r>
              <w:rPr>
                <w:rFonts w:cs="Arial"/>
                <w:b w:val="0"/>
                <w:sz w:val="16"/>
                <w:szCs w:val="16"/>
              </w:rPr>
              <w:t>N</w:t>
            </w:r>
            <w:r w:rsidRPr="00F17236">
              <w:rPr>
                <w:rFonts w:cs="Arial"/>
                <w:b w:val="0"/>
                <w:sz w:val="16"/>
                <w:szCs w:val="16"/>
              </w:rPr>
              <w:t xml:space="preserve">o </w:t>
            </w:r>
            <w:r>
              <w:rPr>
                <w:rFonts w:cs="Arial"/>
                <w:b w:val="0"/>
                <w:sz w:val="16"/>
                <w:szCs w:val="16"/>
              </w:rPr>
              <w:t xml:space="preserve">standards established other than levels for stone fruit juices and alcoholic beverages in Standard 1.4.1. </w:t>
            </w:r>
          </w:p>
          <w:p w:rsidR="0093006F" w:rsidRDefault="0093006F" w:rsidP="00425868">
            <w:pPr>
              <w:rPr>
                <w:rFonts w:cs="Arial"/>
                <w:b w:val="0"/>
                <w:sz w:val="16"/>
                <w:szCs w:val="16"/>
              </w:rPr>
            </w:pPr>
          </w:p>
          <w:p w:rsidR="0093006F" w:rsidRPr="00C92B06" w:rsidRDefault="0093006F" w:rsidP="00425868">
            <w:pPr>
              <w:rPr>
                <w:rFonts w:cs="Arial"/>
                <w:b w:val="0"/>
                <w:sz w:val="16"/>
                <w:szCs w:val="16"/>
              </w:rPr>
            </w:pPr>
            <w:r>
              <w:rPr>
                <w:rFonts w:cs="Arial"/>
                <w:b w:val="0"/>
                <w:sz w:val="16"/>
                <w:szCs w:val="16"/>
              </w:rPr>
              <w:t xml:space="preserve">Levels detected in one sample of apricot nectar do not comply with Standard </w:t>
            </w:r>
            <w:r w:rsidRPr="00C92B06">
              <w:rPr>
                <w:rFonts w:cs="Arial"/>
                <w:b w:val="0"/>
                <w:sz w:val="16"/>
                <w:szCs w:val="16"/>
              </w:rPr>
              <w:t>1.4.1</w:t>
            </w:r>
            <w:r>
              <w:rPr>
                <w:rFonts w:cs="Arial"/>
                <w:b w:val="0"/>
                <w:sz w:val="16"/>
                <w:szCs w:val="16"/>
              </w:rPr>
              <w:t xml:space="preserve">, which </w:t>
            </w:r>
            <w:r w:rsidRPr="00C92B06">
              <w:rPr>
                <w:rFonts w:cs="Arial"/>
                <w:b w:val="0"/>
                <w:sz w:val="16"/>
                <w:szCs w:val="16"/>
              </w:rPr>
              <w:t xml:space="preserve">includes </w:t>
            </w:r>
            <w:r>
              <w:rPr>
                <w:rFonts w:cs="Arial"/>
                <w:b w:val="0"/>
                <w:sz w:val="16"/>
                <w:szCs w:val="16"/>
              </w:rPr>
              <w:t xml:space="preserve">an ML of </w:t>
            </w:r>
            <w:r w:rsidRPr="00C92B06">
              <w:rPr>
                <w:rFonts w:cs="Arial"/>
                <w:b w:val="0"/>
                <w:sz w:val="16"/>
                <w:szCs w:val="16"/>
              </w:rPr>
              <w:t>5</w:t>
            </w:r>
            <w:r>
              <w:rPr>
                <w:rFonts w:cs="Arial"/>
                <w:b w:val="0"/>
                <w:sz w:val="16"/>
                <w:szCs w:val="16"/>
              </w:rPr>
              <w:t> </w:t>
            </w:r>
            <w:r w:rsidRPr="00C92B06">
              <w:rPr>
                <w:rFonts w:cs="Arial"/>
                <w:b w:val="0"/>
                <w:sz w:val="16"/>
                <w:szCs w:val="16"/>
              </w:rPr>
              <w:t>mg</w:t>
            </w:r>
            <w:r>
              <w:rPr>
                <w:rFonts w:cs="Arial"/>
                <w:b w:val="0"/>
                <w:sz w:val="16"/>
                <w:szCs w:val="16"/>
              </w:rPr>
              <w:t xml:space="preserve"> HCN</w:t>
            </w:r>
            <w:r w:rsidRPr="00C92B06">
              <w:rPr>
                <w:rFonts w:cs="Arial"/>
                <w:b w:val="0"/>
                <w:sz w:val="16"/>
                <w:szCs w:val="16"/>
              </w:rPr>
              <w:t>/kg in stone fruit juices</w:t>
            </w:r>
            <w:r>
              <w:rPr>
                <w:rFonts w:cs="Arial"/>
                <w:b w:val="0"/>
                <w:sz w:val="16"/>
                <w:szCs w:val="16"/>
              </w:rPr>
              <w:t>.</w:t>
            </w:r>
          </w:p>
          <w:p w:rsidR="0093006F" w:rsidRPr="00B868A9" w:rsidRDefault="0093006F" w:rsidP="00425868">
            <w:pPr>
              <w:rPr>
                <w:rFonts w:cs="Arial"/>
                <w:sz w:val="20"/>
                <w:szCs w:val="20"/>
              </w:rPr>
            </w:pPr>
            <w:r w:rsidRPr="00C92B06">
              <w:rPr>
                <w:rFonts w:cs="Arial"/>
                <w:b w:val="0"/>
                <w:sz w:val="16"/>
                <w:szCs w:val="16"/>
              </w:rPr>
              <w:t xml:space="preserve"> </w:t>
            </w:r>
          </w:p>
        </w:tc>
      </w:tr>
      <w:tr w:rsidR="0093006F" w:rsidRPr="00B868A9" w:rsidTr="00132A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9" w:type="pct"/>
            <w:tcBorders>
              <w:bottom w:val="single" w:sz="8" w:space="0" w:color="7BA0CD" w:themeColor="accent1" w:themeTint="BF"/>
              <w:right w:val="single" w:sz="8" w:space="0" w:color="7BA0CD" w:themeColor="accent1" w:themeTint="BF"/>
            </w:tcBorders>
            <w:shd w:val="clear" w:color="auto" w:fill="auto"/>
          </w:tcPr>
          <w:p w:rsidR="0093006F" w:rsidRPr="00B868A9" w:rsidRDefault="0093006F" w:rsidP="00425868">
            <w:pPr>
              <w:rPr>
                <w:rFonts w:cs="Arial"/>
                <w:sz w:val="20"/>
                <w:szCs w:val="20"/>
              </w:rPr>
            </w:pPr>
            <w:r>
              <w:rPr>
                <w:rFonts w:cs="Arial"/>
                <w:sz w:val="20"/>
                <w:szCs w:val="20"/>
              </w:rPr>
              <w:t>Lima bean</w:t>
            </w:r>
            <w:r w:rsidRPr="00B868A9">
              <w:rPr>
                <w:rFonts w:cs="Arial"/>
                <w:sz w:val="20"/>
                <w:szCs w:val="20"/>
              </w:rPr>
              <w:t xml:space="preserve"> and </w:t>
            </w:r>
            <w:r>
              <w:rPr>
                <w:rFonts w:cs="Arial"/>
                <w:sz w:val="20"/>
                <w:szCs w:val="20"/>
              </w:rPr>
              <w:t xml:space="preserve">various </w:t>
            </w:r>
            <w:r w:rsidRPr="00B868A9">
              <w:rPr>
                <w:rFonts w:cs="Arial"/>
                <w:sz w:val="20"/>
                <w:szCs w:val="20"/>
              </w:rPr>
              <w:t>seeds</w:t>
            </w:r>
          </w:p>
          <w:p w:rsidR="0093006F" w:rsidRPr="00E35AC5" w:rsidRDefault="0093006F" w:rsidP="00425868">
            <w:pPr>
              <w:spacing w:line="240" w:lineRule="atLeast"/>
              <w:rPr>
                <w:rFonts w:cs="Arial"/>
                <w:b w:val="0"/>
                <w:sz w:val="20"/>
                <w:szCs w:val="20"/>
                <w:u w:val="single"/>
              </w:rPr>
            </w:pPr>
            <w:r w:rsidRPr="00E35AC5">
              <w:rPr>
                <w:rFonts w:cs="Arial"/>
                <w:b w:val="0"/>
                <w:sz w:val="20"/>
                <w:szCs w:val="20"/>
                <w:u w:val="single"/>
              </w:rPr>
              <w:t>Survey 1</w:t>
            </w:r>
          </w:p>
          <w:p w:rsidR="0093006F" w:rsidRPr="00B868A9" w:rsidRDefault="0093006F" w:rsidP="00425868">
            <w:pPr>
              <w:spacing w:line="240" w:lineRule="atLeast"/>
              <w:rPr>
                <w:rFonts w:cs="Arial"/>
                <w:b w:val="0"/>
                <w:sz w:val="20"/>
                <w:szCs w:val="20"/>
              </w:rPr>
            </w:pPr>
            <w:r>
              <w:rPr>
                <w:rFonts w:cs="Arial"/>
                <w:b w:val="0"/>
                <w:sz w:val="20"/>
                <w:szCs w:val="20"/>
              </w:rPr>
              <w:tab/>
            </w:r>
            <w:r w:rsidRPr="00B868A9">
              <w:rPr>
                <w:rFonts w:cs="Arial"/>
                <w:b w:val="0"/>
                <w:sz w:val="20"/>
                <w:szCs w:val="20"/>
              </w:rPr>
              <w:t>Lima beans, raw</w:t>
            </w:r>
          </w:p>
          <w:p w:rsidR="0093006F" w:rsidRPr="00B868A9" w:rsidRDefault="0093006F" w:rsidP="00425868">
            <w:pPr>
              <w:spacing w:line="240" w:lineRule="atLeast"/>
              <w:rPr>
                <w:rFonts w:cs="Arial"/>
                <w:b w:val="0"/>
                <w:sz w:val="20"/>
                <w:szCs w:val="20"/>
              </w:rPr>
            </w:pPr>
            <w:r>
              <w:rPr>
                <w:rFonts w:cs="Arial"/>
                <w:b w:val="0"/>
                <w:sz w:val="20"/>
                <w:szCs w:val="20"/>
              </w:rPr>
              <w:tab/>
            </w:r>
            <w:r w:rsidRPr="00B868A9">
              <w:rPr>
                <w:rFonts w:cs="Arial"/>
                <w:b w:val="0"/>
                <w:sz w:val="20"/>
                <w:szCs w:val="20"/>
              </w:rPr>
              <w:t>Butter/lima</w:t>
            </w:r>
            <w:r>
              <w:rPr>
                <w:rFonts w:cs="Arial"/>
                <w:b w:val="0"/>
                <w:sz w:val="20"/>
                <w:szCs w:val="20"/>
              </w:rPr>
              <w:t>/mixed</w:t>
            </w:r>
            <w:r w:rsidRPr="00B868A9">
              <w:rPr>
                <w:rFonts w:cs="Arial"/>
                <w:b w:val="0"/>
                <w:sz w:val="20"/>
                <w:szCs w:val="20"/>
              </w:rPr>
              <w:t xml:space="preserve"> beans, canned</w:t>
            </w:r>
          </w:p>
          <w:p w:rsidR="0093006F" w:rsidRPr="00B868A9" w:rsidRDefault="0093006F" w:rsidP="00425868">
            <w:pPr>
              <w:spacing w:line="240" w:lineRule="atLeast"/>
              <w:rPr>
                <w:rFonts w:cs="Arial"/>
                <w:b w:val="0"/>
                <w:sz w:val="20"/>
                <w:szCs w:val="20"/>
              </w:rPr>
            </w:pPr>
            <w:r>
              <w:rPr>
                <w:rFonts w:cs="Arial"/>
                <w:b w:val="0"/>
                <w:sz w:val="20"/>
                <w:szCs w:val="20"/>
              </w:rPr>
              <w:tab/>
            </w:r>
            <w:r w:rsidRPr="00B868A9">
              <w:rPr>
                <w:rFonts w:cs="Arial"/>
                <w:b w:val="0"/>
                <w:sz w:val="20"/>
                <w:szCs w:val="20"/>
              </w:rPr>
              <w:t>Pumpkin seeds</w:t>
            </w:r>
          </w:p>
          <w:p w:rsidR="0093006F" w:rsidRPr="00B868A9" w:rsidRDefault="0093006F" w:rsidP="00425868">
            <w:pPr>
              <w:spacing w:line="240" w:lineRule="atLeast"/>
              <w:rPr>
                <w:rFonts w:cs="Arial"/>
                <w:sz w:val="20"/>
                <w:szCs w:val="20"/>
              </w:rPr>
            </w:pPr>
            <w:r>
              <w:rPr>
                <w:rFonts w:cs="Arial"/>
                <w:b w:val="0"/>
                <w:sz w:val="20"/>
                <w:szCs w:val="20"/>
              </w:rPr>
              <w:tab/>
            </w:r>
            <w:r w:rsidRPr="00B868A9">
              <w:rPr>
                <w:rFonts w:cs="Arial"/>
                <w:b w:val="0"/>
                <w:sz w:val="20"/>
                <w:szCs w:val="20"/>
              </w:rPr>
              <w:t>Sunflower seeds</w:t>
            </w:r>
          </w:p>
        </w:tc>
        <w:tc>
          <w:tcPr>
            <w:cnfStyle w:val="000010000000" w:firstRow="0" w:lastRow="0" w:firstColumn="0" w:lastColumn="0" w:oddVBand="1" w:evenVBand="0" w:oddHBand="0" w:evenHBand="0" w:firstRowFirstColumn="0" w:firstRowLastColumn="0" w:lastRowFirstColumn="0" w:lastRowLastColumn="0"/>
            <w:tcW w:w="431" w:type="pct"/>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auto"/>
          </w:tcPr>
          <w:p w:rsidR="0093006F" w:rsidRPr="00B868A9" w:rsidRDefault="0093006F" w:rsidP="00425868">
            <w:pPr>
              <w:jc w:val="center"/>
              <w:rPr>
                <w:rFonts w:cs="Arial"/>
                <w:sz w:val="20"/>
                <w:szCs w:val="20"/>
              </w:rPr>
            </w:pPr>
          </w:p>
          <w:p w:rsidR="0093006F" w:rsidRDefault="0093006F" w:rsidP="00425868">
            <w:pPr>
              <w:jc w:val="center"/>
              <w:rPr>
                <w:rFonts w:cs="Arial"/>
                <w:sz w:val="20"/>
                <w:szCs w:val="20"/>
              </w:rPr>
            </w:pPr>
          </w:p>
          <w:p w:rsidR="0093006F" w:rsidRPr="00B868A9" w:rsidRDefault="0093006F" w:rsidP="00425868">
            <w:pPr>
              <w:jc w:val="center"/>
              <w:rPr>
                <w:rFonts w:cs="Arial"/>
                <w:sz w:val="20"/>
                <w:szCs w:val="20"/>
              </w:rPr>
            </w:pPr>
            <w:r w:rsidRPr="00B868A9">
              <w:rPr>
                <w:rFonts w:cs="Arial"/>
                <w:sz w:val="20"/>
                <w:szCs w:val="20"/>
              </w:rPr>
              <w:t>3</w:t>
            </w:r>
          </w:p>
          <w:p w:rsidR="0093006F" w:rsidRPr="00B868A9" w:rsidRDefault="0093006F" w:rsidP="00425868">
            <w:pPr>
              <w:jc w:val="center"/>
              <w:rPr>
                <w:rFonts w:cs="Arial"/>
                <w:sz w:val="20"/>
                <w:szCs w:val="20"/>
              </w:rPr>
            </w:pPr>
            <w:r w:rsidRPr="00B868A9">
              <w:rPr>
                <w:rFonts w:cs="Arial"/>
                <w:sz w:val="20"/>
                <w:szCs w:val="20"/>
              </w:rPr>
              <w:t>6</w:t>
            </w:r>
          </w:p>
          <w:p w:rsidR="0093006F" w:rsidRPr="00B868A9" w:rsidRDefault="0093006F" w:rsidP="00425868">
            <w:pPr>
              <w:jc w:val="center"/>
              <w:rPr>
                <w:rFonts w:cs="Arial"/>
                <w:sz w:val="20"/>
                <w:szCs w:val="20"/>
              </w:rPr>
            </w:pPr>
            <w:r w:rsidRPr="00B868A9">
              <w:rPr>
                <w:rFonts w:cs="Arial"/>
                <w:sz w:val="20"/>
                <w:szCs w:val="20"/>
              </w:rPr>
              <w:t>4</w:t>
            </w:r>
          </w:p>
          <w:p w:rsidR="0093006F" w:rsidRPr="00B868A9" w:rsidRDefault="0093006F" w:rsidP="00425868">
            <w:pPr>
              <w:jc w:val="center"/>
              <w:rPr>
                <w:rFonts w:cs="Arial"/>
                <w:sz w:val="20"/>
                <w:szCs w:val="20"/>
              </w:rPr>
            </w:pPr>
            <w:r w:rsidRPr="00B868A9">
              <w:rPr>
                <w:rFonts w:cs="Arial"/>
                <w:sz w:val="20"/>
                <w:szCs w:val="20"/>
              </w:rPr>
              <w:t>2</w:t>
            </w:r>
          </w:p>
        </w:tc>
        <w:tc>
          <w:tcPr>
            <w:tcW w:w="575" w:type="pct"/>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auto"/>
          </w:tcPr>
          <w:p w:rsidR="0093006F" w:rsidRPr="00B868A9"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p>
          <w:p w:rsidR="0093006F"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p>
          <w:p w:rsidR="0093006F" w:rsidRPr="00B868A9"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B868A9">
              <w:rPr>
                <w:rFonts w:cs="Arial"/>
                <w:sz w:val="20"/>
                <w:szCs w:val="20"/>
              </w:rPr>
              <w:t>1 (33)</w:t>
            </w:r>
            <w:r>
              <w:rPr>
                <w:rFonts w:cs="Arial"/>
                <w:sz w:val="20"/>
                <w:szCs w:val="20"/>
              </w:rPr>
              <w:t>*</w:t>
            </w:r>
          </w:p>
          <w:p w:rsidR="0093006F" w:rsidRPr="00B868A9"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B868A9">
              <w:rPr>
                <w:rFonts w:cs="Arial"/>
                <w:sz w:val="20"/>
                <w:szCs w:val="20"/>
              </w:rPr>
              <w:t>1 (17)</w:t>
            </w:r>
            <w:r w:rsidRPr="000F162C">
              <w:rPr>
                <w:rFonts w:cs="Arial"/>
                <w:sz w:val="20"/>
                <w:szCs w:val="20"/>
                <w:vertAlign w:val="superscript"/>
              </w:rPr>
              <w:t>#</w:t>
            </w:r>
          </w:p>
          <w:p w:rsidR="0093006F" w:rsidRPr="00B868A9"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B868A9">
              <w:rPr>
                <w:rFonts w:cs="Arial"/>
                <w:sz w:val="20"/>
                <w:szCs w:val="20"/>
              </w:rPr>
              <w:t>0 (0)</w:t>
            </w:r>
          </w:p>
          <w:p w:rsidR="0093006F" w:rsidRPr="00B868A9" w:rsidRDefault="0093006F"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B868A9">
              <w:rPr>
                <w:rFonts w:cs="Arial"/>
                <w:sz w:val="20"/>
                <w:szCs w:val="20"/>
              </w:rPr>
              <w:t>0 (0)</w:t>
            </w:r>
          </w:p>
        </w:tc>
        <w:tc>
          <w:tcPr>
            <w:cnfStyle w:val="000010000000" w:firstRow="0" w:lastRow="0" w:firstColumn="0" w:lastColumn="0" w:oddVBand="1" w:evenVBand="0" w:oddHBand="0" w:evenHBand="0" w:firstRowFirstColumn="0" w:firstRowLastColumn="0" w:lastRowFirstColumn="0" w:lastRowLastColumn="0"/>
            <w:tcW w:w="863" w:type="pct"/>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auto"/>
          </w:tcPr>
          <w:p w:rsidR="0093006F" w:rsidRPr="00B868A9" w:rsidRDefault="0093006F" w:rsidP="00425868">
            <w:pPr>
              <w:jc w:val="center"/>
              <w:rPr>
                <w:rFonts w:cs="Arial"/>
                <w:b/>
                <w:sz w:val="20"/>
                <w:szCs w:val="20"/>
              </w:rPr>
            </w:pPr>
          </w:p>
          <w:p w:rsidR="0093006F" w:rsidRDefault="0093006F" w:rsidP="00425868">
            <w:pPr>
              <w:jc w:val="center"/>
              <w:rPr>
                <w:rFonts w:cs="Arial"/>
                <w:b/>
                <w:sz w:val="20"/>
                <w:szCs w:val="20"/>
              </w:rPr>
            </w:pPr>
          </w:p>
          <w:p w:rsidR="0093006F" w:rsidRPr="00B868A9" w:rsidRDefault="0093006F" w:rsidP="00425868">
            <w:pPr>
              <w:jc w:val="center"/>
              <w:rPr>
                <w:rFonts w:cs="Arial"/>
                <w:b/>
                <w:sz w:val="20"/>
                <w:szCs w:val="20"/>
              </w:rPr>
            </w:pPr>
            <w:r w:rsidRPr="00B868A9">
              <w:rPr>
                <w:rFonts w:cs="Arial"/>
                <w:b/>
                <w:sz w:val="20"/>
                <w:szCs w:val="20"/>
              </w:rPr>
              <w:t>32</w:t>
            </w:r>
          </w:p>
          <w:p w:rsidR="0093006F" w:rsidRDefault="0093006F" w:rsidP="00425868">
            <w:pPr>
              <w:jc w:val="center"/>
              <w:rPr>
                <w:rFonts w:cs="Arial"/>
                <w:b/>
                <w:sz w:val="20"/>
                <w:szCs w:val="20"/>
              </w:rPr>
            </w:pPr>
            <w:r w:rsidRPr="00B868A9">
              <w:rPr>
                <w:rFonts w:cs="Arial"/>
                <w:b/>
                <w:sz w:val="20"/>
                <w:szCs w:val="20"/>
              </w:rPr>
              <w:t>6.8</w:t>
            </w:r>
          </w:p>
          <w:p w:rsidR="0093006F" w:rsidRDefault="0093006F" w:rsidP="00425868">
            <w:pPr>
              <w:jc w:val="center"/>
              <w:rPr>
                <w:rFonts w:cs="Arial"/>
                <w:b/>
                <w:sz w:val="20"/>
                <w:szCs w:val="20"/>
              </w:rPr>
            </w:pPr>
            <w:r>
              <w:rPr>
                <w:rFonts w:cs="Arial"/>
                <w:b/>
                <w:sz w:val="20"/>
                <w:szCs w:val="20"/>
              </w:rPr>
              <w:t>-</w:t>
            </w:r>
          </w:p>
          <w:p w:rsidR="0093006F" w:rsidRPr="00B868A9" w:rsidRDefault="0093006F" w:rsidP="00425868">
            <w:pPr>
              <w:jc w:val="center"/>
              <w:rPr>
                <w:rFonts w:cs="Arial"/>
                <w:b/>
                <w:sz w:val="20"/>
                <w:szCs w:val="20"/>
              </w:rPr>
            </w:pPr>
            <w:r>
              <w:rPr>
                <w:rFonts w:cs="Arial"/>
                <w:b/>
                <w:sz w:val="20"/>
                <w:szCs w:val="20"/>
              </w:rPr>
              <w:t>-</w:t>
            </w:r>
          </w:p>
        </w:tc>
        <w:tc>
          <w:tcPr>
            <w:tcW w:w="863" w:type="pct"/>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auto"/>
          </w:tcPr>
          <w:p w:rsidR="0093006F" w:rsidRDefault="0093006F" w:rsidP="00425868">
            <w:pPr>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 xml:space="preserve"> </w:t>
            </w:r>
          </w:p>
          <w:p w:rsidR="0093006F" w:rsidRDefault="0093006F" w:rsidP="00425868">
            <w:pPr>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 xml:space="preserve">Beans – means </w:t>
            </w:r>
            <w:r w:rsidRPr="00F65658">
              <w:rPr>
                <w:rFonts w:cs="Arial"/>
                <w:sz w:val="16"/>
                <w:szCs w:val="16"/>
              </w:rPr>
              <w:t xml:space="preserve">range from 100 mg/kg for white American variety to 3000 mg/kg for black Puerto Rican </w:t>
            </w:r>
            <w:r>
              <w:rPr>
                <w:rFonts w:cs="Arial"/>
                <w:sz w:val="16"/>
                <w:szCs w:val="16"/>
              </w:rPr>
              <w:t>variety (EFSA, 2004).</w:t>
            </w:r>
          </w:p>
          <w:p w:rsidR="0093006F" w:rsidRDefault="0093006F" w:rsidP="00425868">
            <w:pPr>
              <w:cnfStyle w:val="000000010000" w:firstRow="0" w:lastRow="0" w:firstColumn="0" w:lastColumn="0" w:oddVBand="0" w:evenVBand="0" w:oddHBand="0" w:evenHBand="1" w:firstRowFirstColumn="0" w:firstRowLastColumn="0" w:lastRowFirstColumn="0" w:lastRowLastColumn="0"/>
              <w:rPr>
                <w:rFonts w:cs="Arial"/>
                <w:sz w:val="16"/>
                <w:szCs w:val="16"/>
              </w:rPr>
            </w:pPr>
          </w:p>
          <w:p w:rsidR="0093006F" w:rsidRDefault="0093006F" w:rsidP="00425868">
            <w:pPr>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P</w:t>
            </w:r>
            <w:r w:rsidRPr="00F65658">
              <w:rPr>
                <w:rFonts w:cs="Arial"/>
                <w:sz w:val="16"/>
                <w:szCs w:val="16"/>
              </w:rPr>
              <w:t xml:space="preserve">rocessing techniques such as soaking, autoclaving and toasting, </w:t>
            </w:r>
            <w:r>
              <w:rPr>
                <w:rFonts w:cs="Arial"/>
                <w:sz w:val="16"/>
                <w:szCs w:val="16"/>
              </w:rPr>
              <w:t xml:space="preserve">and processing into </w:t>
            </w:r>
            <w:r w:rsidRPr="00F65658">
              <w:rPr>
                <w:rFonts w:cs="Arial"/>
                <w:sz w:val="16"/>
                <w:szCs w:val="16"/>
              </w:rPr>
              <w:t>bean paste can significantly reduce cyanide levels</w:t>
            </w:r>
            <w:r>
              <w:rPr>
                <w:rFonts w:cs="Arial"/>
                <w:sz w:val="16"/>
                <w:szCs w:val="16"/>
              </w:rPr>
              <w:t xml:space="preserve"> </w:t>
            </w:r>
            <w:r w:rsidRPr="00F65658">
              <w:rPr>
                <w:rFonts w:cs="Arial"/>
                <w:sz w:val="16"/>
                <w:szCs w:val="16"/>
              </w:rPr>
              <w:t>(Kawamura, 1993; Adeparusi, 2001)</w:t>
            </w:r>
            <w:r>
              <w:rPr>
                <w:rFonts w:cs="Arial"/>
                <w:sz w:val="16"/>
                <w:szCs w:val="16"/>
              </w:rPr>
              <w:t>.</w:t>
            </w:r>
          </w:p>
          <w:p w:rsidR="0093006F" w:rsidRDefault="0093006F" w:rsidP="00425868">
            <w:pPr>
              <w:cnfStyle w:val="000000010000" w:firstRow="0" w:lastRow="0" w:firstColumn="0" w:lastColumn="0" w:oddVBand="0" w:evenVBand="0" w:oddHBand="0" w:evenHBand="1" w:firstRowFirstColumn="0" w:firstRowLastColumn="0" w:lastRowFirstColumn="0" w:lastRowLastColumn="0"/>
              <w:rPr>
                <w:rFonts w:cs="Arial"/>
                <w:sz w:val="16"/>
                <w:szCs w:val="16"/>
              </w:rPr>
            </w:pPr>
          </w:p>
          <w:p w:rsidR="0093006F" w:rsidRDefault="0093006F" w:rsidP="00425868">
            <w:pPr>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 xml:space="preserve">Sunflower seeds – </w:t>
            </w:r>
            <w:r w:rsidRPr="006844B3">
              <w:rPr>
                <w:rFonts w:cs="Arial"/>
                <w:sz w:val="16"/>
                <w:szCs w:val="16"/>
              </w:rPr>
              <w:t>cyanogenesis is not known to occur in the genera Helianthus L. (sunflowers)</w:t>
            </w:r>
            <w:r>
              <w:rPr>
                <w:rFonts w:cs="Arial"/>
                <w:sz w:val="16"/>
                <w:szCs w:val="16"/>
              </w:rPr>
              <w:t xml:space="preserve"> (Jones, 1997).</w:t>
            </w:r>
          </w:p>
          <w:p w:rsidR="0093006F" w:rsidRPr="00F65658" w:rsidRDefault="0093006F" w:rsidP="00425868">
            <w:pPr>
              <w:cnfStyle w:val="000000010000" w:firstRow="0" w:lastRow="0" w:firstColumn="0" w:lastColumn="0" w:oddVBand="0" w:evenVBand="0" w:oddHBand="0" w:evenHBand="1" w:firstRowFirstColumn="0" w:firstRowLastColumn="0" w:lastRowFirstColumn="0" w:lastRowLastColumn="0"/>
              <w:rPr>
                <w:rFonts w:cs="Arial"/>
                <w:sz w:val="16"/>
                <w:szCs w:val="16"/>
              </w:rPr>
            </w:pPr>
          </w:p>
        </w:tc>
        <w:tc>
          <w:tcPr>
            <w:cnfStyle w:val="000100000000" w:firstRow="0" w:lastRow="0" w:firstColumn="0" w:lastColumn="1" w:oddVBand="0" w:evenVBand="0" w:oddHBand="0" w:evenHBand="0" w:firstRowFirstColumn="0" w:firstRowLastColumn="0" w:lastRowFirstColumn="0" w:lastRowLastColumn="0"/>
            <w:tcW w:w="889" w:type="pct"/>
            <w:tcBorders>
              <w:left w:val="single" w:sz="8" w:space="0" w:color="7BA0CD" w:themeColor="accent1" w:themeTint="BF"/>
              <w:bottom w:val="single" w:sz="8" w:space="0" w:color="7BA0CD" w:themeColor="accent1" w:themeTint="BF"/>
            </w:tcBorders>
            <w:shd w:val="clear" w:color="auto" w:fill="auto"/>
          </w:tcPr>
          <w:p w:rsidR="0093006F" w:rsidRDefault="0093006F" w:rsidP="00425868">
            <w:pPr>
              <w:rPr>
                <w:rFonts w:cs="Arial"/>
                <w:b w:val="0"/>
                <w:sz w:val="16"/>
                <w:szCs w:val="16"/>
              </w:rPr>
            </w:pPr>
          </w:p>
          <w:p w:rsidR="0093006F" w:rsidRPr="00B868A9" w:rsidRDefault="0093006F" w:rsidP="00425868">
            <w:pPr>
              <w:rPr>
                <w:rFonts w:cs="Arial"/>
                <w:b w:val="0"/>
                <w:sz w:val="20"/>
                <w:szCs w:val="20"/>
              </w:rPr>
            </w:pPr>
            <w:r>
              <w:rPr>
                <w:rFonts w:cs="Arial"/>
                <w:b w:val="0"/>
                <w:sz w:val="16"/>
                <w:szCs w:val="16"/>
              </w:rPr>
              <w:t>N</w:t>
            </w:r>
            <w:r w:rsidRPr="00F17236">
              <w:rPr>
                <w:rFonts w:cs="Arial"/>
                <w:b w:val="0"/>
                <w:sz w:val="16"/>
                <w:szCs w:val="16"/>
              </w:rPr>
              <w:t xml:space="preserve">o </w:t>
            </w:r>
            <w:r>
              <w:rPr>
                <w:rFonts w:cs="Arial"/>
                <w:b w:val="0"/>
                <w:sz w:val="16"/>
                <w:szCs w:val="16"/>
              </w:rPr>
              <w:t>standards established.</w:t>
            </w:r>
          </w:p>
        </w:tc>
      </w:tr>
      <w:tr w:rsidR="0093006F" w:rsidRPr="00B868A9" w:rsidTr="00132AB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9" w:type="pct"/>
            <w:tcBorders>
              <w:top w:val="single" w:sz="8" w:space="0" w:color="7BA0CD" w:themeColor="accent1" w:themeTint="BF"/>
              <w:right w:val="single" w:sz="8" w:space="0" w:color="7BA0CD" w:themeColor="accent1" w:themeTint="BF"/>
            </w:tcBorders>
            <w:shd w:val="clear" w:color="auto" w:fill="D3DFEE"/>
          </w:tcPr>
          <w:p w:rsidR="0093006F" w:rsidRPr="00B868A9" w:rsidRDefault="0093006F" w:rsidP="00425868">
            <w:pPr>
              <w:rPr>
                <w:rFonts w:cs="Arial"/>
                <w:sz w:val="20"/>
                <w:szCs w:val="20"/>
              </w:rPr>
            </w:pPr>
            <w:r w:rsidRPr="00B868A9">
              <w:rPr>
                <w:rFonts w:cs="Arial"/>
                <w:sz w:val="20"/>
                <w:szCs w:val="20"/>
              </w:rPr>
              <w:t>Miscellaneous foods</w:t>
            </w:r>
          </w:p>
          <w:p w:rsidR="0093006F" w:rsidRPr="00E35AC5" w:rsidRDefault="0093006F" w:rsidP="00425868">
            <w:pPr>
              <w:spacing w:line="240" w:lineRule="atLeast"/>
              <w:rPr>
                <w:rFonts w:cs="Arial"/>
                <w:b w:val="0"/>
                <w:sz w:val="20"/>
                <w:szCs w:val="20"/>
                <w:u w:val="single"/>
              </w:rPr>
            </w:pPr>
            <w:r w:rsidRPr="00E35AC5">
              <w:rPr>
                <w:rFonts w:cs="Arial"/>
                <w:b w:val="0"/>
                <w:sz w:val="20"/>
                <w:szCs w:val="20"/>
                <w:u w:val="single"/>
              </w:rPr>
              <w:t>Survey 1</w:t>
            </w:r>
          </w:p>
          <w:p w:rsidR="0093006F" w:rsidRPr="00B868A9" w:rsidRDefault="0093006F" w:rsidP="00425868">
            <w:pPr>
              <w:spacing w:line="240" w:lineRule="atLeast"/>
              <w:rPr>
                <w:rFonts w:cs="Arial"/>
                <w:b w:val="0"/>
                <w:sz w:val="20"/>
                <w:szCs w:val="20"/>
              </w:rPr>
            </w:pPr>
            <w:r>
              <w:rPr>
                <w:rFonts w:cs="Arial"/>
                <w:b w:val="0"/>
                <w:sz w:val="20"/>
                <w:szCs w:val="20"/>
              </w:rPr>
              <w:tab/>
            </w:r>
            <w:r w:rsidRPr="00B868A9">
              <w:rPr>
                <w:rFonts w:cs="Arial"/>
                <w:b w:val="0"/>
                <w:sz w:val="20"/>
                <w:szCs w:val="20"/>
              </w:rPr>
              <w:t xml:space="preserve">Passionfruit and passionfruit </w:t>
            </w:r>
            <w:r>
              <w:rPr>
                <w:rFonts w:cs="Arial"/>
                <w:b w:val="0"/>
                <w:sz w:val="20"/>
                <w:szCs w:val="20"/>
              </w:rPr>
              <w:tab/>
            </w:r>
            <w:r w:rsidRPr="00B868A9">
              <w:rPr>
                <w:rFonts w:cs="Arial"/>
                <w:b w:val="0"/>
                <w:sz w:val="20"/>
                <w:szCs w:val="20"/>
              </w:rPr>
              <w:t>products</w:t>
            </w:r>
          </w:p>
          <w:p w:rsidR="0093006F" w:rsidRPr="00B868A9" w:rsidRDefault="0093006F" w:rsidP="00425868">
            <w:pPr>
              <w:spacing w:line="240" w:lineRule="atLeast"/>
              <w:rPr>
                <w:rFonts w:cs="Arial"/>
                <w:b w:val="0"/>
                <w:sz w:val="20"/>
                <w:szCs w:val="20"/>
              </w:rPr>
            </w:pPr>
            <w:r>
              <w:rPr>
                <w:rFonts w:cs="Arial"/>
                <w:b w:val="0"/>
                <w:sz w:val="20"/>
                <w:szCs w:val="20"/>
              </w:rPr>
              <w:tab/>
            </w:r>
            <w:r w:rsidRPr="00B868A9">
              <w:rPr>
                <w:rFonts w:cs="Arial"/>
                <w:b w:val="0"/>
                <w:sz w:val="20"/>
                <w:szCs w:val="20"/>
              </w:rPr>
              <w:t xml:space="preserve">Taro </w:t>
            </w:r>
            <w:r>
              <w:rPr>
                <w:rFonts w:cs="Arial"/>
                <w:b w:val="0"/>
                <w:sz w:val="20"/>
                <w:szCs w:val="20"/>
              </w:rPr>
              <w:t xml:space="preserve">leaves </w:t>
            </w:r>
            <w:r w:rsidRPr="00B868A9">
              <w:rPr>
                <w:rFonts w:cs="Arial"/>
                <w:b w:val="0"/>
                <w:sz w:val="20"/>
                <w:szCs w:val="20"/>
              </w:rPr>
              <w:t xml:space="preserve">and taro </w:t>
            </w:r>
            <w:r>
              <w:rPr>
                <w:rFonts w:cs="Arial"/>
                <w:b w:val="0"/>
                <w:sz w:val="20"/>
                <w:szCs w:val="20"/>
              </w:rPr>
              <w:t xml:space="preserve">leaf </w:t>
            </w:r>
            <w:r w:rsidRPr="00B868A9">
              <w:rPr>
                <w:rFonts w:cs="Arial"/>
                <w:b w:val="0"/>
                <w:sz w:val="20"/>
                <w:szCs w:val="20"/>
              </w:rPr>
              <w:t>products</w:t>
            </w:r>
          </w:p>
          <w:p w:rsidR="0093006F" w:rsidRPr="00B868A9" w:rsidRDefault="0093006F" w:rsidP="00425868">
            <w:pPr>
              <w:spacing w:line="240" w:lineRule="atLeast"/>
              <w:rPr>
                <w:rFonts w:cs="Arial"/>
                <w:b w:val="0"/>
                <w:sz w:val="20"/>
                <w:szCs w:val="20"/>
              </w:rPr>
            </w:pPr>
            <w:r>
              <w:rPr>
                <w:rFonts w:cs="Arial"/>
                <w:b w:val="0"/>
                <w:sz w:val="20"/>
                <w:szCs w:val="20"/>
              </w:rPr>
              <w:tab/>
            </w:r>
            <w:r w:rsidRPr="00B868A9">
              <w:rPr>
                <w:rFonts w:cs="Arial"/>
                <w:b w:val="0"/>
                <w:sz w:val="20"/>
                <w:szCs w:val="20"/>
              </w:rPr>
              <w:t>Spinach</w:t>
            </w:r>
          </w:p>
          <w:p w:rsidR="0093006F" w:rsidRPr="00B868A9" w:rsidRDefault="0093006F" w:rsidP="00425868">
            <w:pPr>
              <w:spacing w:line="240" w:lineRule="atLeast"/>
              <w:rPr>
                <w:rFonts w:cs="Arial"/>
                <w:sz w:val="20"/>
                <w:szCs w:val="20"/>
              </w:rPr>
            </w:pPr>
            <w:r>
              <w:rPr>
                <w:rFonts w:cs="Arial"/>
                <w:b w:val="0"/>
                <w:sz w:val="20"/>
                <w:szCs w:val="20"/>
              </w:rPr>
              <w:tab/>
            </w:r>
            <w:r w:rsidRPr="00B868A9">
              <w:rPr>
                <w:rFonts w:cs="Arial"/>
                <w:b w:val="0"/>
                <w:sz w:val="20"/>
                <w:szCs w:val="20"/>
              </w:rPr>
              <w:t>Vine leaves, canned</w:t>
            </w:r>
          </w:p>
        </w:tc>
        <w:tc>
          <w:tcPr>
            <w:cnfStyle w:val="000010000000" w:firstRow="0" w:lastRow="0" w:firstColumn="0" w:lastColumn="0" w:oddVBand="1" w:evenVBand="0" w:oddHBand="0" w:evenHBand="0" w:firstRowFirstColumn="0" w:firstRowLastColumn="0" w:lastRowFirstColumn="0" w:lastRowLastColumn="0"/>
            <w:tcW w:w="431" w:type="pct"/>
            <w:tcBorders>
              <w:top w:val="single" w:sz="8" w:space="0" w:color="7BA0CD" w:themeColor="accent1" w:themeTint="BF"/>
              <w:left w:val="single" w:sz="8" w:space="0" w:color="7BA0CD" w:themeColor="accent1" w:themeTint="BF"/>
              <w:right w:val="single" w:sz="8" w:space="0" w:color="7BA0CD" w:themeColor="accent1" w:themeTint="BF"/>
            </w:tcBorders>
            <w:shd w:val="clear" w:color="auto" w:fill="D3DFEE"/>
          </w:tcPr>
          <w:p w:rsidR="0093006F" w:rsidRPr="00541B9D" w:rsidRDefault="0093006F" w:rsidP="00425868">
            <w:pPr>
              <w:jc w:val="center"/>
              <w:rPr>
                <w:rFonts w:cs="Arial"/>
                <w:b w:val="0"/>
                <w:sz w:val="20"/>
                <w:szCs w:val="20"/>
              </w:rPr>
            </w:pPr>
          </w:p>
          <w:p w:rsidR="0093006F" w:rsidRPr="00541B9D" w:rsidRDefault="0093006F" w:rsidP="00425868">
            <w:pPr>
              <w:jc w:val="center"/>
              <w:rPr>
                <w:rFonts w:cs="Arial"/>
                <w:b w:val="0"/>
                <w:sz w:val="20"/>
                <w:szCs w:val="20"/>
              </w:rPr>
            </w:pPr>
          </w:p>
          <w:p w:rsidR="0093006F" w:rsidRPr="00541B9D" w:rsidRDefault="0093006F" w:rsidP="00425868">
            <w:pPr>
              <w:jc w:val="center"/>
              <w:rPr>
                <w:rFonts w:cs="Arial"/>
                <w:b w:val="0"/>
                <w:sz w:val="20"/>
                <w:szCs w:val="20"/>
              </w:rPr>
            </w:pPr>
            <w:r w:rsidRPr="00541B9D">
              <w:rPr>
                <w:rFonts w:cs="Arial"/>
                <w:b w:val="0"/>
                <w:sz w:val="20"/>
                <w:szCs w:val="20"/>
              </w:rPr>
              <w:t>5</w:t>
            </w:r>
          </w:p>
          <w:p w:rsidR="0093006F" w:rsidRDefault="0093006F" w:rsidP="00425868">
            <w:pPr>
              <w:jc w:val="center"/>
              <w:rPr>
                <w:rFonts w:cs="Arial"/>
                <w:b w:val="0"/>
                <w:sz w:val="20"/>
                <w:szCs w:val="20"/>
              </w:rPr>
            </w:pPr>
          </w:p>
          <w:p w:rsidR="0093006F" w:rsidRPr="00541B9D" w:rsidRDefault="0093006F" w:rsidP="00425868">
            <w:pPr>
              <w:jc w:val="center"/>
              <w:rPr>
                <w:rFonts w:cs="Arial"/>
                <w:b w:val="0"/>
                <w:sz w:val="20"/>
                <w:szCs w:val="20"/>
              </w:rPr>
            </w:pPr>
            <w:r w:rsidRPr="00541B9D">
              <w:rPr>
                <w:rFonts w:cs="Arial"/>
                <w:b w:val="0"/>
                <w:sz w:val="20"/>
                <w:szCs w:val="20"/>
              </w:rPr>
              <w:t>2</w:t>
            </w:r>
          </w:p>
          <w:p w:rsidR="0093006F" w:rsidRPr="00541B9D" w:rsidRDefault="0093006F" w:rsidP="00425868">
            <w:pPr>
              <w:jc w:val="center"/>
              <w:rPr>
                <w:rFonts w:cs="Arial"/>
                <w:b w:val="0"/>
                <w:sz w:val="20"/>
                <w:szCs w:val="20"/>
              </w:rPr>
            </w:pPr>
            <w:r w:rsidRPr="00541B9D">
              <w:rPr>
                <w:rFonts w:cs="Arial"/>
                <w:b w:val="0"/>
                <w:sz w:val="20"/>
                <w:szCs w:val="20"/>
              </w:rPr>
              <w:t>2</w:t>
            </w:r>
          </w:p>
          <w:p w:rsidR="0093006F" w:rsidRPr="00541B9D" w:rsidRDefault="0093006F" w:rsidP="00425868">
            <w:pPr>
              <w:jc w:val="center"/>
              <w:rPr>
                <w:rFonts w:cs="Arial"/>
                <w:b w:val="0"/>
                <w:sz w:val="20"/>
                <w:szCs w:val="20"/>
              </w:rPr>
            </w:pPr>
            <w:r w:rsidRPr="00541B9D">
              <w:rPr>
                <w:rFonts w:cs="Arial"/>
                <w:b w:val="0"/>
                <w:sz w:val="20"/>
                <w:szCs w:val="20"/>
              </w:rPr>
              <w:t>1</w:t>
            </w:r>
          </w:p>
        </w:tc>
        <w:tc>
          <w:tcPr>
            <w:tcW w:w="575" w:type="pct"/>
            <w:tcBorders>
              <w:top w:val="single" w:sz="8" w:space="0" w:color="7BA0CD" w:themeColor="accent1" w:themeTint="BF"/>
              <w:left w:val="single" w:sz="8" w:space="0" w:color="7BA0CD" w:themeColor="accent1" w:themeTint="BF"/>
              <w:right w:val="single" w:sz="8" w:space="0" w:color="7BA0CD" w:themeColor="accent1" w:themeTint="BF"/>
            </w:tcBorders>
            <w:shd w:val="clear" w:color="auto" w:fill="D3DFEE"/>
          </w:tcPr>
          <w:p w:rsidR="0093006F" w:rsidRPr="00541B9D" w:rsidRDefault="0093006F" w:rsidP="00425868">
            <w:pPr>
              <w:jc w:val="center"/>
              <w:cnfStyle w:val="010000000000" w:firstRow="0" w:lastRow="1" w:firstColumn="0" w:lastColumn="0" w:oddVBand="0" w:evenVBand="0" w:oddHBand="0" w:evenHBand="0" w:firstRowFirstColumn="0" w:firstRowLastColumn="0" w:lastRowFirstColumn="0" w:lastRowLastColumn="0"/>
              <w:rPr>
                <w:rFonts w:cs="Arial"/>
                <w:b w:val="0"/>
                <w:sz w:val="20"/>
                <w:szCs w:val="20"/>
              </w:rPr>
            </w:pPr>
          </w:p>
          <w:p w:rsidR="0093006F" w:rsidRPr="00541B9D" w:rsidRDefault="0093006F" w:rsidP="00425868">
            <w:pPr>
              <w:jc w:val="center"/>
              <w:cnfStyle w:val="010000000000" w:firstRow="0" w:lastRow="1" w:firstColumn="0" w:lastColumn="0" w:oddVBand="0" w:evenVBand="0" w:oddHBand="0" w:evenHBand="0" w:firstRowFirstColumn="0" w:firstRowLastColumn="0" w:lastRowFirstColumn="0" w:lastRowLastColumn="0"/>
              <w:rPr>
                <w:rFonts w:cs="Arial"/>
                <w:b w:val="0"/>
                <w:sz w:val="20"/>
                <w:szCs w:val="20"/>
              </w:rPr>
            </w:pPr>
          </w:p>
          <w:p w:rsidR="0093006F" w:rsidRPr="00541B9D" w:rsidRDefault="0093006F" w:rsidP="00425868">
            <w:pPr>
              <w:jc w:val="center"/>
              <w:cnfStyle w:val="010000000000" w:firstRow="0" w:lastRow="1" w:firstColumn="0" w:lastColumn="0" w:oddVBand="0" w:evenVBand="0" w:oddHBand="0" w:evenHBand="0" w:firstRowFirstColumn="0" w:firstRowLastColumn="0" w:lastRowFirstColumn="0" w:lastRowLastColumn="0"/>
              <w:rPr>
                <w:rFonts w:cs="Arial"/>
                <w:b w:val="0"/>
                <w:sz w:val="20"/>
                <w:szCs w:val="20"/>
              </w:rPr>
            </w:pPr>
            <w:r w:rsidRPr="00541B9D">
              <w:rPr>
                <w:rFonts w:cs="Arial"/>
                <w:b w:val="0"/>
                <w:sz w:val="20"/>
                <w:szCs w:val="20"/>
              </w:rPr>
              <w:t>2 (40)</w:t>
            </w:r>
          </w:p>
          <w:p w:rsidR="0093006F" w:rsidRDefault="0093006F" w:rsidP="00425868">
            <w:pPr>
              <w:jc w:val="center"/>
              <w:cnfStyle w:val="010000000000" w:firstRow="0" w:lastRow="1" w:firstColumn="0" w:lastColumn="0" w:oddVBand="0" w:evenVBand="0" w:oddHBand="0" w:evenHBand="0" w:firstRowFirstColumn="0" w:firstRowLastColumn="0" w:lastRowFirstColumn="0" w:lastRowLastColumn="0"/>
              <w:rPr>
                <w:rFonts w:cs="Arial"/>
                <w:b w:val="0"/>
                <w:sz w:val="20"/>
                <w:szCs w:val="20"/>
              </w:rPr>
            </w:pPr>
          </w:p>
          <w:p w:rsidR="0093006F" w:rsidRPr="00541B9D" w:rsidRDefault="0093006F" w:rsidP="00425868">
            <w:pPr>
              <w:jc w:val="center"/>
              <w:cnfStyle w:val="010000000000" w:firstRow="0" w:lastRow="1" w:firstColumn="0" w:lastColumn="0" w:oddVBand="0" w:evenVBand="0" w:oddHBand="0" w:evenHBand="0" w:firstRowFirstColumn="0" w:firstRowLastColumn="0" w:lastRowFirstColumn="0" w:lastRowLastColumn="0"/>
              <w:rPr>
                <w:rFonts w:cs="Arial"/>
                <w:b w:val="0"/>
                <w:sz w:val="20"/>
                <w:szCs w:val="20"/>
              </w:rPr>
            </w:pPr>
            <w:r w:rsidRPr="00541B9D">
              <w:rPr>
                <w:rFonts w:cs="Arial"/>
                <w:b w:val="0"/>
                <w:sz w:val="20"/>
                <w:szCs w:val="20"/>
              </w:rPr>
              <w:t>0 (0)</w:t>
            </w:r>
          </w:p>
          <w:p w:rsidR="0093006F" w:rsidRPr="00541B9D" w:rsidRDefault="0093006F" w:rsidP="00425868">
            <w:pPr>
              <w:jc w:val="center"/>
              <w:cnfStyle w:val="010000000000" w:firstRow="0" w:lastRow="1" w:firstColumn="0" w:lastColumn="0" w:oddVBand="0" w:evenVBand="0" w:oddHBand="0" w:evenHBand="0" w:firstRowFirstColumn="0" w:firstRowLastColumn="0" w:lastRowFirstColumn="0" w:lastRowLastColumn="0"/>
              <w:rPr>
                <w:rFonts w:cs="Arial"/>
                <w:b w:val="0"/>
                <w:sz w:val="20"/>
                <w:szCs w:val="20"/>
              </w:rPr>
            </w:pPr>
            <w:r w:rsidRPr="00541B9D">
              <w:rPr>
                <w:rFonts w:cs="Arial"/>
                <w:b w:val="0"/>
                <w:sz w:val="20"/>
                <w:szCs w:val="20"/>
              </w:rPr>
              <w:t>0 (0)</w:t>
            </w:r>
          </w:p>
          <w:p w:rsidR="0093006F" w:rsidRPr="00541B9D" w:rsidRDefault="0093006F" w:rsidP="00425868">
            <w:pPr>
              <w:jc w:val="center"/>
              <w:cnfStyle w:val="010000000000" w:firstRow="0" w:lastRow="1" w:firstColumn="0" w:lastColumn="0" w:oddVBand="0" w:evenVBand="0" w:oddHBand="0" w:evenHBand="0" w:firstRowFirstColumn="0" w:firstRowLastColumn="0" w:lastRowFirstColumn="0" w:lastRowLastColumn="0"/>
              <w:rPr>
                <w:rFonts w:cs="Arial"/>
                <w:b w:val="0"/>
                <w:sz w:val="20"/>
                <w:szCs w:val="20"/>
              </w:rPr>
            </w:pPr>
            <w:r w:rsidRPr="00541B9D">
              <w:rPr>
                <w:rFonts w:cs="Arial"/>
                <w:b w:val="0"/>
                <w:sz w:val="20"/>
                <w:szCs w:val="20"/>
              </w:rPr>
              <w:t>0 (0)</w:t>
            </w:r>
          </w:p>
        </w:tc>
        <w:tc>
          <w:tcPr>
            <w:cnfStyle w:val="000010000000" w:firstRow="0" w:lastRow="0" w:firstColumn="0" w:lastColumn="0" w:oddVBand="1" w:evenVBand="0" w:oddHBand="0" w:evenHBand="0" w:firstRowFirstColumn="0" w:firstRowLastColumn="0" w:lastRowFirstColumn="0" w:lastRowLastColumn="0"/>
            <w:tcW w:w="863" w:type="pct"/>
            <w:tcBorders>
              <w:top w:val="single" w:sz="8" w:space="0" w:color="7BA0CD" w:themeColor="accent1" w:themeTint="BF"/>
              <w:left w:val="single" w:sz="8" w:space="0" w:color="7BA0CD" w:themeColor="accent1" w:themeTint="BF"/>
              <w:right w:val="single" w:sz="8" w:space="0" w:color="7BA0CD" w:themeColor="accent1" w:themeTint="BF"/>
            </w:tcBorders>
            <w:shd w:val="clear" w:color="auto" w:fill="D3DFEE"/>
          </w:tcPr>
          <w:p w:rsidR="0093006F" w:rsidRPr="00B868A9" w:rsidRDefault="0093006F" w:rsidP="00425868">
            <w:pPr>
              <w:jc w:val="center"/>
              <w:rPr>
                <w:rFonts w:cs="Arial"/>
                <w:b w:val="0"/>
                <w:sz w:val="20"/>
                <w:szCs w:val="20"/>
              </w:rPr>
            </w:pPr>
          </w:p>
          <w:p w:rsidR="0093006F" w:rsidRDefault="0093006F" w:rsidP="00425868">
            <w:pPr>
              <w:jc w:val="center"/>
              <w:rPr>
                <w:rFonts w:cs="Arial"/>
                <w:b w:val="0"/>
                <w:sz w:val="20"/>
                <w:szCs w:val="20"/>
              </w:rPr>
            </w:pPr>
          </w:p>
          <w:p w:rsidR="0093006F" w:rsidRPr="00541B9D" w:rsidRDefault="0093006F" w:rsidP="00425868">
            <w:pPr>
              <w:jc w:val="center"/>
              <w:rPr>
                <w:rFonts w:cs="Arial"/>
                <w:sz w:val="20"/>
                <w:szCs w:val="20"/>
              </w:rPr>
            </w:pPr>
            <w:r w:rsidRPr="00541B9D">
              <w:rPr>
                <w:rFonts w:cs="Arial"/>
                <w:sz w:val="20"/>
                <w:szCs w:val="20"/>
              </w:rPr>
              <w:t>5.7 (4.7-6.6)</w:t>
            </w:r>
          </w:p>
          <w:p w:rsidR="0093006F" w:rsidRPr="00541B9D" w:rsidRDefault="0093006F" w:rsidP="00425868">
            <w:pPr>
              <w:jc w:val="center"/>
              <w:rPr>
                <w:rFonts w:cs="Arial"/>
                <w:sz w:val="20"/>
                <w:szCs w:val="20"/>
              </w:rPr>
            </w:pPr>
            <w:r w:rsidRPr="00541B9D">
              <w:rPr>
                <w:rFonts w:cs="Arial"/>
                <w:sz w:val="20"/>
                <w:szCs w:val="20"/>
              </w:rPr>
              <w:t>-</w:t>
            </w:r>
          </w:p>
          <w:p w:rsidR="0093006F" w:rsidRPr="00541B9D" w:rsidRDefault="0093006F" w:rsidP="00425868">
            <w:pPr>
              <w:jc w:val="center"/>
              <w:rPr>
                <w:rFonts w:cs="Arial"/>
                <w:sz w:val="20"/>
                <w:szCs w:val="20"/>
              </w:rPr>
            </w:pPr>
            <w:r w:rsidRPr="00541B9D">
              <w:rPr>
                <w:rFonts w:cs="Arial"/>
                <w:sz w:val="20"/>
                <w:szCs w:val="20"/>
              </w:rPr>
              <w:t>-</w:t>
            </w:r>
          </w:p>
          <w:p w:rsidR="0093006F" w:rsidRPr="00B868A9" w:rsidRDefault="0093006F" w:rsidP="00425868">
            <w:pPr>
              <w:jc w:val="center"/>
              <w:rPr>
                <w:rFonts w:cs="Arial"/>
                <w:b w:val="0"/>
                <w:sz w:val="20"/>
                <w:szCs w:val="20"/>
              </w:rPr>
            </w:pPr>
            <w:r w:rsidRPr="00541B9D">
              <w:rPr>
                <w:rFonts w:cs="Arial"/>
                <w:sz w:val="20"/>
                <w:szCs w:val="20"/>
              </w:rPr>
              <w:t>-</w:t>
            </w:r>
          </w:p>
        </w:tc>
        <w:tc>
          <w:tcPr>
            <w:tcW w:w="863" w:type="pct"/>
            <w:tcBorders>
              <w:top w:val="single" w:sz="8" w:space="0" w:color="7BA0CD" w:themeColor="accent1" w:themeTint="BF"/>
              <w:left w:val="single" w:sz="8" w:space="0" w:color="7BA0CD" w:themeColor="accent1" w:themeTint="BF"/>
              <w:right w:val="single" w:sz="8" w:space="0" w:color="7BA0CD" w:themeColor="accent1" w:themeTint="BF"/>
            </w:tcBorders>
            <w:shd w:val="clear" w:color="auto" w:fill="D3DFEE"/>
          </w:tcPr>
          <w:p w:rsidR="0093006F" w:rsidRDefault="0093006F" w:rsidP="00425868">
            <w:pPr>
              <w:cnfStyle w:val="010000000000" w:firstRow="0" w:lastRow="1" w:firstColumn="0" w:lastColumn="0" w:oddVBand="0" w:evenVBand="0" w:oddHBand="0" w:evenHBand="0" w:firstRowFirstColumn="0" w:firstRowLastColumn="0" w:lastRowFirstColumn="0" w:lastRowLastColumn="0"/>
              <w:rPr>
                <w:rFonts w:cs="Arial"/>
                <w:sz w:val="16"/>
                <w:szCs w:val="16"/>
              </w:rPr>
            </w:pPr>
          </w:p>
          <w:p w:rsidR="0093006F" w:rsidRPr="00921BA5" w:rsidRDefault="0093006F" w:rsidP="00425868">
            <w:pPr>
              <w:cnfStyle w:val="010000000000" w:firstRow="0" w:lastRow="1" w:firstColumn="0" w:lastColumn="0" w:oddVBand="0" w:evenVBand="0" w:oddHBand="0" w:evenHBand="0" w:firstRowFirstColumn="0" w:firstRowLastColumn="0" w:lastRowFirstColumn="0" w:lastRowLastColumn="0"/>
              <w:rPr>
                <w:rFonts w:cs="Arial"/>
                <w:b w:val="0"/>
                <w:sz w:val="16"/>
                <w:szCs w:val="16"/>
              </w:rPr>
            </w:pPr>
            <w:r w:rsidRPr="00921BA5">
              <w:rPr>
                <w:rFonts w:cs="Arial"/>
                <w:b w:val="0"/>
                <w:sz w:val="16"/>
                <w:szCs w:val="16"/>
              </w:rPr>
              <w:t>Passionfruit (Passiflora edulis) juice – approximately 6-8 mg/kg total HCN (Chassagne et al, 1996).</w:t>
            </w:r>
          </w:p>
          <w:p w:rsidR="0093006F" w:rsidRPr="00921BA5" w:rsidRDefault="0093006F" w:rsidP="00425868">
            <w:pPr>
              <w:cnfStyle w:val="010000000000" w:firstRow="0" w:lastRow="1" w:firstColumn="0" w:lastColumn="0" w:oddVBand="0" w:evenVBand="0" w:oddHBand="0" w:evenHBand="0" w:firstRowFirstColumn="0" w:firstRowLastColumn="0" w:lastRowFirstColumn="0" w:lastRowLastColumn="0"/>
              <w:rPr>
                <w:rFonts w:cs="Arial"/>
                <w:b w:val="0"/>
                <w:sz w:val="16"/>
                <w:szCs w:val="16"/>
              </w:rPr>
            </w:pPr>
          </w:p>
          <w:p w:rsidR="0093006F" w:rsidRPr="00921BA5" w:rsidRDefault="0093006F" w:rsidP="00425868">
            <w:pPr>
              <w:cnfStyle w:val="010000000000" w:firstRow="0" w:lastRow="1" w:firstColumn="0" w:lastColumn="0" w:oddVBand="0" w:evenVBand="0" w:oddHBand="0" w:evenHBand="0" w:firstRowFirstColumn="0" w:firstRowLastColumn="0" w:lastRowFirstColumn="0" w:lastRowLastColumn="0"/>
              <w:rPr>
                <w:rFonts w:cs="Arial"/>
                <w:b w:val="0"/>
                <w:sz w:val="16"/>
                <w:szCs w:val="16"/>
              </w:rPr>
            </w:pPr>
            <w:r w:rsidRPr="00921BA5">
              <w:rPr>
                <w:rFonts w:cs="Arial"/>
                <w:b w:val="0"/>
                <w:sz w:val="16"/>
                <w:szCs w:val="16"/>
              </w:rPr>
              <w:t>Giant taro leaves – 29 mg/kg (Haque and Bradbury, 2002).</w:t>
            </w:r>
          </w:p>
          <w:p w:rsidR="0093006F" w:rsidRPr="00F65658" w:rsidRDefault="0093006F" w:rsidP="00425868">
            <w:pPr>
              <w:cnfStyle w:val="010000000000" w:firstRow="0" w:lastRow="1" w:firstColumn="0" w:lastColumn="0" w:oddVBand="0" w:evenVBand="0" w:oddHBand="0" w:evenHBand="0" w:firstRowFirstColumn="0" w:firstRowLastColumn="0" w:lastRowFirstColumn="0" w:lastRowLastColumn="0"/>
              <w:rPr>
                <w:rFonts w:cs="Arial"/>
                <w:sz w:val="16"/>
                <w:szCs w:val="16"/>
              </w:rPr>
            </w:pPr>
          </w:p>
        </w:tc>
        <w:tc>
          <w:tcPr>
            <w:cnfStyle w:val="000100000000" w:firstRow="0" w:lastRow="0" w:firstColumn="0" w:lastColumn="1" w:oddVBand="0" w:evenVBand="0" w:oddHBand="0" w:evenHBand="0" w:firstRowFirstColumn="0" w:firstRowLastColumn="0" w:lastRowFirstColumn="0" w:lastRowLastColumn="0"/>
            <w:tcW w:w="889" w:type="pct"/>
            <w:tcBorders>
              <w:top w:val="single" w:sz="8" w:space="0" w:color="7BA0CD" w:themeColor="accent1" w:themeTint="BF"/>
              <w:left w:val="single" w:sz="8" w:space="0" w:color="7BA0CD" w:themeColor="accent1" w:themeTint="BF"/>
            </w:tcBorders>
            <w:shd w:val="clear" w:color="auto" w:fill="D3DFEE"/>
          </w:tcPr>
          <w:p w:rsidR="0093006F" w:rsidRDefault="0093006F" w:rsidP="00425868">
            <w:pPr>
              <w:rPr>
                <w:rFonts w:cs="Arial"/>
                <w:b w:val="0"/>
                <w:sz w:val="16"/>
                <w:szCs w:val="16"/>
              </w:rPr>
            </w:pPr>
          </w:p>
          <w:p w:rsidR="0093006F" w:rsidRPr="00B868A9" w:rsidRDefault="0093006F" w:rsidP="00425868">
            <w:pPr>
              <w:rPr>
                <w:rFonts w:cs="Arial"/>
                <w:b w:val="0"/>
                <w:sz w:val="20"/>
                <w:szCs w:val="20"/>
              </w:rPr>
            </w:pPr>
            <w:r>
              <w:rPr>
                <w:rFonts w:cs="Arial"/>
                <w:b w:val="0"/>
                <w:sz w:val="16"/>
                <w:szCs w:val="16"/>
              </w:rPr>
              <w:t>N</w:t>
            </w:r>
            <w:r w:rsidRPr="00F17236">
              <w:rPr>
                <w:rFonts w:cs="Arial"/>
                <w:b w:val="0"/>
                <w:sz w:val="16"/>
                <w:szCs w:val="16"/>
              </w:rPr>
              <w:t xml:space="preserve">o </w:t>
            </w:r>
            <w:r>
              <w:rPr>
                <w:rFonts w:cs="Arial"/>
                <w:b w:val="0"/>
                <w:sz w:val="16"/>
                <w:szCs w:val="16"/>
              </w:rPr>
              <w:t>standards established.</w:t>
            </w:r>
          </w:p>
        </w:tc>
      </w:tr>
    </w:tbl>
    <w:p w:rsidR="0093006F" w:rsidRPr="00F65658" w:rsidRDefault="0093006F" w:rsidP="0093006F">
      <w:pPr>
        <w:rPr>
          <w:rFonts w:cs="Arial"/>
          <w:sz w:val="18"/>
          <w:szCs w:val="18"/>
        </w:rPr>
      </w:pPr>
      <w:r>
        <w:rPr>
          <w:rFonts w:cs="Arial"/>
          <w:sz w:val="18"/>
          <w:szCs w:val="18"/>
          <w:vertAlign w:val="superscript"/>
        </w:rPr>
        <w:t xml:space="preserve">^ </w:t>
      </w:r>
      <w:r w:rsidRPr="00F65658">
        <w:rPr>
          <w:rFonts w:cs="Arial"/>
          <w:sz w:val="18"/>
          <w:szCs w:val="18"/>
        </w:rPr>
        <w:t>LSA - a mixture of linseed, sunflower seeds and almonds</w:t>
      </w:r>
      <w:r>
        <w:rPr>
          <w:rFonts w:cs="Arial"/>
          <w:sz w:val="18"/>
          <w:szCs w:val="18"/>
        </w:rPr>
        <w:t>.</w:t>
      </w:r>
    </w:p>
    <w:p w:rsidR="0093006F" w:rsidRPr="00F65658" w:rsidRDefault="0093006F" w:rsidP="0093006F">
      <w:pPr>
        <w:pStyle w:val="ListParagraph"/>
        <w:ind w:left="0"/>
        <w:rPr>
          <w:rFonts w:ascii="Arial" w:hAnsi="Arial" w:cs="Arial"/>
          <w:sz w:val="18"/>
          <w:szCs w:val="18"/>
        </w:rPr>
      </w:pPr>
      <w:r w:rsidRPr="00F65658">
        <w:rPr>
          <w:rFonts w:ascii="Arial" w:hAnsi="Arial" w:cs="Arial"/>
          <w:sz w:val="18"/>
          <w:szCs w:val="18"/>
        </w:rPr>
        <w:t>*</w:t>
      </w:r>
      <w:r>
        <w:rPr>
          <w:rFonts w:ascii="Arial" w:hAnsi="Arial" w:cs="Arial"/>
          <w:sz w:val="18"/>
          <w:szCs w:val="18"/>
        </w:rPr>
        <w:t xml:space="preserve"> </w:t>
      </w:r>
      <w:r w:rsidRPr="00F65658">
        <w:rPr>
          <w:rFonts w:ascii="Arial" w:hAnsi="Arial" w:cs="Arial"/>
          <w:sz w:val="18"/>
          <w:szCs w:val="18"/>
        </w:rPr>
        <w:t>Small green lima beans</w:t>
      </w:r>
      <w:r>
        <w:rPr>
          <w:rFonts w:ascii="Arial" w:hAnsi="Arial" w:cs="Arial"/>
          <w:sz w:val="18"/>
          <w:szCs w:val="18"/>
        </w:rPr>
        <w:t>.</w:t>
      </w:r>
    </w:p>
    <w:p w:rsidR="0093006F" w:rsidRDefault="0093006F" w:rsidP="0093006F">
      <w:pPr>
        <w:pStyle w:val="ListParagraph"/>
        <w:ind w:left="0"/>
        <w:rPr>
          <w:rFonts w:ascii="Arial" w:hAnsi="Arial" w:cs="Arial"/>
          <w:sz w:val="18"/>
          <w:szCs w:val="18"/>
        </w:rPr>
      </w:pPr>
      <w:r w:rsidRPr="00F65658">
        <w:rPr>
          <w:rFonts w:ascii="Arial" w:hAnsi="Arial" w:cs="Arial"/>
          <w:sz w:val="18"/>
          <w:szCs w:val="18"/>
          <w:vertAlign w:val="superscript"/>
        </w:rPr>
        <w:t>#</w:t>
      </w:r>
      <w:r>
        <w:rPr>
          <w:rFonts w:ascii="Arial" w:hAnsi="Arial" w:cs="Arial"/>
          <w:sz w:val="18"/>
          <w:szCs w:val="18"/>
          <w:vertAlign w:val="superscript"/>
        </w:rPr>
        <w:t xml:space="preserve"> </w:t>
      </w:r>
      <w:r w:rsidRPr="00F65658">
        <w:rPr>
          <w:rFonts w:ascii="Arial" w:hAnsi="Arial" w:cs="Arial"/>
          <w:sz w:val="18"/>
          <w:szCs w:val="18"/>
        </w:rPr>
        <w:t>Canned bean salad containing green lima beans</w:t>
      </w:r>
      <w:r>
        <w:rPr>
          <w:rFonts w:ascii="Arial" w:hAnsi="Arial" w:cs="Arial"/>
          <w:sz w:val="18"/>
          <w:szCs w:val="18"/>
        </w:rPr>
        <w:t>.</w:t>
      </w:r>
    </w:p>
    <w:p w:rsidR="00742772" w:rsidRDefault="0093006F" w:rsidP="0093006F">
      <w:pPr>
        <w:pStyle w:val="ListParagraph"/>
        <w:ind w:left="0"/>
        <w:rPr>
          <w:rFonts w:ascii="Arial" w:hAnsi="Arial" w:cs="Arial"/>
          <w:sz w:val="18"/>
          <w:szCs w:val="18"/>
        </w:rPr>
      </w:pPr>
      <w:r w:rsidRPr="00533A5D">
        <w:rPr>
          <w:rFonts w:ascii="Arial" w:hAnsi="Arial" w:cs="Arial"/>
          <w:sz w:val="18"/>
          <w:szCs w:val="18"/>
          <w:vertAlign w:val="superscript"/>
        </w:rPr>
        <w:t>~</w:t>
      </w:r>
      <w:r>
        <w:rPr>
          <w:rFonts w:ascii="Arial" w:hAnsi="Arial" w:cs="Arial"/>
          <w:sz w:val="18"/>
          <w:szCs w:val="18"/>
          <w:vertAlign w:val="superscript"/>
        </w:rPr>
        <w:t xml:space="preserve"> </w:t>
      </w:r>
      <w:r>
        <w:rPr>
          <w:rFonts w:ascii="Arial" w:hAnsi="Arial" w:cs="Arial"/>
          <w:sz w:val="18"/>
          <w:szCs w:val="18"/>
        </w:rPr>
        <w:t>Multiple retail samples were analysed as one composite sample.</w:t>
      </w:r>
    </w:p>
    <w:p w:rsidR="00135D2E" w:rsidRDefault="00135D2E">
      <w:pPr>
        <w:spacing w:after="200" w:line="276" w:lineRule="auto"/>
        <w:rPr>
          <w:rFonts w:eastAsiaTheme="minorHAnsi" w:cs="Arial"/>
          <w:sz w:val="18"/>
          <w:szCs w:val="18"/>
          <w:lang w:val="en-GB" w:eastAsia="en-GB"/>
        </w:rPr>
      </w:pPr>
      <w:r>
        <w:rPr>
          <w:rFonts w:cs="Arial"/>
          <w:sz w:val="18"/>
          <w:szCs w:val="18"/>
        </w:rPr>
        <w:br w:type="page"/>
      </w:r>
    </w:p>
    <w:p w:rsidR="00742772" w:rsidRDefault="00742772" w:rsidP="00742772">
      <w:pPr>
        <w:pStyle w:val="Heading1"/>
      </w:pPr>
      <w:bookmarkStart w:id="201" w:name="_Toc384293540"/>
      <w:r>
        <w:lastRenderedPageBreak/>
        <w:t>Appendix 4. Concentration data used in the dietary exposure assessment</w:t>
      </w:r>
      <w:bookmarkEnd w:id="201"/>
    </w:p>
    <w:p w:rsidR="0064728F" w:rsidRPr="0064728F" w:rsidRDefault="0064728F" w:rsidP="0064728F"/>
    <w:p w:rsidR="00742772" w:rsidRPr="0064728F" w:rsidRDefault="00742772" w:rsidP="0064728F">
      <w:pPr>
        <w:rPr>
          <w:rFonts w:asciiTheme="minorHAnsi" w:hAnsiTheme="minorHAnsi" w:cs="Arial"/>
          <w:b/>
        </w:rPr>
      </w:pPr>
      <w:r w:rsidRPr="0064728F">
        <w:rPr>
          <w:rFonts w:asciiTheme="minorHAnsi" w:hAnsiTheme="minorHAnsi" w:cs="Arial"/>
          <w:b/>
        </w:rPr>
        <w:t xml:space="preserve">Table A4.1. </w:t>
      </w:r>
      <w:r w:rsidRPr="0064728F">
        <w:rPr>
          <w:rFonts w:asciiTheme="minorHAnsi" w:hAnsiTheme="minorHAnsi"/>
          <w:b/>
        </w:rPr>
        <w:t>Concentration of total HCN in selected foods as used in the dietary exposure assessments derived from Australian and New Zealand analytical survey data</w:t>
      </w:r>
    </w:p>
    <w:tbl>
      <w:tblPr>
        <w:tblStyle w:val="MediumShading1-Accent1"/>
        <w:tblW w:w="5012" w:type="pct"/>
        <w:tblBorders>
          <w:insideV w:val="single" w:sz="8" w:space="0" w:color="7BA0CD" w:themeColor="accent1" w:themeTint="BF"/>
        </w:tblBorders>
        <w:tblLayout w:type="fixed"/>
        <w:tblLook w:val="04A0" w:firstRow="1" w:lastRow="0" w:firstColumn="1" w:lastColumn="0" w:noHBand="0" w:noVBand="1"/>
      </w:tblPr>
      <w:tblGrid>
        <w:gridCol w:w="2480"/>
        <w:gridCol w:w="1180"/>
        <w:gridCol w:w="1331"/>
        <w:gridCol w:w="1924"/>
        <w:gridCol w:w="1921"/>
        <w:gridCol w:w="1924"/>
        <w:gridCol w:w="2220"/>
        <w:gridCol w:w="1841"/>
      </w:tblGrid>
      <w:tr w:rsidR="00742772" w:rsidRPr="002C0184" w:rsidTr="0042586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37" w:type="pct"/>
            <w:vMerge w:val="restart"/>
            <w:tcBorders>
              <w:top w:val="none" w:sz="0" w:space="0" w:color="auto"/>
              <w:left w:val="none" w:sz="0" w:space="0" w:color="auto"/>
              <w:bottom w:val="none" w:sz="0" w:space="0" w:color="auto"/>
              <w:right w:val="none" w:sz="0" w:space="0" w:color="auto"/>
            </w:tcBorders>
            <w:noWrap/>
            <w:hideMark/>
          </w:tcPr>
          <w:p w:rsidR="00742772" w:rsidRPr="002C0184" w:rsidRDefault="00742772" w:rsidP="00425868">
            <w:pPr>
              <w:rPr>
                <w:rFonts w:cs="Arial"/>
                <w:bCs w:val="0"/>
                <w:sz w:val="20"/>
                <w:szCs w:val="20"/>
                <w:lang w:eastAsia="en-GB"/>
              </w:rPr>
            </w:pPr>
            <w:r>
              <w:rPr>
                <w:rFonts w:cs="Arial"/>
                <w:sz w:val="18"/>
                <w:szCs w:val="18"/>
              </w:rPr>
              <w:br w:type="page"/>
            </w:r>
            <w:r w:rsidRPr="002C0184">
              <w:rPr>
                <w:rFonts w:cs="Arial"/>
                <w:bCs w:val="0"/>
                <w:sz w:val="20"/>
                <w:szCs w:val="20"/>
                <w:lang w:eastAsia="en-GB"/>
              </w:rPr>
              <w:t>Food</w:t>
            </w:r>
          </w:p>
        </w:tc>
        <w:tc>
          <w:tcPr>
            <w:tcW w:w="398" w:type="pct"/>
            <w:vMerge w:val="restart"/>
            <w:tcBorders>
              <w:top w:val="none" w:sz="0" w:space="0" w:color="auto"/>
              <w:left w:val="none" w:sz="0" w:space="0" w:color="auto"/>
              <w:bottom w:val="none" w:sz="0" w:space="0" w:color="auto"/>
              <w:right w:val="none" w:sz="0" w:space="0" w:color="auto"/>
            </w:tcBorders>
          </w:tcPr>
          <w:p w:rsidR="00742772" w:rsidRPr="002C0184" w:rsidRDefault="00742772" w:rsidP="00425868">
            <w:pPr>
              <w:cnfStyle w:val="100000000000" w:firstRow="1" w:lastRow="0" w:firstColumn="0" w:lastColumn="0" w:oddVBand="0" w:evenVBand="0" w:oddHBand="0" w:evenHBand="0" w:firstRowFirstColumn="0" w:firstRowLastColumn="0" w:lastRowFirstColumn="0" w:lastRowLastColumn="0"/>
              <w:rPr>
                <w:rFonts w:cs="Arial"/>
                <w:bCs w:val="0"/>
                <w:sz w:val="20"/>
                <w:szCs w:val="20"/>
                <w:lang w:eastAsia="en-GB"/>
              </w:rPr>
            </w:pPr>
            <w:r w:rsidRPr="002C0184">
              <w:rPr>
                <w:rFonts w:cs="Arial"/>
                <w:bCs w:val="0"/>
                <w:sz w:val="20"/>
                <w:szCs w:val="20"/>
                <w:lang w:eastAsia="en-GB"/>
              </w:rPr>
              <w:t>Survey</w:t>
            </w:r>
          </w:p>
        </w:tc>
        <w:tc>
          <w:tcPr>
            <w:tcW w:w="449" w:type="pct"/>
            <w:vMerge w:val="restart"/>
            <w:tcBorders>
              <w:top w:val="none" w:sz="0" w:space="0" w:color="auto"/>
              <w:left w:val="none" w:sz="0" w:space="0" w:color="auto"/>
              <w:bottom w:val="none" w:sz="0" w:space="0" w:color="auto"/>
              <w:right w:val="none" w:sz="0" w:space="0" w:color="auto"/>
            </w:tcBorders>
            <w:hideMark/>
          </w:tcPr>
          <w:p w:rsidR="00742772" w:rsidRPr="002C0184" w:rsidRDefault="00742772" w:rsidP="00425868">
            <w:pPr>
              <w:cnfStyle w:val="100000000000" w:firstRow="1" w:lastRow="0" w:firstColumn="0" w:lastColumn="0" w:oddVBand="0" w:evenVBand="0" w:oddHBand="0" w:evenHBand="0" w:firstRowFirstColumn="0" w:firstRowLastColumn="0" w:lastRowFirstColumn="0" w:lastRowLastColumn="0"/>
              <w:rPr>
                <w:rFonts w:cs="Arial"/>
                <w:bCs w:val="0"/>
                <w:sz w:val="20"/>
                <w:szCs w:val="20"/>
                <w:lang w:eastAsia="en-GB"/>
              </w:rPr>
            </w:pPr>
            <w:r w:rsidRPr="002C0184">
              <w:rPr>
                <w:rFonts w:cs="Arial"/>
                <w:bCs w:val="0"/>
                <w:sz w:val="20"/>
                <w:szCs w:val="20"/>
                <w:lang w:eastAsia="en-GB"/>
              </w:rPr>
              <w:t>Number of samples</w:t>
            </w:r>
          </w:p>
        </w:tc>
        <w:tc>
          <w:tcPr>
            <w:tcW w:w="649" w:type="pct"/>
            <w:vMerge w:val="restart"/>
            <w:tcBorders>
              <w:top w:val="none" w:sz="0" w:space="0" w:color="auto"/>
              <w:left w:val="none" w:sz="0" w:space="0" w:color="auto"/>
              <w:bottom w:val="none" w:sz="0" w:space="0" w:color="auto"/>
              <w:right w:val="none" w:sz="0" w:space="0" w:color="auto"/>
            </w:tcBorders>
            <w:hideMark/>
          </w:tcPr>
          <w:p w:rsidR="00742772" w:rsidRPr="002C0184" w:rsidRDefault="00742772" w:rsidP="00425868">
            <w:pPr>
              <w:cnfStyle w:val="100000000000" w:firstRow="1" w:lastRow="0" w:firstColumn="0" w:lastColumn="0" w:oddVBand="0" w:evenVBand="0" w:oddHBand="0" w:evenHBand="0" w:firstRowFirstColumn="0" w:firstRowLastColumn="0" w:lastRowFirstColumn="0" w:lastRowLastColumn="0"/>
              <w:rPr>
                <w:rFonts w:cs="Arial"/>
                <w:bCs w:val="0"/>
                <w:sz w:val="20"/>
                <w:szCs w:val="20"/>
                <w:lang w:eastAsia="en-GB"/>
              </w:rPr>
            </w:pPr>
            <w:r w:rsidRPr="002C0184">
              <w:rPr>
                <w:rFonts w:cs="Arial"/>
                <w:bCs w:val="0"/>
                <w:sz w:val="20"/>
                <w:szCs w:val="20"/>
                <w:lang w:eastAsia="en-GB"/>
              </w:rPr>
              <w:t>Number of non-detects</w:t>
            </w:r>
          </w:p>
          <w:p w:rsidR="00742772" w:rsidRPr="002C0184" w:rsidRDefault="00742772" w:rsidP="00425868">
            <w:pPr>
              <w:jc w:val="both"/>
              <w:cnfStyle w:val="100000000000" w:firstRow="1" w:lastRow="0" w:firstColumn="0" w:lastColumn="0" w:oddVBand="0" w:evenVBand="0" w:oddHBand="0" w:evenHBand="0" w:firstRowFirstColumn="0" w:firstRowLastColumn="0" w:lastRowFirstColumn="0" w:lastRowLastColumn="0"/>
              <w:rPr>
                <w:rFonts w:cs="Arial"/>
                <w:bCs w:val="0"/>
                <w:sz w:val="20"/>
                <w:szCs w:val="20"/>
                <w:lang w:eastAsia="en-GB"/>
              </w:rPr>
            </w:pPr>
            <w:r w:rsidRPr="002C0184">
              <w:rPr>
                <w:rFonts w:cs="Arial"/>
                <w:bCs w:val="0"/>
                <w:sz w:val="20"/>
                <w:szCs w:val="20"/>
                <w:lang w:eastAsia="en-GB"/>
              </w:rPr>
              <w:t>(% samples)</w:t>
            </w:r>
          </w:p>
        </w:tc>
        <w:tc>
          <w:tcPr>
            <w:tcW w:w="648" w:type="pct"/>
            <w:vMerge w:val="restart"/>
            <w:tcBorders>
              <w:top w:val="none" w:sz="0" w:space="0" w:color="auto"/>
              <w:left w:val="none" w:sz="0" w:space="0" w:color="auto"/>
              <w:bottom w:val="none" w:sz="0" w:space="0" w:color="auto"/>
              <w:right w:val="none" w:sz="0" w:space="0" w:color="auto"/>
            </w:tcBorders>
            <w:hideMark/>
          </w:tcPr>
          <w:p w:rsidR="00742772" w:rsidRPr="002C0184" w:rsidRDefault="00742772" w:rsidP="00425868">
            <w:pPr>
              <w:tabs>
                <w:tab w:val="decimal" w:pos="1097"/>
              </w:tabs>
              <w:cnfStyle w:val="100000000000" w:firstRow="1" w:lastRow="0" w:firstColumn="0" w:lastColumn="0" w:oddVBand="0" w:evenVBand="0" w:oddHBand="0" w:evenHBand="0" w:firstRowFirstColumn="0" w:firstRowLastColumn="0" w:lastRowFirstColumn="0" w:lastRowLastColumn="0"/>
              <w:rPr>
                <w:rFonts w:cs="Arial"/>
                <w:bCs w:val="0"/>
                <w:sz w:val="20"/>
                <w:szCs w:val="20"/>
                <w:lang w:eastAsia="en-GB"/>
              </w:rPr>
            </w:pPr>
            <w:r w:rsidRPr="002C0184">
              <w:rPr>
                <w:rFonts w:cs="Arial"/>
                <w:bCs w:val="0"/>
                <w:sz w:val="20"/>
                <w:szCs w:val="20"/>
                <w:lang w:eastAsia="en-GB"/>
              </w:rPr>
              <w:t>Limit</w:t>
            </w:r>
            <w:r>
              <w:rPr>
                <w:rFonts w:cs="Arial"/>
                <w:bCs w:val="0"/>
                <w:sz w:val="20"/>
                <w:szCs w:val="20"/>
                <w:lang w:eastAsia="en-GB"/>
              </w:rPr>
              <w:t xml:space="preserve"> of d</w:t>
            </w:r>
            <w:r w:rsidRPr="002C0184">
              <w:rPr>
                <w:rFonts w:cs="Arial"/>
                <w:bCs w:val="0"/>
                <w:sz w:val="20"/>
                <w:szCs w:val="20"/>
                <w:lang w:eastAsia="en-GB"/>
              </w:rPr>
              <w:t>etection (L</w:t>
            </w:r>
            <w:r>
              <w:rPr>
                <w:rFonts w:cs="Arial"/>
                <w:bCs w:val="0"/>
                <w:sz w:val="20"/>
                <w:szCs w:val="20"/>
                <w:lang w:eastAsia="en-GB"/>
              </w:rPr>
              <w:t>o</w:t>
            </w:r>
            <w:r w:rsidRPr="002C0184">
              <w:rPr>
                <w:rFonts w:cs="Arial"/>
                <w:bCs w:val="0"/>
                <w:sz w:val="20"/>
                <w:szCs w:val="20"/>
                <w:lang w:eastAsia="en-GB"/>
              </w:rPr>
              <w:t>D)</w:t>
            </w:r>
          </w:p>
          <w:p w:rsidR="00742772" w:rsidRPr="002C0184" w:rsidRDefault="00742772" w:rsidP="00425868">
            <w:pPr>
              <w:tabs>
                <w:tab w:val="decimal" w:pos="1097"/>
              </w:tabs>
              <w:cnfStyle w:val="100000000000" w:firstRow="1" w:lastRow="0" w:firstColumn="0" w:lastColumn="0" w:oddVBand="0" w:evenVBand="0" w:oddHBand="0" w:evenHBand="0" w:firstRowFirstColumn="0" w:firstRowLastColumn="0" w:lastRowFirstColumn="0" w:lastRowLastColumn="0"/>
              <w:rPr>
                <w:rFonts w:cs="Arial"/>
                <w:bCs w:val="0"/>
                <w:sz w:val="20"/>
                <w:szCs w:val="20"/>
                <w:lang w:eastAsia="en-GB"/>
              </w:rPr>
            </w:pPr>
            <w:r w:rsidRPr="002C0184">
              <w:rPr>
                <w:rFonts w:cs="Arial"/>
                <w:bCs w:val="0"/>
                <w:sz w:val="20"/>
                <w:szCs w:val="20"/>
                <w:lang w:eastAsia="en-GB"/>
              </w:rPr>
              <w:t>(mg HCN/kg)</w:t>
            </w:r>
          </w:p>
        </w:tc>
        <w:tc>
          <w:tcPr>
            <w:tcW w:w="1398" w:type="pct"/>
            <w:gridSpan w:val="2"/>
            <w:tcBorders>
              <w:top w:val="none" w:sz="0" w:space="0" w:color="auto"/>
              <w:left w:val="none" w:sz="0" w:space="0" w:color="auto"/>
              <w:bottom w:val="none" w:sz="0" w:space="0" w:color="auto"/>
              <w:right w:val="none" w:sz="0" w:space="0" w:color="auto"/>
            </w:tcBorders>
            <w:hideMark/>
          </w:tcPr>
          <w:p w:rsidR="00742772" w:rsidRPr="002C0184" w:rsidRDefault="00742772" w:rsidP="00425868">
            <w:pPr>
              <w:jc w:val="center"/>
              <w:cnfStyle w:val="100000000000" w:firstRow="1" w:lastRow="0" w:firstColumn="0" w:lastColumn="0" w:oddVBand="0" w:evenVBand="0" w:oddHBand="0" w:evenHBand="0" w:firstRowFirstColumn="0" w:firstRowLastColumn="0" w:lastRowFirstColumn="0" w:lastRowLastColumn="0"/>
              <w:rPr>
                <w:rFonts w:cs="Arial"/>
                <w:bCs w:val="0"/>
                <w:sz w:val="20"/>
                <w:szCs w:val="20"/>
                <w:lang w:eastAsia="en-GB"/>
              </w:rPr>
            </w:pPr>
            <w:r w:rsidRPr="002C0184">
              <w:rPr>
                <w:rFonts w:cs="Arial"/>
                <w:bCs w:val="0"/>
                <w:sz w:val="20"/>
                <w:szCs w:val="20"/>
                <w:lang w:eastAsia="en-GB"/>
              </w:rPr>
              <w:t xml:space="preserve">Mean </w:t>
            </w:r>
            <w:r>
              <w:rPr>
                <w:rFonts w:cs="Arial"/>
                <w:bCs w:val="0"/>
                <w:sz w:val="20"/>
                <w:szCs w:val="20"/>
                <w:lang w:eastAsia="en-GB"/>
              </w:rPr>
              <w:t>c</w:t>
            </w:r>
            <w:r w:rsidRPr="002C0184">
              <w:rPr>
                <w:rFonts w:cs="Arial"/>
                <w:bCs w:val="0"/>
                <w:sz w:val="20"/>
                <w:szCs w:val="20"/>
                <w:lang w:eastAsia="en-GB"/>
              </w:rPr>
              <w:t>oncentration</w:t>
            </w:r>
            <w:r>
              <w:rPr>
                <w:rFonts w:cs="Arial"/>
                <w:bCs w:val="0"/>
                <w:sz w:val="20"/>
                <w:szCs w:val="20"/>
                <w:lang w:eastAsia="en-GB"/>
              </w:rPr>
              <w:t xml:space="preserve"> </w:t>
            </w:r>
            <w:r w:rsidRPr="002C0184">
              <w:rPr>
                <w:rFonts w:cs="Arial"/>
                <w:bCs w:val="0"/>
                <w:sz w:val="20"/>
                <w:szCs w:val="20"/>
                <w:lang w:eastAsia="en-GB"/>
              </w:rPr>
              <w:t>(mg HCN/kg)</w:t>
            </w:r>
            <w:r w:rsidRPr="002C0184">
              <w:rPr>
                <w:rFonts w:cs="Arial"/>
                <w:bCs w:val="0"/>
                <w:sz w:val="20"/>
                <w:szCs w:val="20"/>
                <w:vertAlign w:val="superscript"/>
                <w:lang w:eastAsia="en-GB"/>
              </w:rPr>
              <w:t>#</w:t>
            </w:r>
          </w:p>
        </w:tc>
        <w:tc>
          <w:tcPr>
            <w:tcW w:w="621" w:type="pct"/>
            <w:vMerge w:val="restart"/>
            <w:tcBorders>
              <w:top w:val="none" w:sz="0" w:space="0" w:color="auto"/>
              <w:left w:val="none" w:sz="0" w:space="0" w:color="auto"/>
              <w:bottom w:val="none" w:sz="0" w:space="0" w:color="auto"/>
              <w:right w:val="none" w:sz="0" w:space="0" w:color="auto"/>
            </w:tcBorders>
            <w:hideMark/>
          </w:tcPr>
          <w:p w:rsidR="00742772" w:rsidRPr="002C0184" w:rsidRDefault="00742772" w:rsidP="00425868">
            <w:pPr>
              <w:cnfStyle w:val="100000000000" w:firstRow="1" w:lastRow="0" w:firstColumn="0" w:lastColumn="0" w:oddVBand="0" w:evenVBand="0" w:oddHBand="0" w:evenHBand="0" w:firstRowFirstColumn="0" w:firstRowLastColumn="0" w:lastRowFirstColumn="0" w:lastRowLastColumn="0"/>
              <w:rPr>
                <w:rFonts w:cs="Arial"/>
                <w:bCs w:val="0"/>
                <w:sz w:val="20"/>
                <w:szCs w:val="20"/>
                <w:lang w:eastAsia="en-GB"/>
              </w:rPr>
            </w:pPr>
            <w:r w:rsidRPr="002C0184">
              <w:rPr>
                <w:rFonts w:cs="Arial"/>
                <w:bCs w:val="0"/>
                <w:sz w:val="20"/>
                <w:szCs w:val="20"/>
                <w:lang w:eastAsia="en-GB"/>
              </w:rPr>
              <w:t>Maximum concentration</w:t>
            </w:r>
          </w:p>
          <w:p w:rsidR="00742772" w:rsidRPr="002C0184" w:rsidRDefault="00742772" w:rsidP="00425868">
            <w:pPr>
              <w:cnfStyle w:val="100000000000" w:firstRow="1" w:lastRow="0" w:firstColumn="0" w:lastColumn="0" w:oddVBand="0" w:evenVBand="0" w:oddHBand="0" w:evenHBand="0" w:firstRowFirstColumn="0" w:firstRowLastColumn="0" w:lastRowFirstColumn="0" w:lastRowLastColumn="0"/>
              <w:rPr>
                <w:rFonts w:cs="Arial"/>
                <w:bCs w:val="0"/>
                <w:sz w:val="20"/>
                <w:szCs w:val="20"/>
                <w:lang w:eastAsia="en-GB"/>
              </w:rPr>
            </w:pPr>
            <w:r w:rsidRPr="002C0184">
              <w:rPr>
                <w:rFonts w:cs="Arial"/>
                <w:bCs w:val="0"/>
                <w:sz w:val="20"/>
                <w:szCs w:val="20"/>
                <w:lang w:eastAsia="en-GB"/>
              </w:rPr>
              <w:t>(mg HCN/kg)</w:t>
            </w:r>
            <w:r w:rsidRPr="002C0184">
              <w:rPr>
                <w:rFonts w:cs="Arial"/>
                <w:bCs w:val="0"/>
                <w:sz w:val="20"/>
                <w:szCs w:val="20"/>
                <w:vertAlign w:val="superscript"/>
                <w:lang w:eastAsia="en-GB"/>
              </w:rPr>
              <w:t>##</w:t>
            </w:r>
          </w:p>
        </w:tc>
      </w:tr>
      <w:tr w:rsidR="00742772" w:rsidRPr="002C0184" w:rsidTr="00425868">
        <w:trPr>
          <w:cnfStyle w:val="100000000000" w:firstRow="1" w:lastRow="0" w:firstColumn="0" w:lastColumn="0" w:oddVBand="0" w:evenVBand="0" w:oddHBand="0" w:evenHBand="0" w:firstRowFirstColumn="0" w:firstRowLastColumn="0" w:lastRowFirstColumn="0" w:lastRowLastColumn="0"/>
          <w:trHeight w:val="362"/>
          <w:tblHeader/>
        </w:trPr>
        <w:tc>
          <w:tcPr>
            <w:cnfStyle w:val="001000000000" w:firstRow="0" w:lastRow="0" w:firstColumn="1" w:lastColumn="0" w:oddVBand="0" w:evenVBand="0" w:oddHBand="0" w:evenHBand="0" w:firstRowFirstColumn="0" w:firstRowLastColumn="0" w:lastRowFirstColumn="0" w:lastRowLastColumn="0"/>
            <w:tcW w:w="837" w:type="pct"/>
            <w:vMerge/>
            <w:tcBorders>
              <w:top w:val="none" w:sz="0" w:space="0" w:color="auto"/>
              <w:left w:val="none" w:sz="0" w:space="0" w:color="auto"/>
              <w:bottom w:val="none" w:sz="0" w:space="0" w:color="auto"/>
              <w:right w:val="none" w:sz="0" w:space="0" w:color="auto"/>
            </w:tcBorders>
            <w:noWrap/>
            <w:hideMark/>
          </w:tcPr>
          <w:p w:rsidR="00742772" w:rsidRPr="002C0184" w:rsidRDefault="00742772" w:rsidP="00425868">
            <w:pPr>
              <w:jc w:val="center"/>
              <w:rPr>
                <w:rFonts w:cs="Arial"/>
                <w:b w:val="0"/>
                <w:bCs w:val="0"/>
                <w:sz w:val="20"/>
                <w:szCs w:val="20"/>
                <w:lang w:eastAsia="en-GB"/>
              </w:rPr>
            </w:pPr>
          </w:p>
        </w:tc>
        <w:tc>
          <w:tcPr>
            <w:tcW w:w="398" w:type="pct"/>
            <w:vMerge/>
            <w:tcBorders>
              <w:top w:val="none" w:sz="0" w:space="0" w:color="auto"/>
              <w:left w:val="none" w:sz="0" w:space="0" w:color="auto"/>
              <w:bottom w:val="none" w:sz="0" w:space="0" w:color="auto"/>
              <w:right w:val="none" w:sz="0" w:space="0" w:color="auto"/>
            </w:tcBorders>
          </w:tcPr>
          <w:p w:rsidR="00742772" w:rsidRPr="002C0184" w:rsidRDefault="00742772" w:rsidP="00425868">
            <w:pPr>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lang w:eastAsia="en-GB"/>
              </w:rPr>
            </w:pPr>
          </w:p>
        </w:tc>
        <w:tc>
          <w:tcPr>
            <w:tcW w:w="449" w:type="pct"/>
            <w:vMerge/>
            <w:tcBorders>
              <w:top w:val="none" w:sz="0" w:space="0" w:color="auto"/>
              <w:left w:val="none" w:sz="0" w:space="0" w:color="auto"/>
              <w:bottom w:val="none" w:sz="0" w:space="0" w:color="auto"/>
              <w:right w:val="none" w:sz="0" w:space="0" w:color="auto"/>
            </w:tcBorders>
            <w:hideMark/>
          </w:tcPr>
          <w:p w:rsidR="00742772" w:rsidRPr="002C0184" w:rsidRDefault="00742772" w:rsidP="00425868">
            <w:pPr>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lang w:eastAsia="en-GB"/>
              </w:rPr>
            </w:pPr>
          </w:p>
        </w:tc>
        <w:tc>
          <w:tcPr>
            <w:tcW w:w="649" w:type="pct"/>
            <w:vMerge/>
            <w:tcBorders>
              <w:top w:val="none" w:sz="0" w:space="0" w:color="auto"/>
              <w:left w:val="none" w:sz="0" w:space="0" w:color="auto"/>
              <w:bottom w:val="none" w:sz="0" w:space="0" w:color="auto"/>
              <w:right w:val="none" w:sz="0" w:space="0" w:color="auto"/>
            </w:tcBorders>
            <w:hideMark/>
          </w:tcPr>
          <w:p w:rsidR="00742772" w:rsidRPr="002C0184" w:rsidRDefault="00742772" w:rsidP="00425868">
            <w:pPr>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lang w:eastAsia="en-GB"/>
              </w:rPr>
            </w:pPr>
          </w:p>
        </w:tc>
        <w:tc>
          <w:tcPr>
            <w:tcW w:w="648" w:type="pct"/>
            <w:vMerge/>
            <w:tcBorders>
              <w:top w:val="none" w:sz="0" w:space="0" w:color="auto"/>
              <w:left w:val="none" w:sz="0" w:space="0" w:color="auto"/>
              <w:bottom w:val="none" w:sz="0" w:space="0" w:color="auto"/>
              <w:right w:val="none" w:sz="0" w:space="0" w:color="auto"/>
            </w:tcBorders>
            <w:hideMark/>
          </w:tcPr>
          <w:p w:rsidR="00742772" w:rsidRPr="002C0184" w:rsidRDefault="00742772" w:rsidP="00425868">
            <w:pPr>
              <w:tabs>
                <w:tab w:val="decimal" w:pos="1097"/>
              </w:tabs>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lang w:eastAsia="en-GB"/>
              </w:rPr>
            </w:pPr>
          </w:p>
        </w:tc>
        <w:tc>
          <w:tcPr>
            <w:tcW w:w="649" w:type="pct"/>
            <w:tcBorders>
              <w:top w:val="none" w:sz="0" w:space="0" w:color="auto"/>
              <w:left w:val="none" w:sz="0" w:space="0" w:color="auto"/>
              <w:bottom w:val="none" w:sz="0" w:space="0" w:color="auto"/>
              <w:right w:val="none" w:sz="0" w:space="0" w:color="auto"/>
            </w:tcBorders>
            <w:hideMark/>
          </w:tcPr>
          <w:p w:rsidR="00742772" w:rsidRPr="00A552F0" w:rsidRDefault="00742772" w:rsidP="00425868">
            <w:pPr>
              <w:jc w:val="center"/>
              <w:cnfStyle w:val="100000000000" w:firstRow="1" w:lastRow="0" w:firstColumn="0" w:lastColumn="0" w:oddVBand="0" w:evenVBand="0" w:oddHBand="0" w:evenHBand="0" w:firstRowFirstColumn="0" w:firstRowLastColumn="0" w:lastRowFirstColumn="0" w:lastRowLastColumn="0"/>
              <w:rPr>
                <w:rFonts w:cs="Arial"/>
                <w:bCs w:val="0"/>
                <w:sz w:val="20"/>
                <w:szCs w:val="20"/>
                <w:lang w:eastAsia="en-GB"/>
              </w:rPr>
            </w:pPr>
            <w:r w:rsidRPr="00A552F0">
              <w:rPr>
                <w:rFonts w:cs="Arial"/>
                <w:bCs w:val="0"/>
                <w:sz w:val="20"/>
                <w:szCs w:val="20"/>
                <w:lang w:eastAsia="en-GB"/>
              </w:rPr>
              <w:t xml:space="preserve">Lower bound </w:t>
            </w:r>
            <w:r w:rsidRPr="00A552F0">
              <w:rPr>
                <w:rFonts w:cs="Arial"/>
                <w:bCs w:val="0"/>
                <w:sz w:val="20"/>
                <w:szCs w:val="20"/>
                <w:lang w:eastAsia="en-GB"/>
              </w:rPr>
              <w:br/>
              <w:t>(not detected = 0)</w:t>
            </w:r>
          </w:p>
        </w:tc>
        <w:tc>
          <w:tcPr>
            <w:tcW w:w="749" w:type="pct"/>
            <w:tcBorders>
              <w:top w:val="none" w:sz="0" w:space="0" w:color="auto"/>
              <w:left w:val="none" w:sz="0" w:space="0" w:color="auto"/>
              <w:bottom w:val="none" w:sz="0" w:space="0" w:color="auto"/>
              <w:right w:val="none" w:sz="0" w:space="0" w:color="auto"/>
            </w:tcBorders>
            <w:hideMark/>
          </w:tcPr>
          <w:p w:rsidR="00742772" w:rsidRPr="00A552F0" w:rsidRDefault="00742772" w:rsidP="00425868">
            <w:pPr>
              <w:jc w:val="center"/>
              <w:cnfStyle w:val="100000000000" w:firstRow="1" w:lastRow="0" w:firstColumn="0" w:lastColumn="0" w:oddVBand="0" w:evenVBand="0" w:oddHBand="0" w:evenHBand="0" w:firstRowFirstColumn="0" w:firstRowLastColumn="0" w:lastRowFirstColumn="0" w:lastRowLastColumn="0"/>
              <w:rPr>
                <w:rFonts w:cs="Arial"/>
                <w:bCs w:val="0"/>
                <w:sz w:val="20"/>
                <w:szCs w:val="20"/>
                <w:lang w:eastAsia="en-GB"/>
              </w:rPr>
            </w:pPr>
            <w:r w:rsidRPr="00A552F0">
              <w:rPr>
                <w:rFonts w:cs="Arial"/>
                <w:bCs w:val="0"/>
                <w:sz w:val="20"/>
                <w:szCs w:val="20"/>
                <w:lang w:eastAsia="en-GB"/>
              </w:rPr>
              <w:t>Upper bound</w:t>
            </w:r>
          </w:p>
          <w:p w:rsidR="00742772" w:rsidRPr="00A552F0" w:rsidRDefault="00742772" w:rsidP="00425868">
            <w:pPr>
              <w:jc w:val="center"/>
              <w:cnfStyle w:val="100000000000" w:firstRow="1" w:lastRow="0" w:firstColumn="0" w:lastColumn="0" w:oddVBand="0" w:evenVBand="0" w:oddHBand="0" w:evenHBand="0" w:firstRowFirstColumn="0" w:firstRowLastColumn="0" w:lastRowFirstColumn="0" w:lastRowLastColumn="0"/>
              <w:rPr>
                <w:rFonts w:cs="Arial"/>
                <w:bCs w:val="0"/>
                <w:sz w:val="20"/>
                <w:szCs w:val="20"/>
                <w:lang w:eastAsia="en-GB"/>
              </w:rPr>
            </w:pPr>
            <w:r w:rsidRPr="00A552F0">
              <w:rPr>
                <w:rFonts w:cs="Arial"/>
                <w:bCs w:val="0"/>
                <w:sz w:val="20"/>
                <w:szCs w:val="20"/>
                <w:lang w:eastAsia="en-GB"/>
              </w:rPr>
              <w:t>(not detected = LOD)</w:t>
            </w:r>
          </w:p>
        </w:tc>
        <w:tc>
          <w:tcPr>
            <w:tcW w:w="621" w:type="pct"/>
            <w:vMerge/>
            <w:tcBorders>
              <w:top w:val="none" w:sz="0" w:space="0" w:color="auto"/>
              <w:left w:val="none" w:sz="0" w:space="0" w:color="auto"/>
              <w:bottom w:val="none" w:sz="0" w:space="0" w:color="auto"/>
              <w:right w:val="none" w:sz="0" w:space="0" w:color="auto"/>
            </w:tcBorders>
            <w:hideMark/>
          </w:tcPr>
          <w:p w:rsidR="00742772" w:rsidRPr="002C0184" w:rsidRDefault="00742772" w:rsidP="00425868">
            <w:pPr>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lang w:eastAsia="en-GB"/>
              </w:rPr>
            </w:pPr>
          </w:p>
        </w:tc>
      </w:tr>
      <w:tr w:rsidR="00742772" w:rsidRPr="002C0184" w:rsidTr="004258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7" w:type="pct"/>
            <w:tcBorders>
              <w:right w:val="none" w:sz="0" w:space="0" w:color="auto"/>
            </w:tcBorders>
            <w:noWrap/>
            <w:hideMark/>
          </w:tcPr>
          <w:p w:rsidR="00742772" w:rsidRPr="002C0184" w:rsidRDefault="00742772" w:rsidP="00425868">
            <w:pPr>
              <w:rPr>
                <w:rFonts w:cs="Arial"/>
                <w:color w:val="000000"/>
                <w:sz w:val="20"/>
                <w:szCs w:val="20"/>
                <w:lang w:eastAsia="en-GB"/>
              </w:rPr>
            </w:pPr>
            <w:r w:rsidRPr="002C0184">
              <w:rPr>
                <w:rFonts w:cs="Arial"/>
                <w:color w:val="000000"/>
                <w:sz w:val="20"/>
                <w:szCs w:val="20"/>
                <w:lang w:eastAsia="en-GB"/>
              </w:rPr>
              <w:t>Almonds</w:t>
            </w:r>
          </w:p>
        </w:tc>
        <w:tc>
          <w:tcPr>
            <w:tcW w:w="398" w:type="pct"/>
            <w:tcBorders>
              <w:left w:val="none" w:sz="0" w:space="0" w:color="auto"/>
              <w:right w:val="none" w:sz="0" w:space="0" w:color="auto"/>
            </w:tcBorders>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w:t>
            </w:r>
          </w:p>
        </w:tc>
        <w:tc>
          <w:tcPr>
            <w:tcW w:w="4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7</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w:t>
            </w:r>
            <w:r>
              <w:rPr>
                <w:rFonts w:cs="Arial"/>
                <w:color w:val="000000"/>
                <w:sz w:val="20"/>
                <w:szCs w:val="20"/>
                <w:lang w:eastAsia="en-GB"/>
              </w:rPr>
              <w:t xml:space="preserve"> </w:t>
            </w:r>
            <w:r w:rsidRPr="002C0184">
              <w:rPr>
                <w:rFonts w:cs="Arial"/>
                <w:color w:val="000000"/>
                <w:sz w:val="20"/>
                <w:szCs w:val="20"/>
                <w:lang w:eastAsia="en-GB"/>
              </w:rPr>
              <w:t>(57)</w:t>
            </w:r>
          </w:p>
        </w:tc>
        <w:tc>
          <w:tcPr>
            <w:tcW w:w="648"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3.6</w:t>
            </w:r>
          </w:p>
        </w:tc>
        <w:tc>
          <w:tcPr>
            <w:tcW w:w="7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5.9</w:t>
            </w:r>
          </w:p>
        </w:tc>
        <w:tc>
          <w:tcPr>
            <w:tcW w:w="621" w:type="pct"/>
            <w:tcBorders>
              <w:lef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12.4</w:t>
            </w:r>
          </w:p>
        </w:tc>
      </w:tr>
      <w:tr w:rsidR="00742772" w:rsidRPr="002C0184" w:rsidTr="00425868">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7" w:type="pct"/>
            <w:tcBorders>
              <w:right w:val="none" w:sz="0" w:space="0" w:color="auto"/>
            </w:tcBorders>
            <w:noWrap/>
            <w:hideMark/>
          </w:tcPr>
          <w:p w:rsidR="00742772" w:rsidRPr="002C0184" w:rsidRDefault="00742772" w:rsidP="00425868">
            <w:pPr>
              <w:rPr>
                <w:rFonts w:cs="Arial"/>
                <w:color w:val="000000"/>
                <w:sz w:val="20"/>
                <w:szCs w:val="20"/>
                <w:lang w:eastAsia="en-GB"/>
              </w:rPr>
            </w:pPr>
            <w:r w:rsidRPr="002C0184">
              <w:rPr>
                <w:rFonts w:cs="Arial"/>
                <w:color w:val="000000"/>
                <w:sz w:val="20"/>
                <w:szCs w:val="20"/>
                <w:lang w:eastAsia="en-GB"/>
              </w:rPr>
              <w:t>Almond oil</w:t>
            </w:r>
          </w:p>
        </w:tc>
        <w:tc>
          <w:tcPr>
            <w:tcW w:w="398" w:type="pct"/>
            <w:tcBorders>
              <w:left w:val="none" w:sz="0" w:space="0" w:color="auto"/>
              <w:right w:val="none" w:sz="0" w:space="0" w:color="auto"/>
            </w:tcBorders>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w:t>
            </w:r>
          </w:p>
        </w:tc>
        <w:tc>
          <w:tcPr>
            <w:tcW w:w="4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w:t>
            </w:r>
            <w:r>
              <w:rPr>
                <w:rFonts w:cs="Arial"/>
                <w:color w:val="000000"/>
                <w:sz w:val="20"/>
                <w:szCs w:val="20"/>
                <w:lang w:eastAsia="en-GB"/>
              </w:rPr>
              <w:t xml:space="preserve"> </w:t>
            </w:r>
            <w:r w:rsidRPr="002C0184">
              <w:rPr>
                <w:rFonts w:cs="Arial"/>
                <w:color w:val="000000"/>
                <w:sz w:val="20"/>
                <w:szCs w:val="20"/>
                <w:lang w:eastAsia="en-GB"/>
              </w:rPr>
              <w:t>(100)</w:t>
            </w:r>
          </w:p>
        </w:tc>
        <w:tc>
          <w:tcPr>
            <w:tcW w:w="648" w:type="pct"/>
            <w:tcBorders>
              <w:left w:val="none" w:sz="0" w:space="0" w:color="auto"/>
              <w:right w:val="none" w:sz="0" w:space="0" w:color="auto"/>
            </w:tcBorders>
            <w:noWrap/>
            <w:hideMark/>
          </w:tcPr>
          <w:p w:rsidR="00742772" w:rsidRPr="002C0184" w:rsidRDefault="00742772" w:rsidP="00425868">
            <w:pPr>
              <w:tabs>
                <w:tab w:val="decimal" w:pos="1097"/>
                <w:tab w:val="decimal" w:pos="1133"/>
              </w:tabs>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0</w:t>
            </w:r>
          </w:p>
        </w:tc>
        <w:tc>
          <w:tcPr>
            <w:tcW w:w="7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4.0</w:t>
            </w:r>
          </w:p>
        </w:tc>
        <w:tc>
          <w:tcPr>
            <w:tcW w:w="621" w:type="pct"/>
            <w:tcBorders>
              <w:lef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**4.0</w:t>
            </w:r>
          </w:p>
        </w:tc>
      </w:tr>
      <w:tr w:rsidR="00742772" w:rsidRPr="002C0184" w:rsidTr="004258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7" w:type="pct"/>
            <w:tcBorders>
              <w:right w:val="none" w:sz="0" w:space="0" w:color="auto"/>
            </w:tcBorders>
            <w:noWrap/>
          </w:tcPr>
          <w:p w:rsidR="00742772" w:rsidRPr="002C0184" w:rsidRDefault="00742772" w:rsidP="00425868">
            <w:pPr>
              <w:rPr>
                <w:rFonts w:cs="Arial"/>
                <w:color w:val="000000"/>
                <w:sz w:val="20"/>
                <w:szCs w:val="20"/>
                <w:lang w:eastAsia="en-GB"/>
              </w:rPr>
            </w:pPr>
            <w:r w:rsidRPr="002C0184">
              <w:rPr>
                <w:rFonts w:cs="Arial"/>
                <w:color w:val="000000"/>
                <w:sz w:val="20"/>
                <w:szCs w:val="20"/>
                <w:lang w:eastAsia="en-GB"/>
              </w:rPr>
              <w:t>Apple juice</w:t>
            </w:r>
          </w:p>
        </w:tc>
        <w:tc>
          <w:tcPr>
            <w:tcW w:w="398" w:type="pct"/>
            <w:tcBorders>
              <w:left w:val="none" w:sz="0" w:space="0" w:color="auto"/>
              <w:right w:val="none" w:sz="0" w:space="0" w:color="auto"/>
            </w:tcBorders>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2 (EU method)</w:t>
            </w:r>
          </w:p>
        </w:tc>
        <w:tc>
          <w:tcPr>
            <w:tcW w:w="449" w:type="pct"/>
            <w:tcBorders>
              <w:left w:val="none" w:sz="0" w:space="0" w:color="auto"/>
              <w:right w:val="none" w:sz="0" w:space="0" w:color="auto"/>
            </w:tcBorders>
            <w:noWrap/>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3</w:t>
            </w:r>
          </w:p>
        </w:tc>
        <w:tc>
          <w:tcPr>
            <w:tcW w:w="649" w:type="pct"/>
            <w:tcBorders>
              <w:left w:val="none" w:sz="0" w:space="0" w:color="auto"/>
              <w:right w:val="none" w:sz="0" w:space="0" w:color="auto"/>
            </w:tcBorders>
            <w:noWrap/>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Pr>
                <w:rFonts w:cs="Arial"/>
                <w:color w:val="000000"/>
                <w:sz w:val="20"/>
                <w:szCs w:val="20"/>
                <w:lang w:eastAsia="en-GB"/>
              </w:rPr>
              <w:t xml:space="preserve">2 </w:t>
            </w:r>
            <w:r w:rsidRPr="002C0184">
              <w:rPr>
                <w:rFonts w:cs="Arial"/>
                <w:color w:val="000000"/>
                <w:sz w:val="20"/>
                <w:szCs w:val="20"/>
                <w:lang w:eastAsia="en-GB"/>
              </w:rPr>
              <w:t>(</w:t>
            </w:r>
            <w:r>
              <w:rPr>
                <w:rFonts w:cs="Arial"/>
                <w:color w:val="000000"/>
                <w:sz w:val="20"/>
                <w:szCs w:val="20"/>
                <w:lang w:eastAsia="en-GB"/>
              </w:rPr>
              <w:t>67</w:t>
            </w:r>
            <w:r w:rsidRPr="002C0184">
              <w:rPr>
                <w:rFonts w:cs="Arial"/>
                <w:color w:val="000000"/>
                <w:sz w:val="20"/>
                <w:szCs w:val="20"/>
                <w:lang w:eastAsia="en-GB"/>
              </w:rPr>
              <w:t>)</w:t>
            </w:r>
          </w:p>
        </w:tc>
        <w:tc>
          <w:tcPr>
            <w:tcW w:w="648" w:type="pct"/>
            <w:tcBorders>
              <w:left w:val="none" w:sz="0" w:space="0" w:color="auto"/>
              <w:right w:val="none" w:sz="0" w:space="0" w:color="auto"/>
            </w:tcBorders>
            <w:noWrap/>
          </w:tcPr>
          <w:p w:rsidR="00742772" w:rsidRPr="002C0184" w:rsidRDefault="00742772" w:rsidP="00425868">
            <w:pPr>
              <w:tabs>
                <w:tab w:val="decimal" w:pos="1097"/>
                <w:tab w:val="decimal" w:pos="1133"/>
              </w:tabs>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0.06</w:t>
            </w:r>
          </w:p>
        </w:tc>
        <w:tc>
          <w:tcPr>
            <w:tcW w:w="649" w:type="pct"/>
            <w:tcBorders>
              <w:left w:val="none" w:sz="0" w:space="0" w:color="auto"/>
              <w:right w:val="none" w:sz="0" w:space="0" w:color="auto"/>
            </w:tcBorders>
            <w:noWrap/>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Pr>
                <w:rFonts w:cs="Arial"/>
                <w:color w:val="000000"/>
                <w:sz w:val="20"/>
                <w:szCs w:val="20"/>
                <w:lang w:eastAsia="en-GB"/>
              </w:rPr>
              <w:t>0.06</w:t>
            </w:r>
          </w:p>
        </w:tc>
        <w:tc>
          <w:tcPr>
            <w:tcW w:w="749" w:type="pct"/>
            <w:tcBorders>
              <w:left w:val="none" w:sz="0" w:space="0" w:color="auto"/>
              <w:right w:val="none" w:sz="0" w:space="0" w:color="auto"/>
            </w:tcBorders>
            <w:noWrap/>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Pr>
                <w:rFonts w:cs="Arial"/>
                <w:color w:val="000000"/>
                <w:sz w:val="20"/>
                <w:szCs w:val="20"/>
                <w:lang w:eastAsia="en-GB"/>
              </w:rPr>
              <w:t>0.10</w:t>
            </w:r>
          </w:p>
        </w:tc>
        <w:tc>
          <w:tcPr>
            <w:tcW w:w="621" w:type="pct"/>
            <w:tcBorders>
              <w:left w:val="none" w:sz="0" w:space="0" w:color="auto"/>
            </w:tcBorders>
            <w:noWrap/>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0.17</w:t>
            </w:r>
          </w:p>
        </w:tc>
      </w:tr>
      <w:tr w:rsidR="00742772" w:rsidRPr="002C0184" w:rsidTr="00425868">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7" w:type="pct"/>
            <w:tcBorders>
              <w:right w:val="none" w:sz="0" w:space="0" w:color="auto"/>
            </w:tcBorders>
            <w:noWrap/>
            <w:hideMark/>
          </w:tcPr>
          <w:p w:rsidR="00742772" w:rsidRPr="002C0184" w:rsidRDefault="00742772" w:rsidP="00425868">
            <w:pPr>
              <w:rPr>
                <w:rFonts w:cs="Arial"/>
                <w:color w:val="000000"/>
                <w:sz w:val="20"/>
                <w:szCs w:val="20"/>
                <w:lang w:eastAsia="en-GB"/>
              </w:rPr>
            </w:pPr>
            <w:r w:rsidRPr="002C0184">
              <w:rPr>
                <w:rFonts w:cs="Arial"/>
                <w:color w:val="000000"/>
                <w:sz w:val="20"/>
                <w:szCs w:val="20"/>
                <w:lang w:eastAsia="en-GB"/>
              </w:rPr>
              <w:t>Apple sauce</w:t>
            </w:r>
          </w:p>
        </w:tc>
        <w:tc>
          <w:tcPr>
            <w:tcW w:w="398" w:type="pct"/>
            <w:tcBorders>
              <w:left w:val="none" w:sz="0" w:space="0" w:color="auto"/>
              <w:right w:val="none" w:sz="0" w:space="0" w:color="auto"/>
            </w:tcBorders>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w:t>
            </w:r>
          </w:p>
        </w:tc>
        <w:tc>
          <w:tcPr>
            <w:tcW w:w="4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3</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w:t>
            </w:r>
            <w:r>
              <w:rPr>
                <w:rFonts w:cs="Arial"/>
                <w:color w:val="000000"/>
                <w:sz w:val="20"/>
                <w:szCs w:val="20"/>
                <w:lang w:eastAsia="en-GB"/>
              </w:rPr>
              <w:t xml:space="preserve"> </w:t>
            </w:r>
            <w:r w:rsidRPr="002C0184">
              <w:rPr>
                <w:rFonts w:cs="Arial"/>
                <w:color w:val="000000"/>
                <w:sz w:val="20"/>
                <w:szCs w:val="20"/>
                <w:lang w:eastAsia="en-GB"/>
              </w:rPr>
              <w:t>(33)</w:t>
            </w:r>
          </w:p>
        </w:tc>
        <w:tc>
          <w:tcPr>
            <w:tcW w:w="648" w:type="pct"/>
            <w:tcBorders>
              <w:left w:val="none" w:sz="0" w:space="0" w:color="auto"/>
              <w:right w:val="none" w:sz="0" w:space="0" w:color="auto"/>
            </w:tcBorders>
            <w:noWrap/>
            <w:hideMark/>
          </w:tcPr>
          <w:p w:rsidR="00742772" w:rsidRPr="002C0184" w:rsidRDefault="00742772" w:rsidP="00425868">
            <w:pPr>
              <w:tabs>
                <w:tab w:val="decimal" w:pos="1097"/>
                <w:tab w:val="decimal" w:pos="1133"/>
              </w:tabs>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2.6</w:t>
            </w:r>
          </w:p>
        </w:tc>
        <w:tc>
          <w:tcPr>
            <w:tcW w:w="7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3.9</w:t>
            </w:r>
          </w:p>
        </w:tc>
        <w:tc>
          <w:tcPr>
            <w:tcW w:w="621" w:type="pct"/>
            <w:tcBorders>
              <w:lef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4.1</w:t>
            </w:r>
          </w:p>
        </w:tc>
      </w:tr>
      <w:tr w:rsidR="00742772" w:rsidRPr="002C0184" w:rsidTr="004258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7" w:type="pct"/>
            <w:tcBorders>
              <w:right w:val="none" w:sz="0" w:space="0" w:color="auto"/>
            </w:tcBorders>
            <w:noWrap/>
            <w:hideMark/>
          </w:tcPr>
          <w:p w:rsidR="00742772" w:rsidRPr="002C0184" w:rsidRDefault="00742772" w:rsidP="00425868">
            <w:pPr>
              <w:rPr>
                <w:rFonts w:cs="Arial"/>
                <w:color w:val="000000"/>
                <w:sz w:val="20"/>
                <w:szCs w:val="20"/>
                <w:lang w:eastAsia="en-GB"/>
              </w:rPr>
            </w:pPr>
            <w:r w:rsidRPr="002C0184">
              <w:rPr>
                <w:rFonts w:cs="Arial"/>
                <w:color w:val="000000"/>
                <w:sz w:val="20"/>
                <w:szCs w:val="20"/>
                <w:lang w:eastAsia="en-GB"/>
              </w:rPr>
              <w:t>Apple cider vinegar</w:t>
            </w:r>
          </w:p>
        </w:tc>
        <w:tc>
          <w:tcPr>
            <w:tcW w:w="398" w:type="pct"/>
            <w:tcBorders>
              <w:left w:val="none" w:sz="0" w:space="0" w:color="auto"/>
              <w:right w:val="none" w:sz="0" w:space="0" w:color="auto"/>
            </w:tcBorders>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w:t>
            </w:r>
          </w:p>
        </w:tc>
        <w:tc>
          <w:tcPr>
            <w:tcW w:w="4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w:t>
            </w:r>
            <w:r>
              <w:rPr>
                <w:rFonts w:cs="Arial"/>
                <w:color w:val="000000"/>
                <w:sz w:val="20"/>
                <w:szCs w:val="20"/>
                <w:lang w:eastAsia="en-GB"/>
              </w:rPr>
              <w:t xml:space="preserve"> </w:t>
            </w:r>
            <w:r w:rsidRPr="002C0184">
              <w:rPr>
                <w:rFonts w:cs="Arial"/>
                <w:color w:val="000000"/>
                <w:sz w:val="20"/>
                <w:szCs w:val="20"/>
                <w:lang w:eastAsia="en-GB"/>
              </w:rPr>
              <w:t>(100)</w:t>
            </w:r>
          </w:p>
        </w:tc>
        <w:tc>
          <w:tcPr>
            <w:tcW w:w="648" w:type="pct"/>
            <w:tcBorders>
              <w:left w:val="none" w:sz="0" w:space="0" w:color="auto"/>
              <w:right w:val="none" w:sz="0" w:space="0" w:color="auto"/>
            </w:tcBorders>
            <w:noWrap/>
            <w:hideMark/>
          </w:tcPr>
          <w:p w:rsidR="00742772" w:rsidRPr="002C0184" w:rsidRDefault="00742772" w:rsidP="00425868">
            <w:pPr>
              <w:tabs>
                <w:tab w:val="decimal" w:pos="1097"/>
                <w:tab w:val="decimal" w:pos="1133"/>
              </w:tabs>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0</w:t>
            </w:r>
          </w:p>
        </w:tc>
        <w:tc>
          <w:tcPr>
            <w:tcW w:w="7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4.0</w:t>
            </w:r>
          </w:p>
        </w:tc>
        <w:tc>
          <w:tcPr>
            <w:tcW w:w="621" w:type="pct"/>
            <w:tcBorders>
              <w:lef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**4.0</w:t>
            </w:r>
          </w:p>
        </w:tc>
      </w:tr>
      <w:tr w:rsidR="00742772" w:rsidRPr="002C0184" w:rsidTr="00425868">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7" w:type="pct"/>
            <w:tcBorders>
              <w:right w:val="none" w:sz="0" w:space="0" w:color="auto"/>
            </w:tcBorders>
            <w:noWrap/>
          </w:tcPr>
          <w:p w:rsidR="00742772" w:rsidRPr="002C0184" w:rsidRDefault="00742772" w:rsidP="00425868">
            <w:pPr>
              <w:rPr>
                <w:rFonts w:cs="Arial"/>
                <w:color w:val="000000"/>
                <w:sz w:val="20"/>
                <w:szCs w:val="20"/>
                <w:lang w:eastAsia="en-GB"/>
              </w:rPr>
            </w:pPr>
            <w:r>
              <w:rPr>
                <w:rFonts w:cs="Arial"/>
                <w:color w:val="000000"/>
                <w:sz w:val="20"/>
                <w:szCs w:val="20"/>
                <w:lang w:eastAsia="en-GB"/>
              </w:rPr>
              <w:t>Apple puree, infant food</w:t>
            </w:r>
          </w:p>
        </w:tc>
        <w:tc>
          <w:tcPr>
            <w:tcW w:w="398" w:type="pct"/>
            <w:tcBorders>
              <w:left w:val="none" w:sz="0" w:space="0" w:color="auto"/>
              <w:right w:val="none" w:sz="0" w:space="0" w:color="auto"/>
            </w:tcBorders>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Pr>
                <w:rFonts w:cs="Arial"/>
                <w:color w:val="000000"/>
                <w:sz w:val="20"/>
                <w:szCs w:val="20"/>
                <w:lang w:eastAsia="en-GB"/>
              </w:rPr>
              <w:t>3 (EU method)</w:t>
            </w:r>
          </w:p>
        </w:tc>
        <w:tc>
          <w:tcPr>
            <w:tcW w:w="449" w:type="pct"/>
            <w:tcBorders>
              <w:left w:val="none" w:sz="0" w:space="0" w:color="auto"/>
              <w:right w:val="none" w:sz="0" w:space="0" w:color="auto"/>
            </w:tcBorders>
            <w:noWrap/>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Pr>
                <w:rFonts w:cs="Arial"/>
                <w:color w:val="000000"/>
                <w:sz w:val="20"/>
                <w:szCs w:val="20"/>
                <w:lang w:eastAsia="en-GB"/>
              </w:rPr>
              <w:t>8</w:t>
            </w:r>
          </w:p>
        </w:tc>
        <w:tc>
          <w:tcPr>
            <w:tcW w:w="649" w:type="pct"/>
            <w:tcBorders>
              <w:left w:val="none" w:sz="0" w:space="0" w:color="auto"/>
              <w:right w:val="none" w:sz="0" w:space="0" w:color="auto"/>
            </w:tcBorders>
            <w:noWrap/>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Pr>
                <w:rFonts w:cs="Arial"/>
                <w:color w:val="000000"/>
                <w:sz w:val="20"/>
                <w:szCs w:val="20"/>
                <w:lang w:eastAsia="en-GB"/>
              </w:rPr>
              <w:t>1 (13)</w:t>
            </w:r>
          </w:p>
        </w:tc>
        <w:tc>
          <w:tcPr>
            <w:tcW w:w="648" w:type="pct"/>
            <w:tcBorders>
              <w:left w:val="none" w:sz="0" w:space="0" w:color="auto"/>
              <w:right w:val="none" w:sz="0" w:space="0" w:color="auto"/>
            </w:tcBorders>
            <w:noWrap/>
          </w:tcPr>
          <w:p w:rsidR="00742772" w:rsidRPr="002C0184" w:rsidRDefault="00742772" w:rsidP="00425868">
            <w:pPr>
              <w:tabs>
                <w:tab w:val="decimal" w:pos="1097"/>
                <w:tab w:val="decimal" w:pos="1133"/>
              </w:tabs>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Pr>
                <w:rFonts w:cs="Arial"/>
                <w:color w:val="000000"/>
                <w:sz w:val="20"/>
                <w:szCs w:val="20"/>
                <w:lang w:eastAsia="en-GB"/>
              </w:rPr>
              <w:t>0.1</w:t>
            </w:r>
          </w:p>
        </w:tc>
        <w:tc>
          <w:tcPr>
            <w:tcW w:w="649" w:type="pct"/>
            <w:tcBorders>
              <w:left w:val="none" w:sz="0" w:space="0" w:color="auto"/>
              <w:right w:val="none" w:sz="0" w:space="0" w:color="auto"/>
            </w:tcBorders>
            <w:noWrap/>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Pr>
                <w:rFonts w:cs="Arial"/>
                <w:color w:val="000000"/>
                <w:sz w:val="20"/>
                <w:szCs w:val="20"/>
                <w:lang w:eastAsia="en-GB"/>
              </w:rPr>
              <w:t>0.8</w:t>
            </w:r>
          </w:p>
        </w:tc>
        <w:tc>
          <w:tcPr>
            <w:tcW w:w="749" w:type="pct"/>
            <w:tcBorders>
              <w:left w:val="none" w:sz="0" w:space="0" w:color="auto"/>
              <w:right w:val="none" w:sz="0" w:space="0" w:color="auto"/>
            </w:tcBorders>
            <w:noWrap/>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Pr>
                <w:rFonts w:cs="Arial"/>
                <w:color w:val="000000"/>
                <w:sz w:val="20"/>
                <w:szCs w:val="20"/>
                <w:lang w:eastAsia="en-GB"/>
              </w:rPr>
              <w:t>0.8</w:t>
            </w:r>
          </w:p>
        </w:tc>
        <w:tc>
          <w:tcPr>
            <w:tcW w:w="621" w:type="pct"/>
            <w:tcBorders>
              <w:left w:val="none" w:sz="0" w:space="0" w:color="auto"/>
            </w:tcBorders>
            <w:noWrap/>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Pr>
                <w:rFonts w:cs="Arial"/>
                <w:color w:val="000000"/>
                <w:sz w:val="20"/>
                <w:szCs w:val="20"/>
                <w:lang w:eastAsia="en-GB"/>
              </w:rPr>
              <w:t>1.3</w:t>
            </w:r>
          </w:p>
        </w:tc>
      </w:tr>
      <w:tr w:rsidR="00742772" w:rsidRPr="002C0184" w:rsidTr="004258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7" w:type="pct"/>
            <w:tcBorders>
              <w:right w:val="none" w:sz="0" w:space="0" w:color="auto"/>
            </w:tcBorders>
            <w:noWrap/>
            <w:hideMark/>
          </w:tcPr>
          <w:p w:rsidR="00742772" w:rsidRPr="002C0184" w:rsidRDefault="00742772" w:rsidP="00425868">
            <w:pPr>
              <w:rPr>
                <w:rFonts w:cs="Arial"/>
                <w:color w:val="000000"/>
                <w:sz w:val="20"/>
                <w:szCs w:val="20"/>
                <w:lang w:eastAsia="en-GB"/>
              </w:rPr>
            </w:pPr>
            <w:r w:rsidRPr="002C0184">
              <w:rPr>
                <w:rFonts w:cs="Arial"/>
                <w:color w:val="000000"/>
                <w:sz w:val="20"/>
                <w:szCs w:val="20"/>
                <w:lang w:eastAsia="en-GB"/>
              </w:rPr>
              <w:t>Apricots, canned</w:t>
            </w:r>
          </w:p>
        </w:tc>
        <w:tc>
          <w:tcPr>
            <w:tcW w:w="398" w:type="pct"/>
            <w:tcBorders>
              <w:left w:val="none" w:sz="0" w:space="0" w:color="auto"/>
              <w:right w:val="none" w:sz="0" w:space="0" w:color="auto"/>
            </w:tcBorders>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w:t>
            </w:r>
          </w:p>
        </w:tc>
        <w:tc>
          <w:tcPr>
            <w:tcW w:w="4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w:t>
            </w:r>
            <w:r>
              <w:rPr>
                <w:rFonts w:cs="Arial"/>
                <w:color w:val="000000"/>
                <w:sz w:val="20"/>
                <w:szCs w:val="20"/>
                <w:lang w:eastAsia="en-GB"/>
              </w:rPr>
              <w:t xml:space="preserve"> </w:t>
            </w:r>
            <w:r w:rsidRPr="002C0184">
              <w:rPr>
                <w:rFonts w:cs="Arial"/>
                <w:color w:val="000000"/>
                <w:sz w:val="20"/>
                <w:szCs w:val="20"/>
                <w:lang w:eastAsia="en-GB"/>
              </w:rPr>
              <w:t>(100)</w:t>
            </w:r>
          </w:p>
        </w:tc>
        <w:tc>
          <w:tcPr>
            <w:tcW w:w="648" w:type="pct"/>
            <w:tcBorders>
              <w:left w:val="none" w:sz="0" w:space="0" w:color="auto"/>
              <w:right w:val="none" w:sz="0" w:space="0" w:color="auto"/>
            </w:tcBorders>
            <w:noWrap/>
            <w:hideMark/>
          </w:tcPr>
          <w:p w:rsidR="00742772" w:rsidRPr="002C0184" w:rsidRDefault="00742772" w:rsidP="00425868">
            <w:pPr>
              <w:tabs>
                <w:tab w:val="decimal" w:pos="1097"/>
                <w:tab w:val="decimal" w:pos="1133"/>
              </w:tabs>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0</w:t>
            </w:r>
          </w:p>
        </w:tc>
        <w:tc>
          <w:tcPr>
            <w:tcW w:w="7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4.0</w:t>
            </w:r>
          </w:p>
        </w:tc>
        <w:tc>
          <w:tcPr>
            <w:tcW w:w="621" w:type="pct"/>
            <w:tcBorders>
              <w:lef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**4.0</w:t>
            </w:r>
          </w:p>
        </w:tc>
      </w:tr>
      <w:tr w:rsidR="00742772" w:rsidRPr="002C0184" w:rsidTr="00425868">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7" w:type="pct"/>
            <w:tcBorders>
              <w:right w:val="none" w:sz="0" w:space="0" w:color="auto"/>
            </w:tcBorders>
            <w:noWrap/>
          </w:tcPr>
          <w:p w:rsidR="00742772" w:rsidRPr="002C0184" w:rsidRDefault="00742772" w:rsidP="00425868">
            <w:pPr>
              <w:rPr>
                <w:rFonts w:cs="Arial"/>
                <w:color w:val="000000"/>
                <w:sz w:val="20"/>
                <w:szCs w:val="20"/>
                <w:lang w:eastAsia="en-GB"/>
              </w:rPr>
            </w:pPr>
            <w:r w:rsidRPr="002C0184">
              <w:rPr>
                <w:rFonts w:cs="Arial"/>
                <w:color w:val="000000"/>
                <w:sz w:val="20"/>
                <w:szCs w:val="20"/>
                <w:lang w:eastAsia="en-GB"/>
              </w:rPr>
              <w:t>Apricot jam</w:t>
            </w:r>
            <w:r w:rsidRPr="000F2AB5">
              <w:rPr>
                <w:rFonts w:cs="Arial"/>
                <w:color w:val="000000"/>
                <w:sz w:val="20"/>
                <w:szCs w:val="20"/>
                <w:vertAlign w:val="superscript"/>
                <w:lang w:eastAsia="en-GB"/>
              </w:rPr>
              <w:t>~</w:t>
            </w:r>
          </w:p>
        </w:tc>
        <w:tc>
          <w:tcPr>
            <w:tcW w:w="398" w:type="pct"/>
            <w:tcBorders>
              <w:left w:val="none" w:sz="0" w:space="0" w:color="auto"/>
              <w:right w:val="none" w:sz="0" w:space="0" w:color="auto"/>
            </w:tcBorders>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3</w:t>
            </w:r>
          </w:p>
        </w:tc>
        <w:tc>
          <w:tcPr>
            <w:tcW w:w="449" w:type="pct"/>
            <w:tcBorders>
              <w:left w:val="none" w:sz="0" w:space="0" w:color="auto"/>
              <w:right w:val="none" w:sz="0" w:space="0" w:color="auto"/>
            </w:tcBorders>
            <w:noWrap/>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8</w:t>
            </w:r>
          </w:p>
        </w:tc>
        <w:tc>
          <w:tcPr>
            <w:tcW w:w="649" w:type="pct"/>
            <w:tcBorders>
              <w:left w:val="none" w:sz="0" w:space="0" w:color="auto"/>
              <w:right w:val="none" w:sz="0" w:space="0" w:color="auto"/>
            </w:tcBorders>
            <w:noWrap/>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w:t>
            </w:r>
            <w:r>
              <w:rPr>
                <w:rFonts w:cs="Arial"/>
                <w:color w:val="000000"/>
                <w:sz w:val="20"/>
                <w:szCs w:val="20"/>
                <w:lang w:eastAsia="en-GB"/>
              </w:rPr>
              <w:t xml:space="preserve"> </w:t>
            </w:r>
            <w:r w:rsidRPr="002C0184">
              <w:rPr>
                <w:rFonts w:cs="Arial"/>
                <w:color w:val="000000"/>
                <w:sz w:val="20"/>
                <w:szCs w:val="20"/>
                <w:lang w:eastAsia="en-GB"/>
              </w:rPr>
              <w:t>(100)</w:t>
            </w:r>
          </w:p>
        </w:tc>
        <w:tc>
          <w:tcPr>
            <w:tcW w:w="648" w:type="pct"/>
            <w:tcBorders>
              <w:left w:val="none" w:sz="0" w:space="0" w:color="auto"/>
              <w:right w:val="none" w:sz="0" w:space="0" w:color="auto"/>
            </w:tcBorders>
            <w:noWrap/>
          </w:tcPr>
          <w:p w:rsidR="00742772" w:rsidRPr="002C0184" w:rsidRDefault="00742772" w:rsidP="00425868">
            <w:pPr>
              <w:tabs>
                <w:tab w:val="decimal" w:pos="1097"/>
                <w:tab w:val="decimal" w:pos="1133"/>
              </w:tabs>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w:t>
            </w:r>
          </w:p>
        </w:tc>
        <w:tc>
          <w:tcPr>
            <w:tcW w:w="649" w:type="pct"/>
            <w:tcBorders>
              <w:left w:val="none" w:sz="0" w:space="0" w:color="auto"/>
              <w:right w:val="none" w:sz="0" w:space="0" w:color="auto"/>
            </w:tcBorders>
            <w:noWrap/>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0</w:t>
            </w:r>
          </w:p>
        </w:tc>
        <w:tc>
          <w:tcPr>
            <w:tcW w:w="749" w:type="pct"/>
            <w:tcBorders>
              <w:left w:val="none" w:sz="0" w:space="0" w:color="auto"/>
              <w:right w:val="none" w:sz="0" w:space="0" w:color="auto"/>
            </w:tcBorders>
            <w:noWrap/>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4.0</w:t>
            </w:r>
          </w:p>
        </w:tc>
        <w:tc>
          <w:tcPr>
            <w:tcW w:w="621" w:type="pct"/>
            <w:tcBorders>
              <w:left w:val="none" w:sz="0" w:space="0" w:color="auto"/>
            </w:tcBorders>
            <w:noWrap/>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**4.0</w:t>
            </w:r>
          </w:p>
        </w:tc>
      </w:tr>
      <w:tr w:rsidR="00742772" w:rsidRPr="002C0184" w:rsidTr="004258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7" w:type="pct"/>
            <w:tcBorders>
              <w:right w:val="none" w:sz="0" w:space="0" w:color="auto"/>
            </w:tcBorders>
            <w:noWrap/>
          </w:tcPr>
          <w:p w:rsidR="00742772" w:rsidRPr="002C0184" w:rsidRDefault="00742772" w:rsidP="00425868">
            <w:pPr>
              <w:rPr>
                <w:rFonts w:cs="Arial"/>
                <w:color w:val="000000"/>
                <w:sz w:val="20"/>
                <w:szCs w:val="20"/>
                <w:lang w:eastAsia="en-GB"/>
              </w:rPr>
            </w:pPr>
            <w:r w:rsidRPr="002C0184">
              <w:rPr>
                <w:rFonts w:cs="Arial"/>
                <w:color w:val="000000"/>
                <w:sz w:val="20"/>
                <w:szCs w:val="20"/>
                <w:lang w:eastAsia="en-GB"/>
              </w:rPr>
              <w:t xml:space="preserve">Apricot </w:t>
            </w:r>
            <w:r>
              <w:rPr>
                <w:rFonts w:cs="Arial"/>
                <w:color w:val="000000"/>
                <w:sz w:val="20"/>
                <w:szCs w:val="20"/>
                <w:lang w:eastAsia="en-GB"/>
              </w:rPr>
              <w:t>k</w:t>
            </w:r>
            <w:r w:rsidRPr="002C0184">
              <w:rPr>
                <w:rFonts w:cs="Arial"/>
                <w:color w:val="000000"/>
                <w:sz w:val="20"/>
                <w:szCs w:val="20"/>
                <w:lang w:eastAsia="en-GB"/>
              </w:rPr>
              <w:t>ernels, with skin</w:t>
            </w:r>
          </w:p>
        </w:tc>
        <w:tc>
          <w:tcPr>
            <w:tcW w:w="398" w:type="pct"/>
            <w:tcBorders>
              <w:left w:val="none" w:sz="0" w:space="0" w:color="auto"/>
              <w:right w:val="none" w:sz="0" w:space="0" w:color="auto"/>
            </w:tcBorders>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3</w:t>
            </w:r>
          </w:p>
        </w:tc>
        <w:tc>
          <w:tcPr>
            <w:tcW w:w="449" w:type="pct"/>
            <w:tcBorders>
              <w:left w:val="none" w:sz="0" w:space="0" w:color="auto"/>
              <w:right w:val="none" w:sz="0" w:space="0" w:color="auto"/>
            </w:tcBorders>
            <w:noWrap/>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18</w:t>
            </w:r>
          </w:p>
        </w:tc>
        <w:tc>
          <w:tcPr>
            <w:tcW w:w="649" w:type="pct"/>
            <w:tcBorders>
              <w:left w:val="none" w:sz="0" w:space="0" w:color="auto"/>
              <w:right w:val="none" w:sz="0" w:space="0" w:color="auto"/>
            </w:tcBorders>
            <w:noWrap/>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0</w:t>
            </w:r>
            <w:r>
              <w:rPr>
                <w:rFonts w:cs="Arial"/>
                <w:color w:val="000000"/>
                <w:sz w:val="20"/>
                <w:szCs w:val="20"/>
                <w:lang w:eastAsia="en-GB"/>
              </w:rPr>
              <w:t xml:space="preserve"> </w:t>
            </w:r>
            <w:r w:rsidRPr="002C0184">
              <w:rPr>
                <w:rFonts w:cs="Arial"/>
                <w:color w:val="000000"/>
                <w:sz w:val="20"/>
                <w:szCs w:val="20"/>
                <w:lang w:eastAsia="en-GB"/>
              </w:rPr>
              <w:t>(0)</w:t>
            </w:r>
          </w:p>
        </w:tc>
        <w:tc>
          <w:tcPr>
            <w:tcW w:w="648" w:type="pct"/>
            <w:tcBorders>
              <w:left w:val="none" w:sz="0" w:space="0" w:color="auto"/>
              <w:right w:val="none" w:sz="0" w:space="0" w:color="auto"/>
            </w:tcBorders>
            <w:noWrap/>
          </w:tcPr>
          <w:p w:rsidR="00742772" w:rsidRPr="002C0184" w:rsidRDefault="00742772" w:rsidP="00425868">
            <w:pPr>
              <w:tabs>
                <w:tab w:val="decimal" w:pos="1097"/>
                <w:tab w:val="decimal" w:pos="1133"/>
              </w:tabs>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NA</w:t>
            </w:r>
          </w:p>
        </w:tc>
        <w:tc>
          <w:tcPr>
            <w:tcW w:w="649" w:type="pct"/>
            <w:tcBorders>
              <w:left w:val="none" w:sz="0" w:space="0" w:color="auto"/>
              <w:right w:val="none" w:sz="0" w:space="0" w:color="auto"/>
            </w:tcBorders>
            <w:noWrap/>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NA</w:t>
            </w:r>
          </w:p>
        </w:tc>
        <w:tc>
          <w:tcPr>
            <w:tcW w:w="749" w:type="pct"/>
            <w:tcBorders>
              <w:left w:val="none" w:sz="0" w:space="0" w:color="auto"/>
              <w:right w:val="none" w:sz="0" w:space="0" w:color="auto"/>
            </w:tcBorders>
            <w:noWrap/>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NA</w:t>
            </w:r>
          </w:p>
        </w:tc>
        <w:tc>
          <w:tcPr>
            <w:tcW w:w="621" w:type="pct"/>
            <w:tcBorders>
              <w:left w:val="none" w:sz="0" w:space="0" w:color="auto"/>
            </w:tcBorders>
            <w:noWrap/>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2820.0</w:t>
            </w:r>
          </w:p>
        </w:tc>
      </w:tr>
      <w:tr w:rsidR="00742772" w:rsidRPr="002C0184" w:rsidTr="00425868">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7" w:type="pct"/>
            <w:tcBorders>
              <w:right w:val="none" w:sz="0" w:space="0" w:color="auto"/>
            </w:tcBorders>
            <w:noWrap/>
          </w:tcPr>
          <w:p w:rsidR="00742772" w:rsidRPr="002C0184" w:rsidRDefault="00742772" w:rsidP="00425868">
            <w:pPr>
              <w:rPr>
                <w:rFonts w:cs="Arial"/>
                <w:color w:val="000000"/>
                <w:sz w:val="20"/>
                <w:szCs w:val="20"/>
                <w:lang w:eastAsia="en-GB"/>
              </w:rPr>
            </w:pPr>
            <w:r w:rsidRPr="002C0184">
              <w:rPr>
                <w:rFonts w:cs="Arial"/>
                <w:color w:val="000000"/>
                <w:sz w:val="20"/>
                <w:szCs w:val="20"/>
                <w:lang w:eastAsia="en-GB"/>
              </w:rPr>
              <w:t xml:space="preserve">Apricot </w:t>
            </w:r>
            <w:r>
              <w:rPr>
                <w:rFonts w:cs="Arial"/>
                <w:color w:val="000000"/>
                <w:sz w:val="20"/>
                <w:szCs w:val="20"/>
                <w:lang w:eastAsia="en-GB"/>
              </w:rPr>
              <w:t>k</w:t>
            </w:r>
            <w:r w:rsidRPr="002C0184">
              <w:rPr>
                <w:rFonts w:cs="Arial"/>
                <w:color w:val="000000"/>
                <w:sz w:val="20"/>
                <w:szCs w:val="20"/>
                <w:lang w:eastAsia="en-GB"/>
              </w:rPr>
              <w:t>ernels, without skin</w:t>
            </w:r>
          </w:p>
        </w:tc>
        <w:tc>
          <w:tcPr>
            <w:tcW w:w="398" w:type="pct"/>
            <w:tcBorders>
              <w:left w:val="none" w:sz="0" w:space="0" w:color="auto"/>
              <w:right w:val="none" w:sz="0" w:space="0" w:color="auto"/>
            </w:tcBorders>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3</w:t>
            </w:r>
          </w:p>
        </w:tc>
        <w:tc>
          <w:tcPr>
            <w:tcW w:w="449" w:type="pct"/>
            <w:tcBorders>
              <w:left w:val="none" w:sz="0" w:space="0" w:color="auto"/>
              <w:right w:val="none" w:sz="0" w:space="0" w:color="auto"/>
            </w:tcBorders>
            <w:noWrap/>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10</w:t>
            </w:r>
          </w:p>
        </w:tc>
        <w:tc>
          <w:tcPr>
            <w:tcW w:w="649" w:type="pct"/>
            <w:tcBorders>
              <w:left w:val="none" w:sz="0" w:space="0" w:color="auto"/>
              <w:right w:val="none" w:sz="0" w:space="0" w:color="auto"/>
            </w:tcBorders>
            <w:noWrap/>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0</w:t>
            </w:r>
            <w:r>
              <w:rPr>
                <w:rFonts w:cs="Arial"/>
                <w:color w:val="000000"/>
                <w:sz w:val="20"/>
                <w:szCs w:val="20"/>
                <w:lang w:eastAsia="en-GB"/>
              </w:rPr>
              <w:t xml:space="preserve"> </w:t>
            </w:r>
            <w:r w:rsidRPr="002C0184">
              <w:rPr>
                <w:rFonts w:cs="Arial"/>
                <w:color w:val="000000"/>
                <w:sz w:val="20"/>
                <w:szCs w:val="20"/>
                <w:lang w:eastAsia="en-GB"/>
              </w:rPr>
              <w:t>(0)</w:t>
            </w:r>
          </w:p>
        </w:tc>
        <w:tc>
          <w:tcPr>
            <w:tcW w:w="648" w:type="pct"/>
            <w:tcBorders>
              <w:left w:val="none" w:sz="0" w:space="0" w:color="auto"/>
              <w:right w:val="none" w:sz="0" w:space="0" w:color="auto"/>
            </w:tcBorders>
            <w:noWrap/>
          </w:tcPr>
          <w:p w:rsidR="00742772" w:rsidRPr="002C0184" w:rsidRDefault="00742772" w:rsidP="00425868">
            <w:pPr>
              <w:tabs>
                <w:tab w:val="decimal" w:pos="1097"/>
                <w:tab w:val="decimal" w:pos="1133"/>
              </w:tabs>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NA</w:t>
            </w:r>
          </w:p>
        </w:tc>
        <w:tc>
          <w:tcPr>
            <w:tcW w:w="649" w:type="pct"/>
            <w:tcBorders>
              <w:left w:val="none" w:sz="0" w:space="0" w:color="auto"/>
              <w:right w:val="none" w:sz="0" w:space="0" w:color="auto"/>
            </w:tcBorders>
            <w:noWrap/>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NA</w:t>
            </w:r>
          </w:p>
        </w:tc>
        <w:tc>
          <w:tcPr>
            <w:tcW w:w="749" w:type="pct"/>
            <w:tcBorders>
              <w:left w:val="none" w:sz="0" w:space="0" w:color="auto"/>
              <w:right w:val="none" w:sz="0" w:space="0" w:color="auto"/>
            </w:tcBorders>
            <w:noWrap/>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NA</w:t>
            </w:r>
          </w:p>
        </w:tc>
        <w:tc>
          <w:tcPr>
            <w:tcW w:w="621" w:type="pct"/>
            <w:tcBorders>
              <w:left w:val="none" w:sz="0" w:space="0" w:color="auto"/>
            </w:tcBorders>
            <w:noWrap/>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440.0</w:t>
            </w:r>
          </w:p>
        </w:tc>
      </w:tr>
      <w:tr w:rsidR="00742772" w:rsidRPr="002C0184" w:rsidTr="004258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7" w:type="pct"/>
            <w:tcBorders>
              <w:right w:val="none" w:sz="0" w:space="0" w:color="auto"/>
            </w:tcBorders>
            <w:noWrap/>
          </w:tcPr>
          <w:p w:rsidR="00742772" w:rsidRPr="002C0184" w:rsidRDefault="00742772" w:rsidP="00425868">
            <w:pPr>
              <w:rPr>
                <w:rFonts w:cs="Arial"/>
                <w:color w:val="000000"/>
                <w:sz w:val="20"/>
                <w:szCs w:val="20"/>
                <w:lang w:eastAsia="en-GB"/>
              </w:rPr>
            </w:pPr>
            <w:r w:rsidRPr="002C0184">
              <w:rPr>
                <w:rFonts w:cs="Arial"/>
                <w:color w:val="000000"/>
                <w:sz w:val="20"/>
                <w:szCs w:val="20"/>
                <w:lang w:eastAsia="en-GB"/>
              </w:rPr>
              <w:t>Apricot nectar</w:t>
            </w:r>
            <w:r w:rsidR="00DF58B5">
              <w:rPr>
                <w:rFonts w:cs="Arial"/>
                <w:color w:val="000000"/>
                <w:sz w:val="20"/>
                <w:szCs w:val="20"/>
                <w:lang w:eastAsia="en-GB"/>
              </w:rPr>
              <w:t>^</w:t>
            </w:r>
          </w:p>
        </w:tc>
        <w:tc>
          <w:tcPr>
            <w:tcW w:w="398" w:type="pct"/>
            <w:tcBorders>
              <w:left w:val="none" w:sz="0" w:space="0" w:color="auto"/>
              <w:right w:val="none" w:sz="0" w:space="0" w:color="auto"/>
            </w:tcBorders>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3</w:t>
            </w:r>
          </w:p>
        </w:tc>
        <w:tc>
          <w:tcPr>
            <w:tcW w:w="449" w:type="pct"/>
            <w:tcBorders>
              <w:left w:val="none" w:sz="0" w:space="0" w:color="auto"/>
              <w:right w:val="none" w:sz="0" w:space="0" w:color="auto"/>
            </w:tcBorders>
            <w:noWrap/>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w:t>
            </w:r>
          </w:p>
        </w:tc>
        <w:tc>
          <w:tcPr>
            <w:tcW w:w="649" w:type="pct"/>
            <w:tcBorders>
              <w:left w:val="none" w:sz="0" w:space="0" w:color="auto"/>
              <w:right w:val="none" w:sz="0" w:space="0" w:color="auto"/>
            </w:tcBorders>
            <w:noWrap/>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3</w:t>
            </w:r>
            <w:r>
              <w:rPr>
                <w:rFonts w:cs="Arial"/>
                <w:color w:val="000000"/>
                <w:sz w:val="20"/>
                <w:szCs w:val="20"/>
                <w:lang w:eastAsia="en-GB"/>
              </w:rPr>
              <w:t xml:space="preserve"> </w:t>
            </w:r>
            <w:r w:rsidRPr="002C0184">
              <w:rPr>
                <w:rFonts w:cs="Arial"/>
                <w:color w:val="000000"/>
                <w:sz w:val="20"/>
                <w:szCs w:val="20"/>
                <w:lang w:eastAsia="en-GB"/>
              </w:rPr>
              <w:t>(75)</w:t>
            </w:r>
          </w:p>
        </w:tc>
        <w:tc>
          <w:tcPr>
            <w:tcW w:w="648" w:type="pct"/>
            <w:tcBorders>
              <w:left w:val="none" w:sz="0" w:space="0" w:color="auto"/>
              <w:right w:val="none" w:sz="0" w:space="0" w:color="auto"/>
            </w:tcBorders>
            <w:noWrap/>
          </w:tcPr>
          <w:p w:rsidR="00742772" w:rsidRPr="002C0184" w:rsidRDefault="00742772" w:rsidP="00425868">
            <w:pPr>
              <w:tabs>
                <w:tab w:val="decimal" w:pos="1097"/>
                <w:tab w:val="decimal" w:pos="1133"/>
              </w:tabs>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5</w:t>
            </w:r>
          </w:p>
        </w:tc>
        <w:tc>
          <w:tcPr>
            <w:tcW w:w="649" w:type="pct"/>
            <w:tcBorders>
              <w:left w:val="none" w:sz="0" w:space="0" w:color="auto"/>
              <w:right w:val="none" w:sz="0" w:space="0" w:color="auto"/>
            </w:tcBorders>
            <w:noWrap/>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1.6</w:t>
            </w:r>
          </w:p>
        </w:tc>
        <w:tc>
          <w:tcPr>
            <w:tcW w:w="749" w:type="pct"/>
            <w:tcBorders>
              <w:left w:val="none" w:sz="0" w:space="0" w:color="auto"/>
              <w:right w:val="none" w:sz="0" w:space="0" w:color="auto"/>
            </w:tcBorders>
            <w:noWrap/>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5.4</w:t>
            </w:r>
          </w:p>
        </w:tc>
        <w:tc>
          <w:tcPr>
            <w:tcW w:w="621" w:type="pct"/>
            <w:tcBorders>
              <w:left w:val="none" w:sz="0" w:space="0" w:color="auto"/>
            </w:tcBorders>
            <w:noWrap/>
          </w:tcPr>
          <w:p w:rsidR="00742772" w:rsidRPr="002C0184" w:rsidRDefault="00E4090A"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Pr>
                <w:rFonts w:cs="Arial"/>
                <w:color w:val="000000"/>
                <w:sz w:val="20"/>
                <w:szCs w:val="20"/>
                <w:lang w:eastAsia="en-GB"/>
              </w:rPr>
              <w:t>**</w:t>
            </w:r>
            <w:r w:rsidR="00742772" w:rsidRPr="002C0184">
              <w:rPr>
                <w:rFonts w:cs="Arial"/>
                <w:color w:val="000000"/>
                <w:sz w:val="20"/>
                <w:szCs w:val="20"/>
                <w:lang w:eastAsia="en-GB"/>
              </w:rPr>
              <w:t>5</w:t>
            </w:r>
            <w:r w:rsidR="00DF58B5">
              <w:rPr>
                <w:rFonts w:cs="Arial"/>
                <w:color w:val="000000"/>
                <w:sz w:val="20"/>
                <w:szCs w:val="20"/>
                <w:lang w:eastAsia="en-GB"/>
              </w:rPr>
              <w:t>.0</w:t>
            </w:r>
          </w:p>
        </w:tc>
      </w:tr>
      <w:tr w:rsidR="00742772" w:rsidRPr="002C0184" w:rsidTr="00425868">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7" w:type="pct"/>
            <w:tcBorders>
              <w:right w:val="none" w:sz="0" w:space="0" w:color="auto"/>
            </w:tcBorders>
            <w:noWrap/>
            <w:hideMark/>
          </w:tcPr>
          <w:p w:rsidR="00742772" w:rsidRPr="002C0184" w:rsidRDefault="00742772" w:rsidP="00425868">
            <w:pPr>
              <w:rPr>
                <w:rFonts w:cs="Arial"/>
                <w:color w:val="000000"/>
                <w:sz w:val="20"/>
                <w:szCs w:val="20"/>
                <w:lang w:eastAsia="en-GB"/>
              </w:rPr>
            </w:pPr>
            <w:r w:rsidRPr="002C0184">
              <w:rPr>
                <w:rFonts w:cs="Arial"/>
                <w:color w:val="000000"/>
                <w:sz w:val="20"/>
                <w:szCs w:val="20"/>
                <w:lang w:eastAsia="en-GB"/>
              </w:rPr>
              <w:t>Bamboo shoots</w:t>
            </w:r>
          </w:p>
        </w:tc>
        <w:tc>
          <w:tcPr>
            <w:tcW w:w="398" w:type="pct"/>
            <w:tcBorders>
              <w:left w:val="none" w:sz="0" w:space="0" w:color="auto"/>
              <w:right w:val="none" w:sz="0" w:space="0" w:color="auto"/>
            </w:tcBorders>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 xml:space="preserve">1 </w:t>
            </w:r>
            <w:r>
              <w:rPr>
                <w:rFonts w:cs="Arial"/>
                <w:color w:val="000000"/>
                <w:sz w:val="20"/>
                <w:szCs w:val="20"/>
                <w:lang w:eastAsia="en-GB"/>
              </w:rPr>
              <w:t>(prepared only)</w:t>
            </w:r>
          </w:p>
        </w:tc>
        <w:tc>
          <w:tcPr>
            <w:tcW w:w="4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Pr>
                <w:rFonts w:cs="Arial"/>
                <w:color w:val="000000"/>
                <w:sz w:val="20"/>
                <w:szCs w:val="20"/>
                <w:lang w:eastAsia="en-GB"/>
              </w:rPr>
              <w:t>10</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0</w:t>
            </w:r>
            <w:r>
              <w:rPr>
                <w:rFonts w:cs="Arial"/>
                <w:color w:val="000000"/>
                <w:sz w:val="20"/>
                <w:szCs w:val="20"/>
                <w:lang w:eastAsia="en-GB"/>
              </w:rPr>
              <w:t xml:space="preserve"> </w:t>
            </w:r>
            <w:r w:rsidRPr="002C0184">
              <w:rPr>
                <w:rFonts w:cs="Arial"/>
                <w:color w:val="000000"/>
                <w:sz w:val="20"/>
                <w:szCs w:val="20"/>
                <w:lang w:eastAsia="en-GB"/>
              </w:rPr>
              <w:t>(0)</w:t>
            </w:r>
          </w:p>
        </w:tc>
        <w:tc>
          <w:tcPr>
            <w:tcW w:w="648" w:type="pct"/>
            <w:tcBorders>
              <w:left w:val="none" w:sz="0" w:space="0" w:color="auto"/>
              <w:right w:val="none" w:sz="0" w:space="0" w:color="auto"/>
            </w:tcBorders>
            <w:noWrap/>
            <w:hideMark/>
          </w:tcPr>
          <w:p w:rsidR="00742772" w:rsidRPr="002C0184" w:rsidRDefault="00742772" w:rsidP="00425868">
            <w:pPr>
              <w:tabs>
                <w:tab w:val="decimal" w:pos="1097"/>
                <w:tab w:val="decimal" w:pos="1133"/>
              </w:tabs>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NA</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Pr>
                <w:rFonts w:cs="Arial"/>
                <w:color w:val="000000"/>
                <w:sz w:val="20"/>
                <w:szCs w:val="20"/>
                <w:lang w:eastAsia="en-GB"/>
              </w:rPr>
              <w:t>13.4</w:t>
            </w:r>
          </w:p>
        </w:tc>
        <w:tc>
          <w:tcPr>
            <w:tcW w:w="7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Pr>
                <w:rFonts w:cs="Arial"/>
                <w:color w:val="000000"/>
                <w:sz w:val="20"/>
                <w:szCs w:val="20"/>
                <w:lang w:eastAsia="en-GB"/>
              </w:rPr>
              <w:t>13.4</w:t>
            </w:r>
          </w:p>
        </w:tc>
        <w:tc>
          <w:tcPr>
            <w:tcW w:w="621" w:type="pct"/>
            <w:tcBorders>
              <w:lef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Pr>
                <w:rFonts w:cs="Arial"/>
                <w:color w:val="000000"/>
                <w:sz w:val="20"/>
                <w:szCs w:val="20"/>
                <w:lang w:eastAsia="en-GB"/>
              </w:rPr>
              <w:t>44.0</w:t>
            </w:r>
          </w:p>
        </w:tc>
      </w:tr>
      <w:tr w:rsidR="00742772" w:rsidRPr="002C0184" w:rsidTr="004258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7" w:type="pct"/>
            <w:tcBorders>
              <w:right w:val="none" w:sz="0" w:space="0" w:color="auto"/>
            </w:tcBorders>
            <w:noWrap/>
          </w:tcPr>
          <w:p w:rsidR="00742772" w:rsidRPr="002C0184" w:rsidRDefault="00742772" w:rsidP="00425868">
            <w:pPr>
              <w:rPr>
                <w:rFonts w:cs="Arial"/>
                <w:color w:val="000000"/>
                <w:sz w:val="20"/>
                <w:szCs w:val="20"/>
                <w:lang w:eastAsia="en-GB"/>
              </w:rPr>
            </w:pPr>
            <w:r w:rsidRPr="002C0184">
              <w:rPr>
                <w:rFonts w:cs="Arial"/>
                <w:color w:val="000000"/>
                <w:sz w:val="20"/>
                <w:szCs w:val="20"/>
                <w:lang w:eastAsia="en-GB"/>
              </w:rPr>
              <w:t>Biscuits, amaretti</w:t>
            </w:r>
            <w:r w:rsidRPr="000F2AB5">
              <w:rPr>
                <w:rFonts w:cs="Arial"/>
                <w:color w:val="000000"/>
                <w:sz w:val="20"/>
                <w:szCs w:val="20"/>
                <w:vertAlign w:val="superscript"/>
                <w:lang w:eastAsia="en-GB"/>
              </w:rPr>
              <w:t>~</w:t>
            </w:r>
          </w:p>
        </w:tc>
        <w:tc>
          <w:tcPr>
            <w:tcW w:w="398" w:type="pct"/>
            <w:tcBorders>
              <w:left w:val="none" w:sz="0" w:space="0" w:color="auto"/>
              <w:right w:val="none" w:sz="0" w:space="0" w:color="auto"/>
            </w:tcBorders>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3</w:t>
            </w:r>
          </w:p>
        </w:tc>
        <w:tc>
          <w:tcPr>
            <w:tcW w:w="449" w:type="pct"/>
            <w:tcBorders>
              <w:left w:val="none" w:sz="0" w:space="0" w:color="auto"/>
              <w:right w:val="none" w:sz="0" w:space="0" w:color="auto"/>
            </w:tcBorders>
            <w:noWrap/>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12</w:t>
            </w:r>
          </w:p>
        </w:tc>
        <w:tc>
          <w:tcPr>
            <w:tcW w:w="649" w:type="pct"/>
            <w:tcBorders>
              <w:left w:val="none" w:sz="0" w:space="0" w:color="auto"/>
              <w:right w:val="none" w:sz="0" w:space="0" w:color="auto"/>
            </w:tcBorders>
            <w:noWrap/>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0</w:t>
            </w:r>
            <w:r>
              <w:rPr>
                <w:rFonts w:cs="Arial"/>
                <w:color w:val="000000"/>
                <w:sz w:val="20"/>
                <w:szCs w:val="20"/>
                <w:lang w:eastAsia="en-GB"/>
              </w:rPr>
              <w:t xml:space="preserve"> </w:t>
            </w:r>
            <w:r w:rsidRPr="002C0184">
              <w:rPr>
                <w:rFonts w:cs="Arial"/>
                <w:color w:val="000000"/>
                <w:sz w:val="20"/>
                <w:szCs w:val="20"/>
                <w:lang w:eastAsia="en-GB"/>
              </w:rPr>
              <w:t>(0)</w:t>
            </w:r>
          </w:p>
        </w:tc>
        <w:tc>
          <w:tcPr>
            <w:tcW w:w="648" w:type="pct"/>
            <w:tcBorders>
              <w:left w:val="none" w:sz="0" w:space="0" w:color="auto"/>
              <w:right w:val="none" w:sz="0" w:space="0" w:color="auto"/>
            </w:tcBorders>
            <w:noWrap/>
          </w:tcPr>
          <w:p w:rsidR="00742772" w:rsidRPr="002C0184" w:rsidRDefault="00742772" w:rsidP="00425868">
            <w:pPr>
              <w:tabs>
                <w:tab w:val="decimal" w:pos="1097"/>
                <w:tab w:val="decimal" w:pos="1133"/>
              </w:tabs>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NA</w:t>
            </w:r>
          </w:p>
        </w:tc>
        <w:tc>
          <w:tcPr>
            <w:tcW w:w="649" w:type="pct"/>
            <w:tcBorders>
              <w:left w:val="none" w:sz="0" w:space="0" w:color="auto"/>
              <w:right w:val="none" w:sz="0" w:space="0" w:color="auto"/>
            </w:tcBorders>
            <w:noWrap/>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34.0</w:t>
            </w:r>
          </w:p>
        </w:tc>
        <w:tc>
          <w:tcPr>
            <w:tcW w:w="749" w:type="pct"/>
            <w:tcBorders>
              <w:left w:val="none" w:sz="0" w:space="0" w:color="auto"/>
              <w:right w:val="none" w:sz="0" w:space="0" w:color="auto"/>
            </w:tcBorders>
            <w:noWrap/>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34.0</w:t>
            </w:r>
          </w:p>
        </w:tc>
        <w:tc>
          <w:tcPr>
            <w:tcW w:w="621" w:type="pct"/>
            <w:tcBorders>
              <w:left w:val="none" w:sz="0" w:space="0" w:color="auto"/>
            </w:tcBorders>
            <w:noWrap/>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34.0</w:t>
            </w:r>
          </w:p>
        </w:tc>
      </w:tr>
      <w:tr w:rsidR="00742772" w:rsidRPr="002C0184" w:rsidTr="00425868">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7" w:type="pct"/>
            <w:tcBorders>
              <w:right w:val="none" w:sz="0" w:space="0" w:color="auto"/>
            </w:tcBorders>
            <w:noWrap/>
          </w:tcPr>
          <w:p w:rsidR="00742772" w:rsidRPr="002C0184" w:rsidRDefault="00742772" w:rsidP="00425868">
            <w:pPr>
              <w:rPr>
                <w:rFonts w:cs="Arial"/>
                <w:color w:val="000000"/>
                <w:sz w:val="20"/>
                <w:szCs w:val="20"/>
                <w:lang w:eastAsia="en-GB"/>
              </w:rPr>
            </w:pPr>
            <w:r w:rsidRPr="002C0184">
              <w:rPr>
                <w:rFonts w:cs="Arial"/>
                <w:color w:val="000000"/>
                <w:sz w:val="20"/>
                <w:szCs w:val="20"/>
                <w:lang w:eastAsia="en-GB"/>
              </w:rPr>
              <w:t>Biscuits, almond fingers/apple fingers</w:t>
            </w:r>
            <w:r w:rsidRPr="000F2AB5">
              <w:rPr>
                <w:rFonts w:cs="Arial"/>
                <w:color w:val="000000"/>
                <w:sz w:val="20"/>
                <w:szCs w:val="20"/>
                <w:vertAlign w:val="superscript"/>
                <w:lang w:eastAsia="en-GB"/>
              </w:rPr>
              <w:t>~</w:t>
            </w:r>
          </w:p>
        </w:tc>
        <w:tc>
          <w:tcPr>
            <w:tcW w:w="398" w:type="pct"/>
            <w:tcBorders>
              <w:left w:val="none" w:sz="0" w:space="0" w:color="auto"/>
              <w:right w:val="none" w:sz="0" w:space="0" w:color="auto"/>
            </w:tcBorders>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3</w:t>
            </w:r>
          </w:p>
        </w:tc>
        <w:tc>
          <w:tcPr>
            <w:tcW w:w="449" w:type="pct"/>
            <w:tcBorders>
              <w:left w:val="none" w:sz="0" w:space="0" w:color="auto"/>
              <w:right w:val="none" w:sz="0" w:space="0" w:color="auto"/>
            </w:tcBorders>
            <w:noWrap/>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13</w:t>
            </w:r>
          </w:p>
        </w:tc>
        <w:tc>
          <w:tcPr>
            <w:tcW w:w="649" w:type="pct"/>
            <w:tcBorders>
              <w:left w:val="none" w:sz="0" w:space="0" w:color="auto"/>
              <w:right w:val="none" w:sz="0" w:space="0" w:color="auto"/>
            </w:tcBorders>
            <w:noWrap/>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0</w:t>
            </w:r>
            <w:r>
              <w:rPr>
                <w:rFonts w:cs="Arial"/>
                <w:color w:val="000000"/>
                <w:sz w:val="20"/>
                <w:szCs w:val="20"/>
                <w:lang w:eastAsia="en-GB"/>
              </w:rPr>
              <w:t xml:space="preserve"> </w:t>
            </w:r>
            <w:r w:rsidRPr="002C0184">
              <w:rPr>
                <w:rFonts w:cs="Arial"/>
                <w:color w:val="000000"/>
                <w:sz w:val="20"/>
                <w:szCs w:val="20"/>
                <w:lang w:eastAsia="en-GB"/>
              </w:rPr>
              <w:t>(0)</w:t>
            </w:r>
          </w:p>
        </w:tc>
        <w:tc>
          <w:tcPr>
            <w:tcW w:w="648" w:type="pct"/>
            <w:tcBorders>
              <w:left w:val="none" w:sz="0" w:space="0" w:color="auto"/>
              <w:right w:val="none" w:sz="0" w:space="0" w:color="auto"/>
            </w:tcBorders>
            <w:noWrap/>
          </w:tcPr>
          <w:p w:rsidR="00742772" w:rsidRPr="002C0184" w:rsidRDefault="00742772" w:rsidP="00425868">
            <w:pPr>
              <w:tabs>
                <w:tab w:val="decimal" w:pos="1097"/>
                <w:tab w:val="decimal" w:pos="1133"/>
              </w:tabs>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NA</w:t>
            </w:r>
          </w:p>
        </w:tc>
        <w:tc>
          <w:tcPr>
            <w:tcW w:w="649" w:type="pct"/>
            <w:tcBorders>
              <w:left w:val="none" w:sz="0" w:space="0" w:color="auto"/>
              <w:right w:val="none" w:sz="0" w:space="0" w:color="auto"/>
            </w:tcBorders>
            <w:noWrap/>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NA</w:t>
            </w:r>
          </w:p>
        </w:tc>
        <w:tc>
          <w:tcPr>
            <w:tcW w:w="749" w:type="pct"/>
            <w:tcBorders>
              <w:left w:val="none" w:sz="0" w:space="0" w:color="auto"/>
              <w:right w:val="none" w:sz="0" w:space="0" w:color="auto"/>
            </w:tcBorders>
            <w:noWrap/>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NA</w:t>
            </w:r>
          </w:p>
        </w:tc>
        <w:tc>
          <w:tcPr>
            <w:tcW w:w="621" w:type="pct"/>
            <w:tcBorders>
              <w:left w:val="none" w:sz="0" w:space="0" w:color="auto"/>
            </w:tcBorders>
            <w:noWrap/>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13.0</w:t>
            </w:r>
          </w:p>
        </w:tc>
      </w:tr>
      <w:tr w:rsidR="00742772" w:rsidRPr="002C0184" w:rsidTr="004258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7" w:type="pct"/>
            <w:tcBorders>
              <w:right w:val="none" w:sz="0" w:space="0" w:color="auto"/>
            </w:tcBorders>
            <w:noWrap/>
            <w:hideMark/>
          </w:tcPr>
          <w:p w:rsidR="00742772" w:rsidRPr="002C0184" w:rsidRDefault="00742772" w:rsidP="00425868">
            <w:pPr>
              <w:rPr>
                <w:rFonts w:cs="Arial"/>
                <w:color w:val="000000"/>
                <w:sz w:val="20"/>
                <w:szCs w:val="20"/>
                <w:lang w:eastAsia="en-GB"/>
              </w:rPr>
            </w:pPr>
            <w:r w:rsidRPr="002C0184">
              <w:rPr>
                <w:rFonts w:cs="Arial"/>
                <w:color w:val="000000"/>
                <w:sz w:val="20"/>
                <w:szCs w:val="20"/>
                <w:lang w:eastAsia="en-GB"/>
              </w:rPr>
              <w:t>Bread containing linseed</w:t>
            </w:r>
          </w:p>
        </w:tc>
        <w:tc>
          <w:tcPr>
            <w:tcW w:w="398" w:type="pct"/>
            <w:tcBorders>
              <w:left w:val="none" w:sz="0" w:space="0" w:color="auto"/>
              <w:right w:val="none" w:sz="0" w:space="0" w:color="auto"/>
            </w:tcBorders>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 &amp; 3</w:t>
            </w:r>
          </w:p>
        </w:tc>
        <w:tc>
          <w:tcPr>
            <w:tcW w:w="4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6</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0</w:t>
            </w:r>
            <w:r>
              <w:rPr>
                <w:rFonts w:cs="Arial"/>
                <w:color w:val="000000"/>
                <w:sz w:val="20"/>
                <w:szCs w:val="20"/>
                <w:lang w:eastAsia="en-GB"/>
              </w:rPr>
              <w:t xml:space="preserve"> </w:t>
            </w:r>
            <w:r w:rsidRPr="002C0184">
              <w:rPr>
                <w:rFonts w:cs="Arial"/>
                <w:color w:val="000000"/>
                <w:sz w:val="20"/>
                <w:szCs w:val="20"/>
                <w:lang w:eastAsia="en-GB"/>
              </w:rPr>
              <w:t>(0)</w:t>
            </w:r>
          </w:p>
        </w:tc>
        <w:tc>
          <w:tcPr>
            <w:tcW w:w="648" w:type="pct"/>
            <w:tcBorders>
              <w:left w:val="none" w:sz="0" w:space="0" w:color="auto"/>
              <w:right w:val="none" w:sz="0" w:space="0" w:color="auto"/>
            </w:tcBorders>
            <w:noWrap/>
            <w:hideMark/>
          </w:tcPr>
          <w:p w:rsidR="00742772" w:rsidRPr="002C0184" w:rsidRDefault="00742772" w:rsidP="00425868">
            <w:pPr>
              <w:tabs>
                <w:tab w:val="decimal" w:pos="1097"/>
                <w:tab w:val="decimal" w:pos="1133"/>
              </w:tabs>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NA</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23.0</w:t>
            </w:r>
          </w:p>
        </w:tc>
        <w:tc>
          <w:tcPr>
            <w:tcW w:w="7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23.0</w:t>
            </w:r>
          </w:p>
        </w:tc>
        <w:tc>
          <w:tcPr>
            <w:tcW w:w="621" w:type="pct"/>
            <w:tcBorders>
              <w:lef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49.0</w:t>
            </w:r>
          </w:p>
        </w:tc>
      </w:tr>
      <w:tr w:rsidR="00742772" w:rsidRPr="002C0184" w:rsidTr="00425868">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7" w:type="pct"/>
            <w:tcBorders>
              <w:right w:val="none" w:sz="0" w:space="0" w:color="auto"/>
            </w:tcBorders>
            <w:noWrap/>
            <w:hideMark/>
          </w:tcPr>
          <w:p w:rsidR="00742772" w:rsidRPr="002C0184" w:rsidRDefault="00742772" w:rsidP="00425868">
            <w:pPr>
              <w:rPr>
                <w:rFonts w:cs="Arial"/>
                <w:color w:val="000000"/>
                <w:sz w:val="20"/>
                <w:szCs w:val="20"/>
                <w:lang w:eastAsia="en-GB"/>
              </w:rPr>
            </w:pPr>
            <w:r w:rsidRPr="002C0184">
              <w:rPr>
                <w:rFonts w:cs="Arial"/>
                <w:color w:val="000000"/>
                <w:sz w:val="20"/>
                <w:szCs w:val="20"/>
                <w:lang w:eastAsia="en-GB"/>
              </w:rPr>
              <w:t>Butter beans*</w:t>
            </w:r>
          </w:p>
        </w:tc>
        <w:tc>
          <w:tcPr>
            <w:tcW w:w="398" w:type="pct"/>
            <w:tcBorders>
              <w:left w:val="none" w:sz="0" w:space="0" w:color="auto"/>
              <w:right w:val="none" w:sz="0" w:space="0" w:color="auto"/>
            </w:tcBorders>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w:t>
            </w:r>
          </w:p>
        </w:tc>
        <w:tc>
          <w:tcPr>
            <w:tcW w:w="4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6</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5</w:t>
            </w:r>
            <w:r>
              <w:rPr>
                <w:rFonts w:cs="Arial"/>
                <w:color w:val="000000"/>
                <w:sz w:val="20"/>
                <w:szCs w:val="20"/>
                <w:lang w:eastAsia="en-GB"/>
              </w:rPr>
              <w:t xml:space="preserve"> </w:t>
            </w:r>
            <w:r w:rsidRPr="002C0184">
              <w:rPr>
                <w:rFonts w:cs="Arial"/>
                <w:color w:val="000000"/>
                <w:sz w:val="20"/>
                <w:szCs w:val="20"/>
                <w:lang w:eastAsia="en-GB"/>
              </w:rPr>
              <w:t>(83)</w:t>
            </w:r>
          </w:p>
        </w:tc>
        <w:tc>
          <w:tcPr>
            <w:tcW w:w="648" w:type="pct"/>
            <w:tcBorders>
              <w:left w:val="none" w:sz="0" w:space="0" w:color="auto"/>
              <w:right w:val="none" w:sz="0" w:space="0" w:color="auto"/>
            </w:tcBorders>
            <w:noWrap/>
            <w:hideMark/>
          </w:tcPr>
          <w:p w:rsidR="00742772" w:rsidRPr="002C0184" w:rsidRDefault="00742772" w:rsidP="00425868">
            <w:pPr>
              <w:tabs>
                <w:tab w:val="decimal" w:pos="1097"/>
                <w:tab w:val="decimal" w:pos="1133"/>
              </w:tabs>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3 (4)</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1.1</w:t>
            </w:r>
          </w:p>
        </w:tc>
        <w:tc>
          <w:tcPr>
            <w:tcW w:w="7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4.1</w:t>
            </w:r>
          </w:p>
        </w:tc>
        <w:tc>
          <w:tcPr>
            <w:tcW w:w="621" w:type="pct"/>
            <w:tcBorders>
              <w:lef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6.8</w:t>
            </w:r>
          </w:p>
        </w:tc>
      </w:tr>
      <w:tr w:rsidR="00742772" w:rsidRPr="002C0184" w:rsidTr="004258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7" w:type="pct"/>
            <w:tcBorders>
              <w:right w:val="none" w:sz="0" w:space="0" w:color="auto"/>
            </w:tcBorders>
            <w:noWrap/>
          </w:tcPr>
          <w:p w:rsidR="00742772" w:rsidRPr="002C0184" w:rsidRDefault="00742772" w:rsidP="00425868">
            <w:pPr>
              <w:rPr>
                <w:rFonts w:cs="Arial"/>
                <w:color w:val="000000"/>
                <w:sz w:val="20"/>
                <w:szCs w:val="20"/>
                <w:lang w:eastAsia="en-GB"/>
              </w:rPr>
            </w:pPr>
            <w:r w:rsidRPr="002C0184">
              <w:rPr>
                <w:rFonts w:cs="Arial"/>
                <w:color w:val="000000"/>
                <w:sz w:val="20"/>
                <w:szCs w:val="20"/>
                <w:lang w:eastAsia="en-GB"/>
              </w:rPr>
              <w:t>Cassava roots, cooked</w:t>
            </w:r>
          </w:p>
        </w:tc>
        <w:tc>
          <w:tcPr>
            <w:tcW w:w="398" w:type="pct"/>
            <w:tcBorders>
              <w:left w:val="none" w:sz="0" w:space="0" w:color="auto"/>
              <w:right w:val="none" w:sz="0" w:space="0" w:color="auto"/>
            </w:tcBorders>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3</w:t>
            </w:r>
            <w:r>
              <w:rPr>
                <w:rFonts w:cs="Arial"/>
                <w:color w:val="000000"/>
                <w:sz w:val="20"/>
                <w:szCs w:val="20"/>
                <w:lang w:eastAsia="en-GB"/>
              </w:rPr>
              <w:t xml:space="preserve"> (sweet only)</w:t>
            </w:r>
          </w:p>
        </w:tc>
        <w:tc>
          <w:tcPr>
            <w:tcW w:w="449" w:type="pct"/>
            <w:tcBorders>
              <w:left w:val="none" w:sz="0" w:space="0" w:color="auto"/>
              <w:right w:val="none" w:sz="0" w:space="0" w:color="auto"/>
            </w:tcBorders>
            <w:noWrap/>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Pr>
                <w:rFonts w:cs="Arial"/>
                <w:color w:val="000000"/>
                <w:sz w:val="20"/>
                <w:szCs w:val="20"/>
                <w:lang w:eastAsia="en-GB"/>
              </w:rPr>
              <w:t>8</w:t>
            </w:r>
          </w:p>
        </w:tc>
        <w:tc>
          <w:tcPr>
            <w:tcW w:w="649" w:type="pct"/>
            <w:tcBorders>
              <w:left w:val="none" w:sz="0" w:space="0" w:color="auto"/>
              <w:right w:val="none" w:sz="0" w:space="0" w:color="auto"/>
            </w:tcBorders>
            <w:noWrap/>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0</w:t>
            </w:r>
            <w:r>
              <w:rPr>
                <w:rFonts w:cs="Arial"/>
                <w:color w:val="000000"/>
                <w:sz w:val="20"/>
                <w:szCs w:val="20"/>
                <w:lang w:eastAsia="en-GB"/>
              </w:rPr>
              <w:t xml:space="preserve"> </w:t>
            </w:r>
            <w:r w:rsidRPr="002C0184">
              <w:rPr>
                <w:rFonts w:cs="Arial"/>
                <w:color w:val="000000"/>
                <w:sz w:val="20"/>
                <w:szCs w:val="20"/>
                <w:lang w:eastAsia="en-GB"/>
              </w:rPr>
              <w:t>(0)</w:t>
            </w:r>
          </w:p>
        </w:tc>
        <w:tc>
          <w:tcPr>
            <w:tcW w:w="648" w:type="pct"/>
            <w:tcBorders>
              <w:left w:val="none" w:sz="0" w:space="0" w:color="auto"/>
              <w:right w:val="none" w:sz="0" w:space="0" w:color="auto"/>
            </w:tcBorders>
            <w:noWrap/>
          </w:tcPr>
          <w:p w:rsidR="00742772" w:rsidRPr="002C0184" w:rsidRDefault="00742772" w:rsidP="00425868">
            <w:pPr>
              <w:tabs>
                <w:tab w:val="decimal" w:pos="1097"/>
                <w:tab w:val="decimal" w:pos="1133"/>
              </w:tabs>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NA</w:t>
            </w:r>
          </w:p>
        </w:tc>
        <w:tc>
          <w:tcPr>
            <w:tcW w:w="649" w:type="pct"/>
            <w:tcBorders>
              <w:left w:val="none" w:sz="0" w:space="0" w:color="auto"/>
              <w:right w:val="none" w:sz="0" w:space="0" w:color="auto"/>
            </w:tcBorders>
            <w:noWrap/>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Pr>
                <w:rFonts w:cs="Arial"/>
                <w:color w:val="000000"/>
                <w:sz w:val="20"/>
                <w:szCs w:val="20"/>
                <w:lang w:eastAsia="en-GB"/>
              </w:rPr>
              <w:t>14.1</w:t>
            </w:r>
          </w:p>
        </w:tc>
        <w:tc>
          <w:tcPr>
            <w:tcW w:w="749" w:type="pct"/>
            <w:tcBorders>
              <w:left w:val="none" w:sz="0" w:space="0" w:color="auto"/>
              <w:right w:val="none" w:sz="0" w:space="0" w:color="auto"/>
            </w:tcBorders>
            <w:noWrap/>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Pr>
                <w:rFonts w:cs="Arial"/>
                <w:color w:val="000000"/>
                <w:sz w:val="20"/>
                <w:szCs w:val="20"/>
                <w:lang w:eastAsia="en-GB"/>
              </w:rPr>
              <w:t>14.1</w:t>
            </w:r>
          </w:p>
        </w:tc>
        <w:tc>
          <w:tcPr>
            <w:tcW w:w="621" w:type="pct"/>
            <w:tcBorders>
              <w:left w:val="none" w:sz="0" w:space="0" w:color="auto"/>
            </w:tcBorders>
            <w:noWrap/>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Pr>
                <w:rFonts w:cs="Arial"/>
                <w:color w:val="000000"/>
                <w:sz w:val="20"/>
                <w:szCs w:val="20"/>
                <w:lang w:eastAsia="en-GB"/>
              </w:rPr>
              <w:t>26.0</w:t>
            </w:r>
          </w:p>
        </w:tc>
      </w:tr>
      <w:tr w:rsidR="00742772" w:rsidRPr="002C0184" w:rsidTr="00425868">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7" w:type="pct"/>
            <w:tcBorders>
              <w:right w:val="none" w:sz="0" w:space="0" w:color="auto"/>
            </w:tcBorders>
            <w:noWrap/>
          </w:tcPr>
          <w:p w:rsidR="00742772" w:rsidRPr="002C0184" w:rsidRDefault="00742772" w:rsidP="00425868">
            <w:pPr>
              <w:rPr>
                <w:rFonts w:cs="Arial"/>
                <w:color w:val="000000"/>
                <w:sz w:val="20"/>
                <w:szCs w:val="20"/>
                <w:lang w:eastAsia="en-GB"/>
              </w:rPr>
            </w:pPr>
            <w:r w:rsidRPr="002C0184">
              <w:rPr>
                <w:rFonts w:cs="Arial"/>
                <w:color w:val="000000"/>
                <w:sz w:val="20"/>
                <w:szCs w:val="20"/>
                <w:lang w:eastAsia="en-GB"/>
              </w:rPr>
              <w:t>Cassava starch</w:t>
            </w:r>
          </w:p>
        </w:tc>
        <w:tc>
          <w:tcPr>
            <w:tcW w:w="398" w:type="pct"/>
            <w:tcBorders>
              <w:left w:val="none" w:sz="0" w:space="0" w:color="auto"/>
              <w:right w:val="none" w:sz="0" w:space="0" w:color="auto"/>
            </w:tcBorders>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w:t>
            </w:r>
          </w:p>
        </w:tc>
        <w:tc>
          <w:tcPr>
            <w:tcW w:w="449" w:type="pct"/>
            <w:tcBorders>
              <w:left w:val="none" w:sz="0" w:space="0" w:color="auto"/>
              <w:right w:val="none" w:sz="0" w:space="0" w:color="auto"/>
            </w:tcBorders>
            <w:noWrap/>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w:t>
            </w:r>
          </w:p>
        </w:tc>
        <w:tc>
          <w:tcPr>
            <w:tcW w:w="649" w:type="pct"/>
            <w:tcBorders>
              <w:left w:val="none" w:sz="0" w:space="0" w:color="auto"/>
              <w:right w:val="none" w:sz="0" w:space="0" w:color="auto"/>
            </w:tcBorders>
            <w:noWrap/>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w:t>
            </w:r>
            <w:r>
              <w:rPr>
                <w:rFonts w:cs="Arial"/>
                <w:color w:val="000000"/>
                <w:sz w:val="20"/>
                <w:szCs w:val="20"/>
                <w:lang w:eastAsia="en-GB"/>
              </w:rPr>
              <w:t xml:space="preserve"> </w:t>
            </w:r>
            <w:r w:rsidRPr="002C0184">
              <w:rPr>
                <w:rFonts w:cs="Arial"/>
                <w:color w:val="000000"/>
                <w:sz w:val="20"/>
                <w:szCs w:val="20"/>
                <w:lang w:eastAsia="en-GB"/>
              </w:rPr>
              <w:t>(100)</w:t>
            </w:r>
          </w:p>
        </w:tc>
        <w:tc>
          <w:tcPr>
            <w:tcW w:w="648" w:type="pct"/>
            <w:tcBorders>
              <w:left w:val="none" w:sz="0" w:space="0" w:color="auto"/>
              <w:right w:val="none" w:sz="0" w:space="0" w:color="auto"/>
            </w:tcBorders>
            <w:noWrap/>
          </w:tcPr>
          <w:p w:rsidR="00742772" w:rsidRPr="002C0184" w:rsidRDefault="00742772" w:rsidP="00425868">
            <w:pPr>
              <w:tabs>
                <w:tab w:val="decimal" w:pos="1097"/>
                <w:tab w:val="decimal" w:pos="1133"/>
              </w:tabs>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w:t>
            </w:r>
          </w:p>
        </w:tc>
        <w:tc>
          <w:tcPr>
            <w:tcW w:w="649" w:type="pct"/>
            <w:tcBorders>
              <w:left w:val="none" w:sz="0" w:space="0" w:color="auto"/>
              <w:right w:val="none" w:sz="0" w:space="0" w:color="auto"/>
            </w:tcBorders>
            <w:noWrap/>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0</w:t>
            </w:r>
          </w:p>
        </w:tc>
        <w:tc>
          <w:tcPr>
            <w:tcW w:w="749" w:type="pct"/>
            <w:tcBorders>
              <w:left w:val="none" w:sz="0" w:space="0" w:color="auto"/>
              <w:right w:val="none" w:sz="0" w:space="0" w:color="auto"/>
            </w:tcBorders>
            <w:noWrap/>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4.0</w:t>
            </w:r>
          </w:p>
        </w:tc>
        <w:tc>
          <w:tcPr>
            <w:tcW w:w="621" w:type="pct"/>
            <w:tcBorders>
              <w:left w:val="none" w:sz="0" w:space="0" w:color="auto"/>
            </w:tcBorders>
            <w:noWrap/>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**4.0</w:t>
            </w:r>
          </w:p>
        </w:tc>
      </w:tr>
      <w:tr w:rsidR="00742772" w:rsidRPr="002C0184" w:rsidTr="004258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7" w:type="pct"/>
            <w:tcBorders>
              <w:right w:val="none" w:sz="0" w:space="0" w:color="auto"/>
            </w:tcBorders>
            <w:noWrap/>
            <w:hideMark/>
          </w:tcPr>
          <w:p w:rsidR="00742772" w:rsidRPr="002C0184" w:rsidRDefault="00742772" w:rsidP="00425868">
            <w:pPr>
              <w:rPr>
                <w:rFonts w:cs="Arial"/>
                <w:color w:val="000000"/>
                <w:sz w:val="20"/>
                <w:szCs w:val="20"/>
                <w:lang w:eastAsia="en-GB"/>
              </w:rPr>
            </w:pPr>
            <w:r w:rsidRPr="002C0184">
              <w:rPr>
                <w:rFonts w:cs="Arial"/>
                <w:color w:val="000000"/>
                <w:sz w:val="20"/>
                <w:szCs w:val="20"/>
                <w:lang w:eastAsia="en-GB"/>
              </w:rPr>
              <w:lastRenderedPageBreak/>
              <w:t>Cherry brandy</w:t>
            </w:r>
          </w:p>
        </w:tc>
        <w:tc>
          <w:tcPr>
            <w:tcW w:w="398" w:type="pct"/>
            <w:tcBorders>
              <w:left w:val="none" w:sz="0" w:space="0" w:color="auto"/>
              <w:right w:val="none" w:sz="0" w:space="0" w:color="auto"/>
            </w:tcBorders>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w:t>
            </w:r>
          </w:p>
        </w:tc>
        <w:tc>
          <w:tcPr>
            <w:tcW w:w="4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3</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3</w:t>
            </w:r>
            <w:r>
              <w:rPr>
                <w:rFonts w:cs="Arial"/>
                <w:color w:val="000000"/>
                <w:sz w:val="20"/>
                <w:szCs w:val="20"/>
                <w:lang w:eastAsia="en-GB"/>
              </w:rPr>
              <w:t xml:space="preserve"> </w:t>
            </w:r>
            <w:r w:rsidRPr="002C0184">
              <w:rPr>
                <w:rFonts w:cs="Arial"/>
                <w:color w:val="000000"/>
                <w:sz w:val="20"/>
                <w:szCs w:val="20"/>
                <w:lang w:eastAsia="en-GB"/>
              </w:rPr>
              <w:t>(100)</w:t>
            </w:r>
          </w:p>
        </w:tc>
        <w:tc>
          <w:tcPr>
            <w:tcW w:w="648" w:type="pct"/>
            <w:tcBorders>
              <w:left w:val="none" w:sz="0" w:space="0" w:color="auto"/>
              <w:right w:val="none" w:sz="0" w:space="0" w:color="auto"/>
            </w:tcBorders>
            <w:noWrap/>
            <w:hideMark/>
          </w:tcPr>
          <w:p w:rsidR="00742772" w:rsidRPr="002C0184" w:rsidRDefault="00742772" w:rsidP="00425868">
            <w:pPr>
              <w:tabs>
                <w:tab w:val="decimal" w:pos="1097"/>
                <w:tab w:val="decimal" w:pos="1133"/>
              </w:tabs>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0</w:t>
            </w:r>
          </w:p>
        </w:tc>
        <w:tc>
          <w:tcPr>
            <w:tcW w:w="7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4.0</w:t>
            </w:r>
          </w:p>
        </w:tc>
        <w:tc>
          <w:tcPr>
            <w:tcW w:w="621" w:type="pct"/>
            <w:tcBorders>
              <w:lef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**4.0</w:t>
            </w:r>
          </w:p>
        </w:tc>
      </w:tr>
      <w:tr w:rsidR="00742772" w:rsidRPr="002C0184" w:rsidTr="00425868">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7" w:type="pct"/>
            <w:tcBorders>
              <w:right w:val="none" w:sz="0" w:space="0" w:color="auto"/>
            </w:tcBorders>
            <w:noWrap/>
            <w:hideMark/>
          </w:tcPr>
          <w:p w:rsidR="00742772" w:rsidRPr="002C0184" w:rsidRDefault="00742772" w:rsidP="00425868">
            <w:pPr>
              <w:rPr>
                <w:rFonts w:cs="Arial"/>
                <w:color w:val="000000"/>
                <w:sz w:val="20"/>
                <w:szCs w:val="20"/>
                <w:lang w:eastAsia="en-GB"/>
              </w:rPr>
            </w:pPr>
            <w:r w:rsidRPr="002C0184">
              <w:rPr>
                <w:rFonts w:cs="Arial"/>
                <w:color w:val="000000"/>
                <w:sz w:val="20"/>
                <w:szCs w:val="20"/>
                <w:lang w:eastAsia="en-GB"/>
              </w:rPr>
              <w:t>Lima beans*</w:t>
            </w:r>
          </w:p>
        </w:tc>
        <w:tc>
          <w:tcPr>
            <w:tcW w:w="398" w:type="pct"/>
            <w:tcBorders>
              <w:left w:val="none" w:sz="0" w:space="0" w:color="auto"/>
              <w:right w:val="none" w:sz="0" w:space="0" w:color="auto"/>
            </w:tcBorders>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w:t>
            </w:r>
          </w:p>
        </w:tc>
        <w:tc>
          <w:tcPr>
            <w:tcW w:w="4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3</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2</w:t>
            </w:r>
            <w:r>
              <w:rPr>
                <w:rFonts w:cs="Arial"/>
                <w:color w:val="000000"/>
                <w:sz w:val="20"/>
                <w:szCs w:val="20"/>
                <w:lang w:eastAsia="en-GB"/>
              </w:rPr>
              <w:t xml:space="preserve"> </w:t>
            </w:r>
            <w:r w:rsidRPr="002C0184">
              <w:rPr>
                <w:rFonts w:cs="Arial"/>
                <w:color w:val="000000"/>
                <w:sz w:val="20"/>
                <w:szCs w:val="20"/>
                <w:lang w:eastAsia="en-GB"/>
              </w:rPr>
              <w:t>(67)</w:t>
            </w:r>
          </w:p>
        </w:tc>
        <w:tc>
          <w:tcPr>
            <w:tcW w:w="648" w:type="pct"/>
            <w:tcBorders>
              <w:left w:val="none" w:sz="0" w:space="0" w:color="auto"/>
              <w:right w:val="none" w:sz="0" w:space="0" w:color="auto"/>
            </w:tcBorders>
            <w:noWrap/>
            <w:hideMark/>
          </w:tcPr>
          <w:p w:rsidR="00742772" w:rsidRPr="002C0184" w:rsidRDefault="00742772" w:rsidP="00425868">
            <w:pPr>
              <w:tabs>
                <w:tab w:val="decimal" w:pos="1097"/>
                <w:tab w:val="decimal" w:pos="1133"/>
              </w:tabs>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3 (4)</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10.8</w:t>
            </w:r>
          </w:p>
        </w:tc>
        <w:tc>
          <w:tcPr>
            <w:tcW w:w="7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13.1</w:t>
            </w:r>
          </w:p>
        </w:tc>
        <w:tc>
          <w:tcPr>
            <w:tcW w:w="621" w:type="pct"/>
            <w:tcBorders>
              <w:lef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32.3</w:t>
            </w:r>
          </w:p>
        </w:tc>
      </w:tr>
      <w:tr w:rsidR="00742772" w:rsidRPr="002C0184" w:rsidTr="004258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7" w:type="pct"/>
            <w:tcBorders>
              <w:right w:val="none" w:sz="0" w:space="0" w:color="auto"/>
            </w:tcBorders>
            <w:hideMark/>
          </w:tcPr>
          <w:p w:rsidR="00742772" w:rsidRPr="002C0184" w:rsidRDefault="00742772" w:rsidP="00425868">
            <w:pPr>
              <w:rPr>
                <w:rFonts w:cs="Arial"/>
                <w:color w:val="000000"/>
                <w:sz w:val="20"/>
                <w:szCs w:val="20"/>
                <w:lang w:eastAsia="en-GB"/>
              </w:rPr>
            </w:pPr>
            <w:r w:rsidRPr="002C0184">
              <w:rPr>
                <w:rFonts w:cs="Arial"/>
                <w:color w:val="000000"/>
                <w:sz w:val="20"/>
                <w:szCs w:val="20"/>
                <w:lang w:eastAsia="en-GB"/>
              </w:rPr>
              <w:t>Linseed</w:t>
            </w:r>
            <w:r>
              <w:rPr>
                <w:rFonts w:cs="Arial"/>
                <w:color w:val="000000"/>
                <w:sz w:val="20"/>
                <w:szCs w:val="20"/>
                <w:lang w:eastAsia="en-GB"/>
              </w:rPr>
              <w:t>s</w:t>
            </w:r>
          </w:p>
        </w:tc>
        <w:tc>
          <w:tcPr>
            <w:tcW w:w="398" w:type="pct"/>
            <w:tcBorders>
              <w:left w:val="none" w:sz="0" w:space="0" w:color="auto"/>
              <w:right w:val="none" w:sz="0" w:space="0" w:color="auto"/>
            </w:tcBorders>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w:t>
            </w:r>
          </w:p>
        </w:tc>
        <w:tc>
          <w:tcPr>
            <w:tcW w:w="4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5</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0</w:t>
            </w:r>
            <w:r>
              <w:rPr>
                <w:rFonts w:cs="Arial"/>
                <w:color w:val="000000"/>
                <w:sz w:val="20"/>
                <w:szCs w:val="20"/>
                <w:lang w:eastAsia="en-GB"/>
              </w:rPr>
              <w:t xml:space="preserve"> </w:t>
            </w:r>
            <w:r w:rsidRPr="002C0184">
              <w:rPr>
                <w:rFonts w:cs="Arial"/>
                <w:color w:val="000000"/>
                <w:sz w:val="20"/>
                <w:szCs w:val="20"/>
                <w:lang w:eastAsia="en-GB"/>
              </w:rPr>
              <w:t>(0)</w:t>
            </w:r>
          </w:p>
        </w:tc>
        <w:tc>
          <w:tcPr>
            <w:tcW w:w="648" w:type="pct"/>
            <w:tcBorders>
              <w:left w:val="none" w:sz="0" w:space="0" w:color="auto"/>
              <w:right w:val="none" w:sz="0" w:space="0" w:color="auto"/>
            </w:tcBorders>
            <w:noWrap/>
            <w:hideMark/>
          </w:tcPr>
          <w:p w:rsidR="00742772" w:rsidRPr="002C0184" w:rsidRDefault="00742772" w:rsidP="00425868">
            <w:pPr>
              <w:tabs>
                <w:tab w:val="decimal" w:pos="1097"/>
                <w:tab w:val="decimal" w:pos="1133"/>
              </w:tabs>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NA</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127.0</w:t>
            </w:r>
          </w:p>
        </w:tc>
        <w:tc>
          <w:tcPr>
            <w:tcW w:w="7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127.0</w:t>
            </w:r>
          </w:p>
        </w:tc>
        <w:tc>
          <w:tcPr>
            <w:tcW w:w="621" w:type="pct"/>
            <w:tcBorders>
              <w:lef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178.0</w:t>
            </w:r>
          </w:p>
        </w:tc>
      </w:tr>
      <w:tr w:rsidR="00742772" w:rsidRPr="002C0184" w:rsidTr="00425868">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837" w:type="pct"/>
            <w:tcBorders>
              <w:right w:val="none" w:sz="0" w:space="0" w:color="auto"/>
            </w:tcBorders>
            <w:hideMark/>
          </w:tcPr>
          <w:p w:rsidR="00742772" w:rsidRPr="002C0184" w:rsidRDefault="00742772" w:rsidP="00425868">
            <w:pPr>
              <w:rPr>
                <w:rFonts w:cs="Arial"/>
                <w:color w:val="000000"/>
                <w:sz w:val="20"/>
                <w:szCs w:val="20"/>
                <w:lang w:eastAsia="en-GB"/>
              </w:rPr>
            </w:pPr>
            <w:r w:rsidRPr="002C0184">
              <w:rPr>
                <w:rFonts w:cs="Arial"/>
                <w:color w:val="000000"/>
                <w:sz w:val="20"/>
                <w:szCs w:val="20"/>
                <w:lang w:eastAsia="en-GB"/>
              </w:rPr>
              <w:t>Linseed oil</w:t>
            </w:r>
          </w:p>
        </w:tc>
        <w:tc>
          <w:tcPr>
            <w:tcW w:w="398" w:type="pct"/>
            <w:tcBorders>
              <w:left w:val="none" w:sz="0" w:space="0" w:color="auto"/>
              <w:right w:val="none" w:sz="0" w:space="0" w:color="auto"/>
            </w:tcBorders>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lang w:eastAsia="en-GB"/>
              </w:rPr>
            </w:pPr>
            <w:r w:rsidRPr="002C0184">
              <w:rPr>
                <w:rFonts w:cs="Arial"/>
                <w:sz w:val="20"/>
                <w:szCs w:val="20"/>
                <w:lang w:eastAsia="en-GB"/>
              </w:rPr>
              <w:t>1</w:t>
            </w:r>
          </w:p>
        </w:tc>
        <w:tc>
          <w:tcPr>
            <w:tcW w:w="4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lang w:eastAsia="en-GB"/>
              </w:rPr>
            </w:pPr>
            <w:r w:rsidRPr="002C0184">
              <w:rPr>
                <w:rFonts w:cs="Arial"/>
                <w:sz w:val="20"/>
                <w:szCs w:val="20"/>
                <w:lang w:eastAsia="en-GB"/>
              </w:rPr>
              <w:t>3</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lang w:eastAsia="en-GB"/>
              </w:rPr>
            </w:pPr>
            <w:r w:rsidRPr="002C0184">
              <w:rPr>
                <w:rFonts w:cs="Arial"/>
                <w:sz w:val="20"/>
                <w:szCs w:val="20"/>
                <w:lang w:eastAsia="en-GB"/>
              </w:rPr>
              <w:t>3</w:t>
            </w:r>
            <w:r>
              <w:rPr>
                <w:rFonts w:cs="Arial"/>
                <w:sz w:val="20"/>
                <w:szCs w:val="20"/>
                <w:lang w:eastAsia="en-GB"/>
              </w:rPr>
              <w:t xml:space="preserve"> </w:t>
            </w:r>
            <w:r w:rsidRPr="002C0184">
              <w:rPr>
                <w:rFonts w:cs="Arial"/>
                <w:sz w:val="20"/>
                <w:szCs w:val="20"/>
                <w:lang w:eastAsia="en-GB"/>
              </w:rPr>
              <w:t>(100)</w:t>
            </w:r>
          </w:p>
        </w:tc>
        <w:tc>
          <w:tcPr>
            <w:tcW w:w="648" w:type="pct"/>
            <w:tcBorders>
              <w:left w:val="none" w:sz="0" w:space="0" w:color="auto"/>
              <w:right w:val="none" w:sz="0" w:space="0" w:color="auto"/>
            </w:tcBorders>
            <w:noWrap/>
            <w:hideMark/>
          </w:tcPr>
          <w:p w:rsidR="00742772" w:rsidRPr="002C0184" w:rsidRDefault="00742772" w:rsidP="00425868">
            <w:pPr>
              <w:tabs>
                <w:tab w:val="decimal" w:pos="1097"/>
                <w:tab w:val="decimal" w:pos="1133"/>
              </w:tabs>
              <w:jc w:val="center"/>
              <w:cnfStyle w:val="000000010000" w:firstRow="0" w:lastRow="0" w:firstColumn="0" w:lastColumn="0" w:oddVBand="0" w:evenVBand="0" w:oddHBand="0" w:evenHBand="1" w:firstRowFirstColumn="0" w:firstRowLastColumn="0" w:lastRowFirstColumn="0" w:lastRowLastColumn="0"/>
              <w:rPr>
                <w:rFonts w:cs="Arial"/>
                <w:sz w:val="20"/>
                <w:szCs w:val="20"/>
                <w:lang w:eastAsia="en-GB"/>
              </w:rPr>
            </w:pPr>
            <w:r w:rsidRPr="002C0184">
              <w:rPr>
                <w:rFonts w:cs="Arial"/>
                <w:sz w:val="20"/>
                <w:szCs w:val="20"/>
                <w:lang w:eastAsia="en-GB"/>
              </w:rPr>
              <w:t>4</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lang w:eastAsia="en-GB"/>
              </w:rPr>
            </w:pPr>
            <w:r w:rsidRPr="002C0184">
              <w:rPr>
                <w:rFonts w:cs="Arial"/>
                <w:sz w:val="20"/>
                <w:szCs w:val="20"/>
                <w:lang w:eastAsia="en-GB"/>
              </w:rPr>
              <w:t>0</w:t>
            </w:r>
          </w:p>
        </w:tc>
        <w:tc>
          <w:tcPr>
            <w:tcW w:w="7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sz w:val="20"/>
                <w:szCs w:val="20"/>
                <w:lang w:eastAsia="en-GB"/>
              </w:rPr>
            </w:pPr>
            <w:r w:rsidRPr="002C0184">
              <w:rPr>
                <w:rFonts w:cs="Arial"/>
                <w:sz w:val="20"/>
                <w:szCs w:val="20"/>
                <w:lang w:eastAsia="en-GB"/>
              </w:rPr>
              <w:t>4.0</w:t>
            </w:r>
          </w:p>
        </w:tc>
        <w:tc>
          <w:tcPr>
            <w:tcW w:w="621" w:type="pct"/>
            <w:tcBorders>
              <w:lef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**4.0</w:t>
            </w:r>
          </w:p>
        </w:tc>
      </w:tr>
      <w:tr w:rsidR="00742772" w:rsidRPr="002C0184" w:rsidTr="004258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7" w:type="pct"/>
            <w:tcBorders>
              <w:right w:val="none" w:sz="0" w:space="0" w:color="auto"/>
            </w:tcBorders>
            <w:noWrap/>
            <w:hideMark/>
          </w:tcPr>
          <w:p w:rsidR="00742772" w:rsidRPr="002C0184" w:rsidRDefault="00742772" w:rsidP="00425868">
            <w:pPr>
              <w:rPr>
                <w:rFonts w:cs="Arial"/>
                <w:color w:val="000000"/>
                <w:sz w:val="20"/>
                <w:szCs w:val="20"/>
                <w:lang w:eastAsia="en-GB"/>
              </w:rPr>
            </w:pPr>
            <w:r w:rsidRPr="002C0184">
              <w:rPr>
                <w:rFonts w:cs="Arial"/>
                <w:color w:val="000000"/>
                <w:sz w:val="20"/>
                <w:szCs w:val="20"/>
                <w:lang w:eastAsia="en-GB"/>
              </w:rPr>
              <w:t>LSA mix</w:t>
            </w:r>
          </w:p>
        </w:tc>
        <w:tc>
          <w:tcPr>
            <w:tcW w:w="398" w:type="pct"/>
            <w:tcBorders>
              <w:left w:val="none" w:sz="0" w:space="0" w:color="auto"/>
              <w:right w:val="none" w:sz="0" w:space="0" w:color="auto"/>
            </w:tcBorders>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w:t>
            </w:r>
          </w:p>
        </w:tc>
        <w:tc>
          <w:tcPr>
            <w:tcW w:w="4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2</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0</w:t>
            </w:r>
            <w:r>
              <w:rPr>
                <w:rFonts w:cs="Arial"/>
                <w:color w:val="000000"/>
                <w:sz w:val="20"/>
                <w:szCs w:val="20"/>
                <w:lang w:eastAsia="en-GB"/>
              </w:rPr>
              <w:t xml:space="preserve"> </w:t>
            </w:r>
            <w:r w:rsidRPr="002C0184">
              <w:rPr>
                <w:rFonts w:cs="Arial"/>
                <w:color w:val="000000"/>
                <w:sz w:val="20"/>
                <w:szCs w:val="20"/>
                <w:lang w:eastAsia="en-GB"/>
              </w:rPr>
              <w:t>(0)</w:t>
            </w:r>
          </w:p>
        </w:tc>
        <w:tc>
          <w:tcPr>
            <w:tcW w:w="648" w:type="pct"/>
            <w:tcBorders>
              <w:left w:val="none" w:sz="0" w:space="0" w:color="auto"/>
              <w:right w:val="none" w:sz="0" w:space="0" w:color="auto"/>
            </w:tcBorders>
            <w:noWrap/>
            <w:hideMark/>
          </w:tcPr>
          <w:p w:rsidR="00742772" w:rsidRPr="002C0184" w:rsidRDefault="00742772" w:rsidP="00425868">
            <w:pPr>
              <w:tabs>
                <w:tab w:val="decimal" w:pos="1097"/>
                <w:tab w:val="decimal" w:pos="1133"/>
              </w:tabs>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NA</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57.5</w:t>
            </w:r>
          </w:p>
        </w:tc>
        <w:tc>
          <w:tcPr>
            <w:tcW w:w="7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57.5</w:t>
            </w:r>
          </w:p>
        </w:tc>
        <w:tc>
          <w:tcPr>
            <w:tcW w:w="621" w:type="pct"/>
            <w:tcBorders>
              <w:lef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60.0</w:t>
            </w:r>
          </w:p>
        </w:tc>
      </w:tr>
      <w:tr w:rsidR="00742772" w:rsidRPr="002C0184" w:rsidTr="00425868">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7" w:type="pct"/>
            <w:tcBorders>
              <w:right w:val="none" w:sz="0" w:space="0" w:color="auto"/>
            </w:tcBorders>
            <w:noWrap/>
            <w:hideMark/>
          </w:tcPr>
          <w:p w:rsidR="00742772" w:rsidRPr="002C0184" w:rsidRDefault="00742772" w:rsidP="00425868">
            <w:pPr>
              <w:rPr>
                <w:rFonts w:cs="Arial"/>
                <w:color w:val="000000"/>
                <w:sz w:val="20"/>
                <w:szCs w:val="20"/>
                <w:lang w:eastAsia="en-GB"/>
              </w:rPr>
            </w:pPr>
            <w:r w:rsidRPr="002C0184">
              <w:rPr>
                <w:rFonts w:cs="Arial"/>
                <w:color w:val="000000"/>
                <w:sz w:val="20"/>
                <w:szCs w:val="20"/>
                <w:lang w:eastAsia="en-GB"/>
              </w:rPr>
              <w:t>Marzipan</w:t>
            </w:r>
          </w:p>
        </w:tc>
        <w:tc>
          <w:tcPr>
            <w:tcW w:w="398" w:type="pct"/>
            <w:tcBorders>
              <w:left w:val="none" w:sz="0" w:space="0" w:color="auto"/>
              <w:right w:val="none" w:sz="0" w:space="0" w:color="auto"/>
            </w:tcBorders>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w:t>
            </w:r>
          </w:p>
        </w:tc>
        <w:tc>
          <w:tcPr>
            <w:tcW w:w="4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3</w:t>
            </w:r>
            <w:r>
              <w:rPr>
                <w:rFonts w:cs="Arial"/>
                <w:color w:val="000000"/>
                <w:sz w:val="20"/>
                <w:szCs w:val="20"/>
                <w:lang w:eastAsia="en-GB"/>
              </w:rPr>
              <w:t xml:space="preserve"> </w:t>
            </w:r>
            <w:r w:rsidRPr="002C0184">
              <w:rPr>
                <w:rFonts w:cs="Arial"/>
                <w:color w:val="000000"/>
                <w:sz w:val="20"/>
                <w:szCs w:val="20"/>
                <w:lang w:eastAsia="en-GB"/>
              </w:rPr>
              <w:t>(75)</w:t>
            </w:r>
          </w:p>
        </w:tc>
        <w:tc>
          <w:tcPr>
            <w:tcW w:w="648" w:type="pct"/>
            <w:tcBorders>
              <w:left w:val="none" w:sz="0" w:space="0" w:color="auto"/>
              <w:right w:val="none" w:sz="0" w:space="0" w:color="auto"/>
            </w:tcBorders>
            <w:noWrap/>
            <w:hideMark/>
          </w:tcPr>
          <w:p w:rsidR="00742772" w:rsidRPr="002C0184" w:rsidRDefault="00742772" w:rsidP="00425868">
            <w:pPr>
              <w:tabs>
                <w:tab w:val="decimal" w:pos="1097"/>
                <w:tab w:val="decimal" w:pos="1133"/>
              </w:tabs>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1.3</w:t>
            </w:r>
          </w:p>
        </w:tc>
        <w:tc>
          <w:tcPr>
            <w:tcW w:w="7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4.3</w:t>
            </w:r>
          </w:p>
        </w:tc>
        <w:tc>
          <w:tcPr>
            <w:tcW w:w="621" w:type="pct"/>
            <w:tcBorders>
              <w:lef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5.3</w:t>
            </w:r>
          </w:p>
        </w:tc>
      </w:tr>
      <w:tr w:rsidR="00742772" w:rsidRPr="002C0184" w:rsidTr="004258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7" w:type="pct"/>
            <w:tcBorders>
              <w:right w:val="none" w:sz="0" w:space="0" w:color="auto"/>
            </w:tcBorders>
            <w:noWrap/>
            <w:hideMark/>
          </w:tcPr>
          <w:p w:rsidR="00742772" w:rsidRPr="002C0184" w:rsidRDefault="00742772" w:rsidP="00425868">
            <w:pPr>
              <w:rPr>
                <w:rFonts w:cs="Arial"/>
                <w:color w:val="000000"/>
                <w:sz w:val="20"/>
                <w:szCs w:val="20"/>
                <w:lang w:eastAsia="en-GB"/>
              </w:rPr>
            </w:pPr>
            <w:r w:rsidRPr="002C0184">
              <w:rPr>
                <w:rFonts w:cs="Arial"/>
                <w:color w:val="000000"/>
                <w:sz w:val="20"/>
                <w:szCs w:val="20"/>
                <w:lang w:eastAsia="en-GB"/>
              </w:rPr>
              <w:t>Passionfruit*</w:t>
            </w:r>
          </w:p>
        </w:tc>
        <w:tc>
          <w:tcPr>
            <w:tcW w:w="398" w:type="pct"/>
            <w:tcBorders>
              <w:left w:val="none" w:sz="0" w:space="0" w:color="auto"/>
              <w:right w:val="none" w:sz="0" w:space="0" w:color="auto"/>
            </w:tcBorders>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w:t>
            </w:r>
          </w:p>
        </w:tc>
        <w:tc>
          <w:tcPr>
            <w:tcW w:w="4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5</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3</w:t>
            </w:r>
            <w:r>
              <w:rPr>
                <w:rFonts w:cs="Arial"/>
                <w:color w:val="000000"/>
                <w:sz w:val="20"/>
                <w:szCs w:val="20"/>
                <w:lang w:eastAsia="en-GB"/>
              </w:rPr>
              <w:t xml:space="preserve"> </w:t>
            </w:r>
            <w:r w:rsidRPr="002C0184">
              <w:rPr>
                <w:rFonts w:cs="Arial"/>
                <w:color w:val="000000"/>
                <w:sz w:val="20"/>
                <w:szCs w:val="20"/>
                <w:lang w:eastAsia="en-GB"/>
              </w:rPr>
              <w:t>(60)</w:t>
            </w:r>
          </w:p>
        </w:tc>
        <w:tc>
          <w:tcPr>
            <w:tcW w:w="648" w:type="pct"/>
            <w:tcBorders>
              <w:left w:val="none" w:sz="0" w:space="0" w:color="auto"/>
              <w:right w:val="none" w:sz="0" w:space="0" w:color="auto"/>
            </w:tcBorders>
            <w:noWrap/>
            <w:hideMark/>
          </w:tcPr>
          <w:p w:rsidR="00742772" w:rsidRPr="002C0184" w:rsidRDefault="00742772" w:rsidP="00425868">
            <w:pPr>
              <w:tabs>
                <w:tab w:val="decimal" w:pos="1097"/>
                <w:tab w:val="decimal" w:pos="1133"/>
              </w:tabs>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3 (4)</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2.3</w:t>
            </w:r>
          </w:p>
        </w:tc>
        <w:tc>
          <w:tcPr>
            <w:tcW w:w="7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4.5</w:t>
            </w:r>
          </w:p>
        </w:tc>
        <w:tc>
          <w:tcPr>
            <w:tcW w:w="621" w:type="pct"/>
            <w:tcBorders>
              <w:lef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6.6</w:t>
            </w:r>
          </w:p>
        </w:tc>
      </w:tr>
      <w:tr w:rsidR="00742772" w:rsidRPr="002C0184" w:rsidTr="00425868">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7" w:type="pct"/>
            <w:tcBorders>
              <w:right w:val="none" w:sz="0" w:space="0" w:color="auto"/>
            </w:tcBorders>
            <w:noWrap/>
            <w:hideMark/>
          </w:tcPr>
          <w:p w:rsidR="00742772" w:rsidRPr="002C0184" w:rsidRDefault="00742772" w:rsidP="00425868">
            <w:pPr>
              <w:rPr>
                <w:rFonts w:cs="Arial"/>
                <w:color w:val="000000"/>
                <w:sz w:val="20"/>
                <w:szCs w:val="20"/>
                <w:lang w:eastAsia="en-GB"/>
              </w:rPr>
            </w:pPr>
            <w:r w:rsidRPr="002C0184">
              <w:rPr>
                <w:rFonts w:cs="Arial"/>
                <w:color w:val="000000"/>
                <w:sz w:val="20"/>
                <w:szCs w:val="20"/>
                <w:lang w:eastAsia="en-GB"/>
              </w:rPr>
              <w:t>Prune juice</w:t>
            </w:r>
          </w:p>
        </w:tc>
        <w:tc>
          <w:tcPr>
            <w:tcW w:w="398" w:type="pct"/>
            <w:tcBorders>
              <w:left w:val="none" w:sz="0" w:space="0" w:color="auto"/>
              <w:right w:val="none" w:sz="0" w:space="0" w:color="auto"/>
            </w:tcBorders>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w:t>
            </w:r>
          </w:p>
        </w:tc>
        <w:tc>
          <w:tcPr>
            <w:tcW w:w="4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3</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3</w:t>
            </w:r>
            <w:r>
              <w:rPr>
                <w:rFonts w:cs="Arial"/>
                <w:color w:val="000000"/>
                <w:sz w:val="20"/>
                <w:szCs w:val="20"/>
                <w:lang w:eastAsia="en-GB"/>
              </w:rPr>
              <w:t xml:space="preserve"> </w:t>
            </w:r>
            <w:r w:rsidRPr="002C0184">
              <w:rPr>
                <w:rFonts w:cs="Arial"/>
                <w:color w:val="000000"/>
                <w:sz w:val="20"/>
                <w:szCs w:val="20"/>
                <w:lang w:eastAsia="en-GB"/>
              </w:rPr>
              <w:t>(100)</w:t>
            </w:r>
          </w:p>
        </w:tc>
        <w:tc>
          <w:tcPr>
            <w:tcW w:w="648" w:type="pct"/>
            <w:tcBorders>
              <w:left w:val="none" w:sz="0" w:space="0" w:color="auto"/>
              <w:right w:val="none" w:sz="0" w:space="0" w:color="auto"/>
            </w:tcBorders>
            <w:noWrap/>
            <w:hideMark/>
          </w:tcPr>
          <w:p w:rsidR="00742772" w:rsidRPr="002C0184" w:rsidRDefault="00742772" w:rsidP="00425868">
            <w:pPr>
              <w:tabs>
                <w:tab w:val="decimal" w:pos="1097"/>
                <w:tab w:val="decimal" w:pos="1133"/>
              </w:tabs>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0</w:t>
            </w:r>
          </w:p>
        </w:tc>
        <w:tc>
          <w:tcPr>
            <w:tcW w:w="7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4.0</w:t>
            </w:r>
          </w:p>
        </w:tc>
        <w:tc>
          <w:tcPr>
            <w:tcW w:w="621" w:type="pct"/>
            <w:tcBorders>
              <w:lef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**4.0</w:t>
            </w:r>
          </w:p>
        </w:tc>
      </w:tr>
      <w:tr w:rsidR="00742772" w:rsidRPr="002C0184" w:rsidTr="004258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7" w:type="pct"/>
            <w:tcBorders>
              <w:right w:val="none" w:sz="0" w:space="0" w:color="auto"/>
            </w:tcBorders>
            <w:noWrap/>
            <w:hideMark/>
          </w:tcPr>
          <w:p w:rsidR="00742772" w:rsidRPr="002C0184" w:rsidRDefault="00742772" w:rsidP="00425868">
            <w:pPr>
              <w:rPr>
                <w:rFonts w:cs="Arial"/>
                <w:color w:val="000000"/>
                <w:sz w:val="20"/>
                <w:szCs w:val="20"/>
                <w:lang w:eastAsia="en-GB"/>
              </w:rPr>
            </w:pPr>
            <w:r w:rsidRPr="002C0184">
              <w:rPr>
                <w:rFonts w:cs="Arial"/>
                <w:color w:val="000000"/>
                <w:sz w:val="20"/>
                <w:szCs w:val="20"/>
                <w:lang w:eastAsia="en-GB"/>
              </w:rPr>
              <w:t>Pumpkin seeds</w:t>
            </w:r>
          </w:p>
        </w:tc>
        <w:tc>
          <w:tcPr>
            <w:tcW w:w="398" w:type="pct"/>
            <w:tcBorders>
              <w:left w:val="none" w:sz="0" w:space="0" w:color="auto"/>
              <w:right w:val="none" w:sz="0" w:space="0" w:color="auto"/>
            </w:tcBorders>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w:t>
            </w:r>
          </w:p>
        </w:tc>
        <w:tc>
          <w:tcPr>
            <w:tcW w:w="4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w:t>
            </w:r>
            <w:r>
              <w:rPr>
                <w:rFonts w:cs="Arial"/>
                <w:color w:val="000000"/>
                <w:sz w:val="20"/>
                <w:szCs w:val="20"/>
                <w:lang w:eastAsia="en-GB"/>
              </w:rPr>
              <w:t xml:space="preserve"> </w:t>
            </w:r>
            <w:r w:rsidRPr="002C0184">
              <w:rPr>
                <w:rFonts w:cs="Arial"/>
                <w:color w:val="000000"/>
                <w:sz w:val="20"/>
                <w:szCs w:val="20"/>
                <w:lang w:eastAsia="en-GB"/>
              </w:rPr>
              <w:t>(100)</w:t>
            </w:r>
          </w:p>
        </w:tc>
        <w:tc>
          <w:tcPr>
            <w:tcW w:w="648" w:type="pct"/>
            <w:tcBorders>
              <w:left w:val="none" w:sz="0" w:space="0" w:color="auto"/>
              <w:right w:val="none" w:sz="0" w:space="0" w:color="auto"/>
            </w:tcBorders>
            <w:noWrap/>
            <w:hideMark/>
          </w:tcPr>
          <w:p w:rsidR="00742772" w:rsidRPr="002C0184" w:rsidRDefault="00742772" w:rsidP="00425868">
            <w:pPr>
              <w:tabs>
                <w:tab w:val="decimal" w:pos="1097"/>
                <w:tab w:val="decimal" w:pos="1133"/>
              </w:tabs>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0</w:t>
            </w:r>
          </w:p>
        </w:tc>
        <w:tc>
          <w:tcPr>
            <w:tcW w:w="7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4.0</w:t>
            </w:r>
          </w:p>
        </w:tc>
        <w:tc>
          <w:tcPr>
            <w:tcW w:w="621" w:type="pct"/>
            <w:tcBorders>
              <w:lef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**4.0</w:t>
            </w:r>
          </w:p>
        </w:tc>
      </w:tr>
      <w:tr w:rsidR="00742772" w:rsidRPr="002C0184" w:rsidTr="00425868">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7" w:type="pct"/>
            <w:tcBorders>
              <w:right w:val="none" w:sz="0" w:space="0" w:color="auto"/>
            </w:tcBorders>
            <w:noWrap/>
            <w:hideMark/>
          </w:tcPr>
          <w:p w:rsidR="00742772" w:rsidRPr="002C0184" w:rsidRDefault="00742772" w:rsidP="00425868">
            <w:pPr>
              <w:rPr>
                <w:rFonts w:cs="Arial"/>
                <w:color w:val="000000"/>
                <w:sz w:val="20"/>
                <w:szCs w:val="20"/>
                <w:lang w:eastAsia="en-GB"/>
              </w:rPr>
            </w:pPr>
            <w:r w:rsidRPr="002C0184">
              <w:rPr>
                <w:rFonts w:cs="Arial"/>
                <w:color w:val="000000"/>
                <w:sz w:val="20"/>
                <w:szCs w:val="20"/>
                <w:lang w:eastAsia="en-GB"/>
              </w:rPr>
              <w:t>Spinach*</w:t>
            </w:r>
          </w:p>
        </w:tc>
        <w:tc>
          <w:tcPr>
            <w:tcW w:w="398" w:type="pct"/>
            <w:tcBorders>
              <w:left w:val="none" w:sz="0" w:space="0" w:color="auto"/>
              <w:right w:val="none" w:sz="0" w:space="0" w:color="auto"/>
            </w:tcBorders>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w:t>
            </w:r>
          </w:p>
        </w:tc>
        <w:tc>
          <w:tcPr>
            <w:tcW w:w="4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2</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2</w:t>
            </w:r>
            <w:r>
              <w:rPr>
                <w:rFonts w:cs="Arial"/>
                <w:color w:val="000000"/>
                <w:sz w:val="20"/>
                <w:szCs w:val="20"/>
                <w:lang w:eastAsia="en-GB"/>
              </w:rPr>
              <w:t xml:space="preserve"> </w:t>
            </w:r>
            <w:r w:rsidRPr="002C0184">
              <w:rPr>
                <w:rFonts w:cs="Arial"/>
                <w:color w:val="000000"/>
                <w:sz w:val="20"/>
                <w:szCs w:val="20"/>
                <w:lang w:eastAsia="en-GB"/>
              </w:rPr>
              <w:t>(100)</w:t>
            </w:r>
          </w:p>
        </w:tc>
        <w:tc>
          <w:tcPr>
            <w:tcW w:w="648" w:type="pct"/>
            <w:tcBorders>
              <w:left w:val="none" w:sz="0" w:space="0" w:color="auto"/>
              <w:right w:val="none" w:sz="0" w:space="0" w:color="auto"/>
            </w:tcBorders>
            <w:noWrap/>
            <w:hideMark/>
          </w:tcPr>
          <w:p w:rsidR="00742772" w:rsidRPr="002C0184" w:rsidRDefault="00742772" w:rsidP="00425868">
            <w:pPr>
              <w:tabs>
                <w:tab w:val="decimal" w:pos="1097"/>
                <w:tab w:val="decimal" w:pos="1133"/>
              </w:tabs>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3 (4)</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0</w:t>
            </w:r>
          </w:p>
        </w:tc>
        <w:tc>
          <w:tcPr>
            <w:tcW w:w="7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3.5</w:t>
            </w:r>
          </w:p>
        </w:tc>
        <w:tc>
          <w:tcPr>
            <w:tcW w:w="621" w:type="pct"/>
            <w:tcBorders>
              <w:lef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**4.0</w:t>
            </w:r>
          </w:p>
        </w:tc>
      </w:tr>
      <w:tr w:rsidR="00742772" w:rsidRPr="002C0184" w:rsidTr="004258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7" w:type="pct"/>
            <w:tcBorders>
              <w:right w:val="none" w:sz="0" w:space="0" w:color="auto"/>
            </w:tcBorders>
            <w:noWrap/>
            <w:hideMark/>
          </w:tcPr>
          <w:p w:rsidR="00742772" w:rsidRPr="002C0184" w:rsidRDefault="00742772" w:rsidP="00425868">
            <w:pPr>
              <w:rPr>
                <w:rFonts w:cs="Arial"/>
                <w:color w:val="000000"/>
                <w:sz w:val="20"/>
                <w:szCs w:val="20"/>
                <w:lang w:eastAsia="en-GB"/>
              </w:rPr>
            </w:pPr>
            <w:r w:rsidRPr="002C0184">
              <w:rPr>
                <w:rFonts w:cs="Arial"/>
                <w:color w:val="000000"/>
                <w:sz w:val="20"/>
                <w:szCs w:val="20"/>
                <w:lang w:eastAsia="en-GB"/>
              </w:rPr>
              <w:t>Sunflower seeds</w:t>
            </w:r>
          </w:p>
        </w:tc>
        <w:tc>
          <w:tcPr>
            <w:tcW w:w="398" w:type="pct"/>
            <w:tcBorders>
              <w:left w:val="none" w:sz="0" w:space="0" w:color="auto"/>
              <w:right w:val="none" w:sz="0" w:space="0" w:color="auto"/>
            </w:tcBorders>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w:t>
            </w:r>
          </w:p>
        </w:tc>
        <w:tc>
          <w:tcPr>
            <w:tcW w:w="4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2</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2</w:t>
            </w:r>
            <w:r>
              <w:rPr>
                <w:rFonts w:cs="Arial"/>
                <w:color w:val="000000"/>
                <w:sz w:val="20"/>
                <w:szCs w:val="20"/>
                <w:lang w:eastAsia="en-GB"/>
              </w:rPr>
              <w:t xml:space="preserve"> </w:t>
            </w:r>
            <w:r w:rsidRPr="002C0184">
              <w:rPr>
                <w:rFonts w:cs="Arial"/>
                <w:color w:val="000000"/>
                <w:sz w:val="20"/>
                <w:szCs w:val="20"/>
                <w:lang w:eastAsia="en-GB"/>
              </w:rPr>
              <w:t>(100)</w:t>
            </w:r>
          </w:p>
        </w:tc>
        <w:tc>
          <w:tcPr>
            <w:tcW w:w="648" w:type="pct"/>
            <w:tcBorders>
              <w:left w:val="none" w:sz="0" w:space="0" w:color="auto"/>
              <w:right w:val="none" w:sz="0" w:space="0" w:color="auto"/>
            </w:tcBorders>
            <w:noWrap/>
            <w:hideMark/>
          </w:tcPr>
          <w:p w:rsidR="00742772" w:rsidRPr="002C0184" w:rsidRDefault="00742772" w:rsidP="00425868">
            <w:pPr>
              <w:tabs>
                <w:tab w:val="decimal" w:pos="1097"/>
                <w:tab w:val="decimal" w:pos="1133"/>
              </w:tabs>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0</w:t>
            </w:r>
          </w:p>
        </w:tc>
        <w:tc>
          <w:tcPr>
            <w:tcW w:w="7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4.0</w:t>
            </w:r>
          </w:p>
        </w:tc>
        <w:tc>
          <w:tcPr>
            <w:tcW w:w="621" w:type="pct"/>
            <w:tcBorders>
              <w:lef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**4.0</w:t>
            </w:r>
          </w:p>
        </w:tc>
      </w:tr>
      <w:tr w:rsidR="00742772" w:rsidRPr="002C0184" w:rsidTr="00425868">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7" w:type="pct"/>
            <w:tcBorders>
              <w:right w:val="none" w:sz="0" w:space="0" w:color="auto"/>
            </w:tcBorders>
            <w:hideMark/>
          </w:tcPr>
          <w:p w:rsidR="00742772" w:rsidRPr="002C0184" w:rsidRDefault="00742772" w:rsidP="00425868">
            <w:pPr>
              <w:rPr>
                <w:rFonts w:cs="Arial"/>
                <w:color w:val="000000"/>
                <w:sz w:val="20"/>
                <w:szCs w:val="20"/>
                <w:lang w:eastAsia="en-GB"/>
              </w:rPr>
            </w:pPr>
            <w:r w:rsidRPr="002C0184">
              <w:rPr>
                <w:rFonts w:cs="Arial"/>
                <w:color w:val="000000"/>
                <w:sz w:val="20"/>
                <w:szCs w:val="20"/>
                <w:lang w:eastAsia="en-GB"/>
              </w:rPr>
              <w:t>Taro</w:t>
            </w:r>
            <w:r>
              <w:rPr>
                <w:rFonts w:cs="Arial"/>
                <w:color w:val="000000"/>
                <w:sz w:val="20"/>
                <w:szCs w:val="20"/>
                <w:lang w:eastAsia="en-GB"/>
              </w:rPr>
              <w:t>,</w:t>
            </w:r>
            <w:r w:rsidRPr="002C0184">
              <w:rPr>
                <w:rFonts w:cs="Arial"/>
                <w:color w:val="000000"/>
                <w:sz w:val="20"/>
                <w:szCs w:val="20"/>
                <w:lang w:eastAsia="en-GB"/>
              </w:rPr>
              <w:t xml:space="preserve"> in mixed foods</w:t>
            </w:r>
          </w:p>
        </w:tc>
        <w:tc>
          <w:tcPr>
            <w:tcW w:w="398" w:type="pct"/>
            <w:tcBorders>
              <w:left w:val="none" w:sz="0" w:space="0" w:color="auto"/>
              <w:right w:val="none" w:sz="0" w:space="0" w:color="auto"/>
            </w:tcBorders>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w:t>
            </w:r>
          </w:p>
        </w:tc>
        <w:tc>
          <w:tcPr>
            <w:tcW w:w="4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w:t>
            </w:r>
            <w:r>
              <w:rPr>
                <w:rFonts w:cs="Arial"/>
                <w:color w:val="000000"/>
                <w:sz w:val="20"/>
                <w:szCs w:val="20"/>
                <w:lang w:eastAsia="en-GB"/>
              </w:rPr>
              <w:t xml:space="preserve"> </w:t>
            </w:r>
            <w:r w:rsidRPr="002C0184">
              <w:rPr>
                <w:rFonts w:cs="Arial"/>
                <w:color w:val="000000"/>
                <w:sz w:val="20"/>
                <w:szCs w:val="20"/>
                <w:lang w:eastAsia="en-GB"/>
              </w:rPr>
              <w:t>(100)</w:t>
            </w:r>
          </w:p>
        </w:tc>
        <w:tc>
          <w:tcPr>
            <w:tcW w:w="648" w:type="pct"/>
            <w:tcBorders>
              <w:left w:val="none" w:sz="0" w:space="0" w:color="auto"/>
              <w:right w:val="none" w:sz="0" w:space="0" w:color="auto"/>
            </w:tcBorders>
            <w:noWrap/>
            <w:hideMark/>
          </w:tcPr>
          <w:p w:rsidR="00742772" w:rsidRPr="002C0184" w:rsidRDefault="00742772" w:rsidP="00425868">
            <w:pPr>
              <w:tabs>
                <w:tab w:val="decimal" w:pos="1097"/>
                <w:tab w:val="decimal" w:pos="1133"/>
              </w:tabs>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0</w:t>
            </w:r>
          </w:p>
        </w:tc>
        <w:tc>
          <w:tcPr>
            <w:tcW w:w="749" w:type="pct"/>
            <w:tcBorders>
              <w:left w:val="none" w:sz="0" w:space="0" w:color="auto"/>
              <w:righ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4.0</w:t>
            </w:r>
          </w:p>
        </w:tc>
        <w:tc>
          <w:tcPr>
            <w:tcW w:w="621" w:type="pct"/>
            <w:tcBorders>
              <w:left w:val="none" w:sz="0" w:space="0" w:color="auto"/>
            </w:tcBorders>
            <w:noWrap/>
            <w:hideMark/>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**4.0</w:t>
            </w:r>
          </w:p>
        </w:tc>
      </w:tr>
      <w:tr w:rsidR="00742772" w:rsidRPr="002C0184" w:rsidTr="004258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7" w:type="pct"/>
            <w:tcBorders>
              <w:right w:val="none" w:sz="0" w:space="0" w:color="auto"/>
            </w:tcBorders>
            <w:noWrap/>
            <w:hideMark/>
          </w:tcPr>
          <w:p w:rsidR="00742772" w:rsidRPr="002C0184" w:rsidRDefault="00742772" w:rsidP="00425868">
            <w:pPr>
              <w:rPr>
                <w:rFonts w:cs="Arial"/>
                <w:color w:val="000000"/>
                <w:sz w:val="20"/>
                <w:szCs w:val="20"/>
                <w:lang w:eastAsia="en-GB"/>
              </w:rPr>
            </w:pPr>
            <w:r w:rsidRPr="002C0184">
              <w:rPr>
                <w:rFonts w:cs="Arial"/>
                <w:color w:val="000000"/>
                <w:sz w:val="20"/>
                <w:szCs w:val="20"/>
                <w:lang w:eastAsia="en-GB"/>
              </w:rPr>
              <w:t>Taro</w:t>
            </w:r>
            <w:r>
              <w:rPr>
                <w:rFonts w:cs="Arial"/>
                <w:color w:val="000000"/>
                <w:sz w:val="20"/>
                <w:szCs w:val="20"/>
                <w:lang w:eastAsia="en-GB"/>
              </w:rPr>
              <w:t>,</w:t>
            </w:r>
            <w:r w:rsidRPr="002C0184">
              <w:rPr>
                <w:rFonts w:cs="Arial"/>
                <w:color w:val="000000"/>
                <w:sz w:val="20"/>
                <w:szCs w:val="20"/>
                <w:lang w:eastAsia="en-GB"/>
              </w:rPr>
              <w:t xml:space="preserve"> leaves only</w:t>
            </w:r>
          </w:p>
        </w:tc>
        <w:tc>
          <w:tcPr>
            <w:tcW w:w="398" w:type="pct"/>
            <w:tcBorders>
              <w:left w:val="none" w:sz="0" w:space="0" w:color="auto"/>
              <w:right w:val="none" w:sz="0" w:space="0" w:color="auto"/>
            </w:tcBorders>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w:t>
            </w:r>
          </w:p>
        </w:tc>
        <w:tc>
          <w:tcPr>
            <w:tcW w:w="4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w:t>
            </w:r>
            <w:r>
              <w:rPr>
                <w:rFonts w:cs="Arial"/>
                <w:color w:val="000000"/>
                <w:sz w:val="20"/>
                <w:szCs w:val="20"/>
                <w:lang w:eastAsia="en-GB"/>
              </w:rPr>
              <w:t xml:space="preserve"> </w:t>
            </w:r>
            <w:r w:rsidRPr="002C0184">
              <w:rPr>
                <w:rFonts w:cs="Arial"/>
                <w:color w:val="000000"/>
                <w:sz w:val="20"/>
                <w:szCs w:val="20"/>
                <w:lang w:eastAsia="en-GB"/>
              </w:rPr>
              <w:t>(100)</w:t>
            </w:r>
          </w:p>
        </w:tc>
        <w:tc>
          <w:tcPr>
            <w:tcW w:w="648" w:type="pct"/>
            <w:tcBorders>
              <w:left w:val="none" w:sz="0" w:space="0" w:color="auto"/>
              <w:right w:val="none" w:sz="0" w:space="0" w:color="auto"/>
            </w:tcBorders>
            <w:noWrap/>
            <w:hideMark/>
          </w:tcPr>
          <w:p w:rsidR="00742772" w:rsidRPr="002C0184" w:rsidRDefault="00742772" w:rsidP="00425868">
            <w:pPr>
              <w:tabs>
                <w:tab w:val="decimal" w:pos="1097"/>
                <w:tab w:val="decimal" w:pos="1133"/>
              </w:tabs>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w:t>
            </w:r>
          </w:p>
        </w:tc>
        <w:tc>
          <w:tcPr>
            <w:tcW w:w="6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0</w:t>
            </w:r>
          </w:p>
        </w:tc>
        <w:tc>
          <w:tcPr>
            <w:tcW w:w="749" w:type="pct"/>
            <w:tcBorders>
              <w:left w:val="none" w:sz="0" w:space="0" w:color="auto"/>
              <w:righ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4.0</w:t>
            </w:r>
          </w:p>
        </w:tc>
        <w:tc>
          <w:tcPr>
            <w:tcW w:w="621" w:type="pct"/>
            <w:tcBorders>
              <w:left w:val="none" w:sz="0" w:space="0" w:color="auto"/>
            </w:tcBorders>
            <w:noWrap/>
            <w:hideMark/>
          </w:tcPr>
          <w:p w:rsidR="00742772" w:rsidRPr="002C0184" w:rsidRDefault="00742772"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**4.0</w:t>
            </w:r>
          </w:p>
        </w:tc>
      </w:tr>
      <w:tr w:rsidR="00742772" w:rsidRPr="002C0184" w:rsidTr="00425868">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7" w:type="pct"/>
            <w:tcBorders>
              <w:right w:val="none" w:sz="0" w:space="0" w:color="auto"/>
            </w:tcBorders>
            <w:noWrap/>
          </w:tcPr>
          <w:p w:rsidR="00742772" w:rsidRPr="002C0184" w:rsidRDefault="00742772" w:rsidP="00425868">
            <w:pPr>
              <w:rPr>
                <w:rFonts w:cs="Arial"/>
                <w:color w:val="000000"/>
                <w:sz w:val="20"/>
                <w:szCs w:val="20"/>
                <w:lang w:eastAsia="en-GB"/>
              </w:rPr>
            </w:pPr>
            <w:r w:rsidRPr="002C0184">
              <w:rPr>
                <w:rFonts w:cs="Arial"/>
                <w:color w:val="000000"/>
                <w:sz w:val="20"/>
                <w:szCs w:val="20"/>
                <w:lang w:eastAsia="en-GB"/>
              </w:rPr>
              <w:t>Vine leaves, stuffed, canned</w:t>
            </w:r>
          </w:p>
        </w:tc>
        <w:tc>
          <w:tcPr>
            <w:tcW w:w="398" w:type="pct"/>
            <w:tcBorders>
              <w:left w:val="none" w:sz="0" w:space="0" w:color="auto"/>
              <w:right w:val="none" w:sz="0" w:space="0" w:color="auto"/>
            </w:tcBorders>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w:t>
            </w:r>
          </w:p>
        </w:tc>
        <w:tc>
          <w:tcPr>
            <w:tcW w:w="449" w:type="pct"/>
            <w:tcBorders>
              <w:left w:val="none" w:sz="0" w:space="0" w:color="auto"/>
              <w:right w:val="none" w:sz="0" w:space="0" w:color="auto"/>
            </w:tcBorders>
            <w:noWrap/>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w:t>
            </w:r>
          </w:p>
        </w:tc>
        <w:tc>
          <w:tcPr>
            <w:tcW w:w="649" w:type="pct"/>
            <w:tcBorders>
              <w:left w:val="none" w:sz="0" w:space="0" w:color="auto"/>
              <w:right w:val="none" w:sz="0" w:space="0" w:color="auto"/>
            </w:tcBorders>
            <w:noWrap/>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1</w:t>
            </w:r>
            <w:r>
              <w:rPr>
                <w:rFonts w:cs="Arial"/>
                <w:color w:val="000000"/>
                <w:sz w:val="20"/>
                <w:szCs w:val="20"/>
                <w:lang w:eastAsia="en-GB"/>
              </w:rPr>
              <w:t xml:space="preserve"> </w:t>
            </w:r>
            <w:r w:rsidRPr="002C0184">
              <w:rPr>
                <w:rFonts w:cs="Arial"/>
                <w:color w:val="000000"/>
                <w:sz w:val="20"/>
                <w:szCs w:val="20"/>
                <w:lang w:eastAsia="en-GB"/>
              </w:rPr>
              <w:t>(100)</w:t>
            </w:r>
          </w:p>
        </w:tc>
        <w:tc>
          <w:tcPr>
            <w:tcW w:w="648" w:type="pct"/>
            <w:tcBorders>
              <w:left w:val="none" w:sz="0" w:space="0" w:color="auto"/>
              <w:right w:val="none" w:sz="0" w:space="0" w:color="auto"/>
            </w:tcBorders>
            <w:noWrap/>
          </w:tcPr>
          <w:p w:rsidR="00742772" w:rsidRPr="002C0184" w:rsidRDefault="00742772" w:rsidP="00425868">
            <w:pPr>
              <w:tabs>
                <w:tab w:val="decimal" w:pos="1097"/>
                <w:tab w:val="decimal" w:pos="1133"/>
              </w:tabs>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w:t>
            </w:r>
          </w:p>
        </w:tc>
        <w:tc>
          <w:tcPr>
            <w:tcW w:w="649" w:type="pct"/>
            <w:tcBorders>
              <w:left w:val="none" w:sz="0" w:space="0" w:color="auto"/>
              <w:right w:val="none" w:sz="0" w:space="0" w:color="auto"/>
            </w:tcBorders>
            <w:noWrap/>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0</w:t>
            </w:r>
          </w:p>
        </w:tc>
        <w:tc>
          <w:tcPr>
            <w:tcW w:w="749" w:type="pct"/>
            <w:tcBorders>
              <w:left w:val="none" w:sz="0" w:space="0" w:color="auto"/>
              <w:right w:val="none" w:sz="0" w:space="0" w:color="auto"/>
            </w:tcBorders>
            <w:noWrap/>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4.0</w:t>
            </w:r>
          </w:p>
        </w:tc>
        <w:tc>
          <w:tcPr>
            <w:tcW w:w="621" w:type="pct"/>
            <w:tcBorders>
              <w:left w:val="none" w:sz="0" w:space="0" w:color="auto"/>
            </w:tcBorders>
            <w:noWrap/>
          </w:tcPr>
          <w:p w:rsidR="00742772" w:rsidRPr="002C0184" w:rsidRDefault="00742772"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2C0184">
              <w:rPr>
                <w:rFonts w:cs="Arial"/>
                <w:color w:val="000000"/>
                <w:sz w:val="20"/>
                <w:szCs w:val="20"/>
                <w:lang w:eastAsia="en-GB"/>
              </w:rPr>
              <w:t>**4.0</w:t>
            </w:r>
          </w:p>
        </w:tc>
      </w:tr>
    </w:tbl>
    <w:p w:rsidR="00742772" w:rsidRPr="000F2AB5" w:rsidRDefault="00742772" w:rsidP="00742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142"/>
        <w:rPr>
          <w:rFonts w:cs="Arial"/>
          <w:color w:val="000000"/>
          <w:sz w:val="18"/>
          <w:szCs w:val="20"/>
          <w:lang w:eastAsia="en-GB"/>
        </w:rPr>
      </w:pPr>
      <w:r w:rsidRPr="000F2AB5">
        <w:rPr>
          <w:rFonts w:cs="Arial"/>
          <w:color w:val="000000"/>
          <w:sz w:val="18"/>
          <w:szCs w:val="20"/>
          <w:lang w:eastAsia="en-GB"/>
        </w:rPr>
        <w:t>* Indicates a food consisting of samples with different limits of detection. Number in brackets indicates the higher limit of detection.</w:t>
      </w:r>
    </w:p>
    <w:p w:rsidR="00742772" w:rsidRPr="000F2AB5" w:rsidRDefault="00742772" w:rsidP="00742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142"/>
        <w:rPr>
          <w:rFonts w:cs="Arial"/>
          <w:color w:val="000000"/>
          <w:sz w:val="18"/>
          <w:szCs w:val="20"/>
          <w:lang w:eastAsia="en-GB"/>
        </w:rPr>
      </w:pPr>
      <w:r w:rsidRPr="000F2AB5">
        <w:rPr>
          <w:rFonts w:cs="Arial"/>
          <w:color w:val="000000"/>
          <w:sz w:val="18"/>
          <w:szCs w:val="20"/>
          <w:lang w:eastAsia="en-GB"/>
        </w:rPr>
        <w:t xml:space="preserve">** At the </w:t>
      </w:r>
      <w:r>
        <w:rPr>
          <w:rFonts w:cs="Arial"/>
          <w:color w:val="000000"/>
          <w:sz w:val="18"/>
          <w:szCs w:val="20"/>
          <w:lang w:eastAsia="en-GB"/>
        </w:rPr>
        <w:t>LoD.</w:t>
      </w:r>
    </w:p>
    <w:p w:rsidR="00742772" w:rsidRPr="000F2AB5" w:rsidRDefault="00742772" w:rsidP="00742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142"/>
        <w:rPr>
          <w:rFonts w:cs="Arial"/>
          <w:color w:val="000000"/>
          <w:sz w:val="18"/>
          <w:szCs w:val="20"/>
          <w:lang w:eastAsia="en-GB"/>
        </w:rPr>
      </w:pPr>
      <w:r w:rsidRPr="000F2AB5">
        <w:rPr>
          <w:rFonts w:cs="Arial"/>
          <w:color w:val="000000"/>
          <w:sz w:val="18"/>
          <w:szCs w:val="20"/>
          <w:vertAlign w:val="superscript"/>
          <w:lang w:eastAsia="en-GB"/>
        </w:rPr>
        <w:t>#</w:t>
      </w:r>
      <w:r w:rsidRPr="000F2AB5">
        <w:rPr>
          <w:rFonts w:cs="Arial"/>
          <w:color w:val="000000"/>
          <w:sz w:val="18"/>
          <w:szCs w:val="20"/>
          <w:lang w:eastAsia="en-GB"/>
        </w:rPr>
        <w:t xml:space="preserve"> Mean concentrations used in the chronic dietary exposure assessment.</w:t>
      </w:r>
    </w:p>
    <w:p w:rsidR="00742772" w:rsidRPr="000F2AB5" w:rsidRDefault="00742772" w:rsidP="00742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142"/>
        <w:rPr>
          <w:rFonts w:cs="Arial"/>
          <w:color w:val="000000"/>
          <w:sz w:val="18"/>
          <w:szCs w:val="20"/>
          <w:lang w:eastAsia="en-GB"/>
        </w:rPr>
      </w:pPr>
      <w:r w:rsidRPr="000F2AB5">
        <w:rPr>
          <w:rFonts w:cs="Arial"/>
          <w:color w:val="000000"/>
          <w:sz w:val="18"/>
          <w:szCs w:val="20"/>
          <w:vertAlign w:val="superscript"/>
          <w:lang w:eastAsia="en-GB"/>
        </w:rPr>
        <w:t>##</w:t>
      </w:r>
      <w:r w:rsidRPr="000F2AB5">
        <w:rPr>
          <w:rFonts w:cs="Arial"/>
          <w:color w:val="000000"/>
          <w:sz w:val="18"/>
          <w:szCs w:val="20"/>
          <w:lang w:eastAsia="en-GB"/>
        </w:rPr>
        <w:t xml:space="preserve"> Maximum concentrations used in the acute dietary exposure assessment.</w:t>
      </w:r>
    </w:p>
    <w:p w:rsidR="00742772" w:rsidRDefault="00742772" w:rsidP="00742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142"/>
        <w:rPr>
          <w:rFonts w:cs="Arial"/>
          <w:color w:val="000000"/>
          <w:sz w:val="18"/>
          <w:szCs w:val="20"/>
          <w:lang w:eastAsia="en-GB"/>
        </w:rPr>
      </w:pPr>
      <w:r w:rsidRPr="00EF7E42">
        <w:rPr>
          <w:rFonts w:cs="Arial"/>
          <w:color w:val="000000"/>
          <w:sz w:val="18"/>
          <w:szCs w:val="20"/>
          <w:vertAlign w:val="superscript"/>
          <w:lang w:eastAsia="en-GB"/>
        </w:rPr>
        <w:t>~</w:t>
      </w:r>
      <w:r>
        <w:rPr>
          <w:rFonts w:cs="Arial"/>
          <w:color w:val="000000"/>
          <w:sz w:val="18"/>
          <w:szCs w:val="20"/>
          <w:lang w:eastAsia="en-GB"/>
        </w:rPr>
        <w:t xml:space="preserve"> One composite analysis.</w:t>
      </w:r>
    </w:p>
    <w:p w:rsidR="00DF58B5" w:rsidRPr="00DF58B5" w:rsidRDefault="00DF58B5" w:rsidP="00742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142"/>
        <w:rPr>
          <w:rFonts w:cs="Arial"/>
          <w:color w:val="000000"/>
          <w:sz w:val="18"/>
          <w:szCs w:val="20"/>
          <w:lang w:eastAsia="en-GB"/>
        </w:rPr>
      </w:pPr>
      <w:r w:rsidRPr="00B064C8">
        <w:rPr>
          <w:rFonts w:cs="Arial"/>
          <w:color w:val="000000"/>
          <w:sz w:val="18"/>
          <w:szCs w:val="20"/>
          <w:lang w:eastAsia="en-GB"/>
        </w:rPr>
        <w:t>^ Sample that did not comply with the current ML permitted in stone fruit juices was excluded from the acute dietary exposure assessment.</w:t>
      </w:r>
    </w:p>
    <w:p w:rsidR="00BC07CA" w:rsidRPr="00BC07CA" w:rsidRDefault="00742772" w:rsidP="00742772">
      <w:pPr>
        <w:pStyle w:val="ListParagraph"/>
        <w:ind w:left="0"/>
        <w:rPr>
          <w:rFonts w:ascii="Arial" w:hAnsi="Arial" w:cs="Arial"/>
          <w:color w:val="000000"/>
          <w:sz w:val="18"/>
          <w:szCs w:val="20"/>
        </w:rPr>
      </w:pPr>
      <w:r w:rsidRPr="00BC07CA">
        <w:rPr>
          <w:rFonts w:ascii="Arial" w:hAnsi="Arial" w:cs="Arial"/>
          <w:color w:val="000000"/>
          <w:sz w:val="18"/>
          <w:szCs w:val="20"/>
        </w:rPr>
        <w:t>NA = not used for the assessment.</w:t>
      </w:r>
    </w:p>
    <w:p w:rsidR="00E11362" w:rsidRDefault="00E11362">
      <w:pPr>
        <w:spacing w:after="200" w:line="276" w:lineRule="auto"/>
        <w:rPr>
          <w:rFonts w:ascii="Calibri" w:eastAsiaTheme="minorHAnsi" w:hAnsi="Calibri" w:cs="Arial"/>
          <w:color w:val="000000"/>
          <w:sz w:val="18"/>
          <w:szCs w:val="20"/>
          <w:lang w:val="en-GB" w:eastAsia="en-GB"/>
        </w:rPr>
        <w:sectPr w:rsidR="00E11362" w:rsidSect="00FA18D9">
          <w:footerReference w:type="default" r:id="rId39"/>
          <w:pgSz w:w="16838" w:h="11906" w:orient="landscape"/>
          <w:pgMar w:top="1134" w:right="1134" w:bottom="1134" w:left="1134" w:header="680" w:footer="680" w:gutter="0"/>
          <w:cols w:space="708"/>
          <w:docGrid w:linePitch="360"/>
        </w:sectPr>
      </w:pPr>
    </w:p>
    <w:p w:rsidR="00E11362" w:rsidRDefault="00E11362" w:rsidP="00E11362">
      <w:pPr>
        <w:pStyle w:val="Heading1"/>
      </w:pPr>
      <w:bookmarkStart w:id="202" w:name="_Toc384293541"/>
      <w:r>
        <w:lastRenderedPageBreak/>
        <w:t>Appendix 5. Total hydrocyanic acid concentrations for specific foods for the dietary exposure assessment</w:t>
      </w:r>
      <w:bookmarkEnd w:id="202"/>
    </w:p>
    <w:p w:rsidR="00DE20F7" w:rsidRDefault="00DE20F7" w:rsidP="00DE20F7"/>
    <w:p w:rsidR="00E11362" w:rsidRPr="00DE20F7" w:rsidRDefault="00E11362" w:rsidP="00DE20F7">
      <w:pPr>
        <w:rPr>
          <w:i/>
        </w:rPr>
      </w:pPr>
      <w:r w:rsidRPr="00DE20F7">
        <w:rPr>
          <w:i/>
        </w:rPr>
        <w:t>Apple juice and Infant apple puree</w:t>
      </w:r>
    </w:p>
    <w:p w:rsidR="00E11362" w:rsidRDefault="00E11362" w:rsidP="00E11362">
      <w:pPr>
        <w:rPr>
          <w:rFonts w:cs="Arial"/>
          <w:szCs w:val="22"/>
        </w:rPr>
      </w:pPr>
      <w:r w:rsidRPr="000F40D6">
        <w:rPr>
          <w:rFonts w:cs="Arial"/>
          <w:szCs w:val="22"/>
        </w:rPr>
        <w:t xml:space="preserve">For </w:t>
      </w:r>
      <w:r>
        <w:rPr>
          <w:rFonts w:cs="Arial"/>
          <w:szCs w:val="22"/>
        </w:rPr>
        <w:t>a</w:t>
      </w:r>
      <w:r w:rsidRPr="000F40D6">
        <w:rPr>
          <w:rFonts w:cs="Arial"/>
          <w:szCs w:val="22"/>
        </w:rPr>
        <w:t xml:space="preserve">pple </w:t>
      </w:r>
      <w:r>
        <w:rPr>
          <w:rFonts w:cs="Arial"/>
          <w:szCs w:val="22"/>
        </w:rPr>
        <w:t>j</w:t>
      </w:r>
      <w:r w:rsidRPr="000F40D6">
        <w:rPr>
          <w:rFonts w:cs="Arial"/>
          <w:szCs w:val="22"/>
        </w:rPr>
        <w:t xml:space="preserve">uice and </w:t>
      </w:r>
      <w:r>
        <w:rPr>
          <w:rFonts w:cs="Arial"/>
          <w:szCs w:val="22"/>
        </w:rPr>
        <w:t>infant a</w:t>
      </w:r>
      <w:r w:rsidRPr="000F40D6">
        <w:rPr>
          <w:rFonts w:cs="Arial"/>
          <w:szCs w:val="22"/>
        </w:rPr>
        <w:t xml:space="preserve">pple </w:t>
      </w:r>
      <w:r>
        <w:rPr>
          <w:rFonts w:cs="Arial"/>
          <w:szCs w:val="22"/>
        </w:rPr>
        <w:t>p</w:t>
      </w:r>
      <w:r w:rsidRPr="000F40D6">
        <w:rPr>
          <w:rFonts w:cs="Arial"/>
          <w:szCs w:val="22"/>
        </w:rPr>
        <w:t>uree</w:t>
      </w:r>
      <w:r>
        <w:rPr>
          <w:rFonts w:cs="Arial"/>
          <w:szCs w:val="22"/>
        </w:rPr>
        <w:t>,</w:t>
      </w:r>
      <w:r w:rsidRPr="000F40D6">
        <w:rPr>
          <w:rFonts w:cs="Arial"/>
          <w:szCs w:val="22"/>
        </w:rPr>
        <w:t xml:space="preserve"> results using the EU</w:t>
      </w:r>
      <w:r>
        <w:rPr>
          <w:rFonts w:cs="Arial"/>
          <w:szCs w:val="22"/>
        </w:rPr>
        <w:t xml:space="preserve"> HPLC</w:t>
      </w:r>
      <w:r w:rsidRPr="000F40D6">
        <w:rPr>
          <w:rFonts w:cs="Arial"/>
          <w:szCs w:val="22"/>
        </w:rPr>
        <w:t xml:space="preserve"> method were used as inputs into the dietary exposure estimates</w:t>
      </w:r>
      <w:r>
        <w:rPr>
          <w:rFonts w:cs="Arial"/>
          <w:szCs w:val="22"/>
        </w:rPr>
        <w:t xml:space="preserve">. </w:t>
      </w:r>
    </w:p>
    <w:p w:rsidR="00E11362" w:rsidRDefault="00E11362" w:rsidP="00E11362">
      <w:pPr>
        <w:rPr>
          <w:rFonts w:cs="Arial"/>
          <w:szCs w:val="22"/>
        </w:rPr>
      </w:pPr>
    </w:p>
    <w:p w:rsidR="00E11362" w:rsidRDefault="00E11362" w:rsidP="00E11362">
      <w:pPr>
        <w:rPr>
          <w:rFonts w:cs="Arial"/>
          <w:szCs w:val="22"/>
        </w:rPr>
      </w:pPr>
      <w:r>
        <w:rPr>
          <w:rFonts w:cs="Arial"/>
          <w:szCs w:val="22"/>
        </w:rPr>
        <w:t>Three apple juice samples were analysed using this method (</w:t>
      </w:r>
      <w:r w:rsidRPr="00287530">
        <w:rPr>
          <w:rFonts w:cs="Arial"/>
          <w:i/>
          <w:szCs w:val="22"/>
        </w:rPr>
        <w:t>n</w:t>
      </w:r>
      <w:r>
        <w:rPr>
          <w:rFonts w:cs="Arial"/>
          <w:szCs w:val="22"/>
        </w:rPr>
        <w:t>=3) with two samples showing no detection (i.e. &lt;0.06 mg HCN/kg) and one detection at 0.17 mg HCN/kg. Means were calculated for the LB and UB and used as inputs for the chronic dietary exposure estimates and the maximum of 0.17 mg HCN/kg was used as the input for the acute dietary exposure estimates.</w:t>
      </w:r>
    </w:p>
    <w:p w:rsidR="00E11362" w:rsidRDefault="00E11362" w:rsidP="00E11362">
      <w:pPr>
        <w:rPr>
          <w:rFonts w:cs="Arial"/>
          <w:szCs w:val="22"/>
        </w:rPr>
      </w:pPr>
    </w:p>
    <w:p w:rsidR="00E11362" w:rsidRDefault="00E11362" w:rsidP="00E11362">
      <w:pPr>
        <w:rPr>
          <w:rFonts w:cs="Arial"/>
          <w:szCs w:val="22"/>
        </w:rPr>
      </w:pPr>
      <w:r>
        <w:rPr>
          <w:rFonts w:cs="Arial"/>
          <w:szCs w:val="22"/>
        </w:rPr>
        <w:t xml:space="preserve">For infant apple puree the following data was used: </w:t>
      </w:r>
      <w:r w:rsidRPr="00287530">
        <w:rPr>
          <w:rFonts w:cs="Arial"/>
          <w:i/>
          <w:szCs w:val="22"/>
        </w:rPr>
        <w:t>n</w:t>
      </w:r>
      <w:r>
        <w:rPr>
          <w:rFonts w:cs="Arial"/>
          <w:szCs w:val="22"/>
        </w:rPr>
        <w:t>=8; detections – 7; non-detections – 1 (&lt;0.1 mg/kg).</w:t>
      </w:r>
      <w:r w:rsidRPr="00D32B09">
        <w:t xml:space="preserve"> </w:t>
      </w:r>
      <w:r w:rsidRPr="00D32B09">
        <w:rPr>
          <w:rFonts w:cs="Arial"/>
          <w:szCs w:val="22"/>
        </w:rPr>
        <w:t xml:space="preserve">Means were calculated for the LB and UB and used as inputs for the chronic </w:t>
      </w:r>
      <w:r>
        <w:rPr>
          <w:rFonts w:cs="Arial"/>
          <w:szCs w:val="22"/>
        </w:rPr>
        <w:t xml:space="preserve">dietary </w:t>
      </w:r>
      <w:r w:rsidRPr="00D32B09">
        <w:rPr>
          <w:rFonts w:cs="Arial"/>
          <w:szCs w:val="22"/>
        </w:rPr>
        <w:t xml:space="preserve">exposure estimates and the maximum of </w:t>
      </w:r>
      <w:r>
        <w:rPr>
          <w:rFonts w:cs="Arial"/>
          <w:szCs w:val="22"/>
        </w:rPr>
        <w:t>1.3</w:t>
      </w:r>
      <w:r w:rsidRPr="00D32B09">
        <w:rPr>
          <w:rFonts w:cs="Arial"/>
          <w:szCs w:val="22"/>
        </w:rPr>
        <w:t xml:space="preserve"> </w:t>
      </w:r>
      <w:r>
        <w:rPr>
          <w:rFonts w:cs="Arial"/>
          <w:szCs w:val="22"/>
        </w:rPr>
        <w:t xml:space="preserve">mg HCN/kg </w:t>
      </w:r>
      <w:r w:rsidRPr="00D32B09">
        <w:rPr>
          <w:rFonts w:cs="Arial"/>
          <w:szCs w:val="22"/>
        </w:rPr>
        <w:t xml:space="preserve">was used as the input for the acute </w:t>
      </w:r>
      <w:r>
        <w:rPr>
          <w:rFonts w:cs="Arial"/>
          <w:szCs w:val="22"/>
        </w:rPr>
        <w:t xml:space="preserve">dietary exposure </w:t>
      </w:r>
      <w:r w:rsidRPr="00D32B09">
        <w:rPr>
          <w:rFonts w:cs="Arial"/>
          <w:szCs w:val="22"/>
        </w:rPr>
        <w:t>estimates.</w:t>
      </w:r>
    </w:p>
    <w:p w:rsidR="00DE20F7" w:rsidRDefault="00DE20F7" w:rsidP="00DE20F7"/>
    <w:p w:rsidR="00E11362" w:rsidRPr="00DE20F7" w:rsidRDefault="00E11362" w:rsidP="00DE20F7">
      <w:pPr>
        <w:rPr>
          <w:i/>
        </w:rPr>
      </w:pPr>
      <w:r w:rsidRPr="00DE20F7">
        <w:rPr>
          <w:i/>
        </w:rPr>
        <w:t>Apricot kernels</w:t>
      </w:r>
    </w:p>
    <w:p w:rsidR="00E11362" w:rsidRPr="000C75D3" w:rsidRDefault="00E11362" w:rsidP="00E11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Pr>
          <w:rFonts w:cs="Arial"/>
          <w:szCs w:val="22"/>
        </w:rPr>
        <w:t>Raw a</w:t>
      </w:r>
      <w:r w:rsidRPr="000C75D3">
        <w:rPr>
          <w:rFonts w:cs="Arial"/>
          <w:szCs w:val="22"/>
        </w:rPr>
        <w:t xml:space="preserve">pricot kernels were analysed in Survey 3. Only acute dietary exposure assessments were conducted for </w:t>
      </w:r>
      <w:r>
        <w:rPr>
          <w:rFonts w:cs="Arial"/>
          <w:szCs w:val="22"/>
        </w:rPr>
        <w:t xml:space="preserve">raw </w:t>
      </w:r>
      <w:r w:rsidRPr="000C75D3">
        <w:rPr>
          <w:rFonts w:cs="Arial"/>
          <w:szCs w:val="22"/>
        </w:rPr>
        <w:t xml:space="preserve">apricot kernels because there were no consumption data in any of the nutrition surveys to allow them to be included in the chronic dietary exposure assessment. Both kernels with </w:t>
      </w:r>
      <w:r>
        <w:rPr>
          <w:rFonts w:cs="Arial"/>
          <w:szCs w:val="22"/>
        </w:rPr>
        <w:t xml:space="preserve">and without </w:t>
      </w:r>
      <w:r w:rsidRPr="000C75D3">
        <w:rPr>
          <w:rFonts w:cs="Arial"/>
          <w:szCs w:val="22"/>
        </w:rPr>
        <w:t>skin were sampled. The two types had very different concentrations of total HCN (the mean for kernels with skin was 2</w:t>
      </w:r>
      <w:r>
        <w:rPr>
          <w:rFonts w:cs="Arial"/>
          <w:szCs w:val="22"/>
        </w:rPr>
        <w:t>,</w:t>
      </w:r>
      <w:r w:rsidRPr="000C75D3">
        <w:rPr>
          <w:rFonts w:cs="Arial"/>
          <w:szCs w:val="22"/>
        </w:rPr>
        <w:t>12</w:t>
      </w:r>
      <w:r>
        <w:rPr>
          <w:rFonts w:cs="Arial"/>
          <w:szCs w:val="22"/>
        </w:rPr>
        <w:t>0</w:t>
      </w:r>
      <w:r w:rsidRPr="000C75D3">
        <w:rPr>
          <w:rFonts w:cs="Arial"/>
          <w:szCs w:val="22"/>
        </w:rPr>
        <w:t xml:space="preserve"> mg</w:t>
      </w:r>
      <w:r>
        <w:rPr>
          <w:rFonts w:cs="Arial"/>
          <w:szCs w:val="22"/>
        </w:rPr>
        <w:t xml:space="preserve"> HCN</w:t>
      </w:r>
      <w:r w:rsidRPr="000C75D3">
        <w:rPr>
          <w:rFonts w:cs="Arial"/>
          <w:szCs w:val="22"/>
        </w:rPr>
        <w:t>/kg (</w:t>
      </w:r>
      <w:r w:rsidRPr="00287530">
        <w:rPr>
          <w:rFonts w:cs="Arial"/>
          <w:i/>
          <w:szCs w:val="22"/>
        </w:rPr>
        <w:t>n</w:t>
      </w:r>
      <w:r w:rsidRPr="000C75D3">
        <w:rPr>
          <w:rFonts w:cs="Arial"/>
          <w:szCs w:val="22"/>
        </w:rPr>
        <w:t>=18); the mean for kernels without skin was 19</w:t>
      </w:r>
      <w:r>
        <w:rPr>
          <w:rFonts w:cs="Arial"/>
          <w:szCs w:val="22"/>
        </w:rPr>
        <w:t>0</w:t>
      </w:r>
      <w:r w:rsidRPr="000C75D3">
        <w:rPr>
          <w:rFonts w:cs="Arial"/>
          <w:szCs w:val="22"/>
        </w:rPr>
        <w:t xml:space="preserve"> mg</w:t>
      </w:r>
      <w:r>
        <w:rPr>
          <w:rFonts w:cs="Arial"/>
          <w:szCs w:val="22"/>
        </w:rPr>
        <w:t xml:space="preserve"> HCN</w:t>
      </w:r>
      <w:r w:rsidRPr="000C75D3">
        <w:rPr>
          <w:rFonts w:cs="Arial"/>
          <w:szCs w:val="22"/>
        </w:rPr>
        <w:t>/kg (</w:t>
      </w:r>
      <w:r w:rsidRPr="00287530">
        <w:rPr>
          <w:rFonts w:cs="Arial"/>
          <w:i/>
          <w:szCs w:val="22"/>
        </w:rPr>
        <w:t>n</w:t>
      </w:r>
      <w:r w:rsidRPr="000C75D3">
        <w:rPr>
          <w:rFonts w:cs="Arial"/>
          <w:szCs w:val="22"/>
        </w:rPr>
        <w:t>=10))</w:t>
      </w:r>
      <w:r>
        <w:rPr>
          <w:rFonts w:cs="Arial"/>
          <w:szCs w:val="22"/>
        </w:rPr>
        <w:t>. T</w:t>
      </w:r>
      <w:r w:rsidRPr="000C75D3">
        <w:rPr>
          <w:rFonts w:cs="Arial"/>
          <w:szCs w:val="22"/>
        </w:rPr>
        <w:t>herefore, the two types were kept separate for the acute dietary exposure assessment.</w:t>
      </w:r>
    </w:p>
    <w:p w:rsidR="00DE20F7" w:rsidRDefault="00DE20F7" w:rsidP="00DE20F7"/>
    <w:p w:rsidR="00E11362" w:rsidRPr="00DE20F7" w:rsidRDefault="00E11362" w:rsidP="00DE20F7">
      <w:pPr>
        <w:rPr>
          <w:i/>
        </w:rPr>
      </w:pPr>
      <w:r w:rsidRPr="00DE20F7">
        <w:rPr>
          <w:i/>
        </w:rPr>
        <w:t>Bamboo shoots</w:t>
      </w:r>
    </w:p>
    <w:p w:rsidR="00E11362" w:rsidRPr="000C75D3" w:rsidRDefault="00E11362" w:rsidP="00E11362">
      <w:pPr>
        <w:rPr>
          <w:rFonts w:cs="Arial"/>
          <w:szCs w:val="22"/>
        </w:rPr>
      </w:pPr>
      <w:r w:rsidRPr="00D96E4B">
        <w:rPr>
          <w:rFonts w:cs="Arial"/>
          <w:szCs w:val="22"/>
        </w:rPr>
        <w:t>For bamboo shoots, samples in Survey 1 included canned or pickled varieties. In Survey 3, both frozen and fresh bamboo shoots were sampled, with the samples being split and half analysed raw and half boiled until tender and analysed. Only the results from Survey 1 (</w:t>
      </w:r>
      <w:r w:rsidRPr="00D96E4B">
        <w:rPr>
          <w:rFonts w:cs="Arial"/>
          <w:i/>
          <w:szCs w:val="22"/>
        </w:rPr>
        <w:t>n</w:t>
      </w:r>
      <w:r w:rsidRPr="00D96E4B">
        <w:rPr>
          <w:rFonts w:cs="Arial"/>
          <w:szCs w:val="22"/>
        </w:rPr>
        <w:t>=10) were used for the chronic and acute dietary exposure assessments</w:t>
      </w:r>
      <w:r w:rsidR="00D96E4B" w:rsidRPr="00D96E4B">
        <w:rPr>
          <w:rFonts w:cs="Arial"/>
          <w:szCs w:val="22"/>
        </w:rPr>
        <w:t>. This is because fresh/frozen varieties of bamboo shoots, as sampled in Survey 3, proved difficult to locate as part of the sampling plan. From this, it was assumed that it is unlikely that they are commonly available in the Australian and New Zealand marketplace</w:t>
      </w:r>
      <w:r w:rsidRPr="00D96E4B">
        <w:rPr>
          <w:rFonts w:cs="Arial"/>
          <w:szCs w:val="22"/>
        </w:rPr>
        <w:t xml:space="preserve"> </w:t>
      </w:r>
      <w:r w:rsidR="00D96E4B" w:rsidRPr="00D96E4B">
        <w:rPr>
          <w:rFonts w:cs="Arial"/>
          <w:szCs w:val="22"/>
        </w:rPr>
        <w:t xml:space="preserve">and that bamboo shoots are more likely to be consumed in their </w:t>
      </w:r>
      <w:r w:rsidRPr="00D96E4B">
        <w:rPr>
          <w:rFonts w:cs="Arial"/>
          <w:szCs w:val="22"/>
        </w:rPr>
        <w:t xml:space="preserve">canned/pickled </w:t>
      </w:r>
      <w:r w:rsidR="00D96E4B" w:rsidRPr="00D96E4B">
        <w:rPr>
          <w:rFonts w:cs="Arial"/>
          <w:szCs w:val="22"/>
        </w:rPr>
        <w:t>form</w:t>
      </w:r>
      <w:r w:rsidRPr="00D96E4B">
        <w:rPr>
          <w:rFonts w:cs="Arial"/>
          <w:szCs w:val="22"/>
        </w:rPr>
        <w:t>.</w:t>
      </w:r>
    </w:p>
    <w:p w:rsidR="00DE20F7" w:rsidRDefault="00DE20F7" w:rsidP="00DE20F7"/>
    <w:p w:rsidR="00E11362" w:rsidRPr="00DE20F7" w:rsidRDefault="00E11362" w:rsidP="00DE20F7">
      <w:pPr>
        <w:rPr>
          <w:i/>
        </w:rPr>
      </w:pPr>
      <w:r w:rsidRPr="00DE20F7">
        <w:rPr>
          <w:i/>
        </w:rPr>
        <w:t>Biscuits containing apricot kernels</w:t>
      </w:r>
    </w:p>
    <w:p w:rsidR="00E11362" w:rsidRDefault="00E11362" w:rsidP="00E11362">
      <w:pPr>
        <w:rPr>
          <w:rFonts w:cs="Arial"/>
          <w:szCs w:val="22"/>
        </w:rPr>
      </w:pPr>
      <w:r w:rsidRPr="000C75D3">
        <w:rPr>
          <w:rFonts w:cs="Arial"/>
          <w:szCs w:val="22"/>
        </w:rPr>
        <w:t>Amaretti biscuits and almond</w:t>
      </w:r>
      <w:r>
        <w:rPr>
          <w:rFonts w:cs="Arial"/>
          <w:szCs w:val="22"/>
        </w:rPr>
        <w:t xml:space="preserve"> fingers/</w:t>
      </w:r>
      <w:r w:rsidRPr="000C75D3">
        <w:rPr>
          <w:rFonts w:cs="Arial"/>
          <w:szCs w:val="22"/>
        </w:rPr>
        <w:t>apple fingers were</w:t>
      </w:r>
      <w:r>
        <w:rPr>
          <w:rFonts w:cs="Arial"/>
          <w:szCs w:val="22"/>
        </w:rPr>
        <w:t xml:space="preserve"> each</w:t>
      </w:r>
      <w:r w:rsidRPr="000C75D3">
        <w:rPr>
          <w:rFonts w:cs="Arial"/>
          <w:szCs w:val="22"/>
        </w:rPr>
        <w:t xml:space="preserve"> analysed as a composite sample. Amaretti biscuits </w:t>
      </w:r>
      <w:r>
        <w:rPr>
          <w:rFonts w:cs="Arial"/>
          <w:szCs w:val="22"/>
        </w:rPr>
        <w:t xml:space="preserve">were found to contain a </w:t>
      </w:r>
      <w:r w:rsidRPr="000C75D3">
        <w:rPr>
          <w:rFonts w:cs="Arial"/>
          <w:szCs w:val="22"/>
        </w:rPr>
        <w:t xml:space="preserve">higher </w:t>
      </w:r>
      <w:r>
        <w:rPr>
          <w:rFonts w:cs="Arial"/>
          <w:szCs w:val="22"/>
        </w:rPr>
        <w:t xml:space="preserve">HCN </w:t>
      </w:r>
      <w:r w:rsidRPr="000C75D3">
        <w:rPr>
          <w:rFonts w:cs="Arial"/>
          <w:szCs w:val="22"/>
        </w:rPr>
        <w:t>concentration than almond</w:t>
      </w:r>
      <w:r>
        <w:rPr>
          <w:rFonts w:cs="Arial"/>
          <w:szCs w:val="22"/>
        </w:rPr>
        <w:t xml:space="preserve"> fingers/apple fingers. T</w:t>
      </w:r>
      <w:r w:rsidRPr="000C75D3">
        <w:rPr>
          <w:rFonts w:cs="Arial"/>
          <w:szCs w:val="22"/>
        </w:rPr>
        <w:t xml:space="preserve">he foods mapped to both </w:t>
      </w:r>
      <w:r>
        <w:rPr>
          <w:rFonts w:cs="Arial"/>
          <w:szCs w:val="22"/>
        </w:rPr>
        <w:t xml:space="preserve">of these </w:t>
      </w:r>
      <w:r w:rsidRPr="000C75D3">
        <w:rPr>
          <w:rFonts w:cs="Arial"/>
          <w:szCs w:val="22"/>
        </w:rPr>
        <w:t xml:space="preserve">types of biscuits </w:t>
      </w:r>
      <w:r>
        <w:rPr>
          <w:rFonts w:cs="Arial"/>
          <w:szCs w:val="22"/>
        </w:rPr>
        <w:t xml:space="preserve">were </w:t>
      </w:r>
      <w:r w:rsidRPr="000C75D3">
        <w:rPr>
          <w:rFonts w:cs="Arial"/>
          <w:szCs w:val="22"/>
        </w:rPr>
        <w:t>the same</w:t>
      </w:r>
      <w:r>
        <w:rPr>
          <w:rFonts w:cs="Arial"/>
          <w:szCs w:val="22"/>
        </w:rPr>
        <w:t xml:space="preserve"> i.e. </w:t>
      </w:r>
      <w:r w:rsidRPr="00C0478A">
        <w:rPr>
          <w:rFonts w:cs="Arial"/>
          <w:i/>
          <w:szCs w:val="22"/>
        </w:rPr>
        <w:t>Sweet biscuits containing nuts or fruit and nuts, macaroons; commercial or homemade</w:t>
      </w:r>
      <w:r>
        <w:rPr>
          <w:rFonts w:cs="Arial"/>
          <w:i/>
          <w:szCs w:val="22"/>
        </w:rPr>
        <w:t xml:space="preserve">. </w:t>
      </w:r>
      <w:r>
        <w:rPr>
          <w:rFonts w:cs="Arial"/>
          <w:szCs w:val="22"/>
        </w:rPr>
        <w:t xml:space="preserve">Therefore, for the chronic dietary exposure assessment, </w:t>
      </w:r>
      <w:r w:rsidRPr="000C75D3">
        <w:rPr>
          <w:rFonts w:cs="Arial"/>
          <w:szCs w:val="22"/>
        </w:rPr>
        <w:t xml:space="preserve">the </w:t>
      </w:r>
      <w:r>
        <w:rPr>
          <w:rFonts w:cs="Arial"/>
          <w:szCs w:val="22"/>
        </w:rPr>
        <w:t xml:space="preserve">HCN </w:t>
      </w:r>
      <w:r w:rsidRPr="000C75D3">
        <w:rPr>
          <w:rFonts w:cs="Arial"/>
          <w:szCs w:val="22"/>
        </w:rPr>
        <w:t xml:space="preserve">concentration for amaretti biscuits was used as a worst case scenario. </w:t>
      </w:r>
    </w:p>
    <w:p w:rsidR="00E11362" w:rsidRDefault="00E11362" w:rsidP="00E11362">
      <w:pPr>
        <w:rPr>
          <w:rFonts w:cs="Arial"/>
          <w:szCs w:val="22"/>
        </w:rPr>
      </w:pPr>
    </w:p>
    <w:p w:rsidR="00E11362" w:rsidRDefault="00E11362" w:rsidP="00E11362">
      <w:pPr>
        <w:rPr>
          <w:rFonts w:cs="Arial"/>
          <w:szCs w:val="22"/>
        </w:rPr>
      </w:pPr>
      <w:r>
        <w:rPr>
          <w:rFonts w:cs="Arial"/>
          <w:szCs w:val="22"/>
        </w:rPr>
        <w:t xml:space="preserve">For the acute dietary exposure assessment, each biscuit type was </w:t>
      </w:r>
      <w:r w:rsidRPr="000C75D3">
        <w:rPr>
          <w:rFonts w:cs="Arial"/>
          <w:szCs w:val="22"/>
        </w:rPr>
        <w:t>assessed separately</w:t>
      </w:r>
      <w:r>
        <w:rPr>
          <w:rFonts w:cs="Arial"/>
          <w:szCs w:val="22"/>
        </w:rPr>
        <w:t>.</w:t>
      </w:r>
      <w:r w:rsidRPr="000C75D3">
        <w:rPr>
          <w:rFonts w:cs="Arial"/>
          <w:szCs w:val="22"/>
        </w:rPr>
        <w:t xml:space="preserve"> The </w:t>
      </w:r>
      <w:r>
        <w:rPr>
          <w:rFonts w:cs="Arial"/>
          <w:szCs w:val="22"/>
        </w:rPr>
        <w:t xml:space="preserve">HCN </w:t>
      </w:r>
      <w:r w:rsidRPr="000C75D3">
        <w:rPr>
          <w:rFonts w:cs="Arial"/>
          <w:szCs w:val="22"/>
        </w:rPr>
        <w:t xml:space="preserve">concentration determined </w:t>
      </w:r>
      <w:r>
        <w:rPr>
          <w:rFonts w:cs="Arial"/>
          <w:szCs w:val="22"/>
        </w:rPr>
        <w:t xml:space="preserve">from the composite analysis of </w:t>
      </w:r>
      <w:r w:rsidRPr="000C75D3">
        <w:rPr>
          <w:rFonts w:cs="Arial"/>
          <w:szCs w:val="22"/>
        </w:rPr>
        <w:t xml:space="preserve">each type of biscuit was used in the calculations as there was no distribution of results to determine a maximum concentration. </w:t>
      </w:r>
    </w:p>
    <w:p w:rsidR="00DE20F7" w:rsidRDefault="00DE20F7" w:rsidP="00DE20F7"/>
    <w:p w:rsidR="00E11362" w:rsidRPr="00DE20F7" w:rsidRDefault="00E11362" w:rsidP="00DE20F7">
      <w:pPr>
        <w:rPr>
          <w:i/>
        </w:rPr>
      </w:pPr>
      <w:r w:rsidRPr="00DE20F7">
        <w:rPr>
          <w:i/>
        </w:rPr>
        <w:t>Bread containing linseed</w:t>
      </w:r>
    </w:p>
    <w:p w:rsidR="00E11362" w:rsidRDefault="00E11362" w:rsidP="00E11362">
      <w:pPr>
        <w:rPr>
          <w:rFonts w:cs="Arial"/>
          <w:szCs w:val="22"/>
        </w:rPr>
      </w:pPr>
      <w:r w:rsidRPr="000C75D3">
        <w:rPr>
          <w:rFonts w:cs="Arial"/>
          <w:szCs w:val="22"/>
        </w:rPr>
        <w:t xml:space="preserve">Bread containing linseed </w:t>
      </w:r>
      <w:r>
        <w:rPr>
          <w:rFonts w:cs="Arial"/>
          <w:szCs w:val="22"/>
        </w:rPr>
        <w:t>was</w:t>
      </w:r>
      <w:r w:rsidRPr="000C75D3">
        <w:rPr>
          <w:rFonts w:cs="Arial"/>
          <w:szCs w:val="22"/>
        </w:rPr>
        <w:t xml:space="preserve"> analysed in both Survey 1 (</w:t>
      </w:r>
      <w:r w:rsidRPr="00EF67FC">
        <w:rPr>
          <w:rFonts w:cs="Arial"/>
          <w:i/>
          <w:szCs w:val="22"/>
        </w:rPr>
        <w:t>n</w:t>
      </w:r>
      <w:r w:rsidRPr="000C75D3">
        <w:rPr>
          <w:rFonts w:cs="Arial"/>
          <w:szCs w:val="22"/>
        </w:rPr>
        <w:t>=3) and Survey 3 (</w:t>
      </w:r>
      <w:r w:rsidRPr="00EF67FC">
        <w:rPr>
          <w:rFonts w:cs="Arial"/>
          <w:i/>
          <w:szCs w:val="22"/>
        </w:rPr>
        <w:t>n</w:t>
      </w:r>
      <w:r w:rsidRPr="000C75D3">
        <w:rPr>
          <w:rFonts w:cs="Arial"/>
          <w:szCs w:val="22"/>
        </w:rPr>
        <w:t xml:space="preserve">=3). </w:t>
      </w:r>
      <w:r>
        <w:rPr>
          <w:rFonts w:cs="Arial"/>
          <w:szCs w:val="22"/>
        </w:rPr>
        <w:t xml:space="preserve">All </w:t>
      </w:r>
      <w:r w:rsidRPr="000C75D3">
        <w:rPr>
          <w:rFonts w:cs="Arial"/>
          <w:szCs w:val="22"/>
        </w:rPr>
        <w:t xml:space="preserve">Survey 1 </w:t>
      </w:r>
      <w:r>
        <w:rPr>
          <w:rFonts w:cs="Arial"/>
          <w:szCs w:val="22"/>
        </w:rPr>
        <w:t xml:space="preserve">samples were collected in </w:t>
      </w:r>
      <w:r w:rsidRPr="000C75D3">
        <w:rPr>
          <w:rFonts w:cs="Arial"/>
          <w:szCs w:val="22"/>
        </w:rPr>
        <w:t>Zealand</w:t>
      </w:r>
      <w:r>
        <w:rPr>
          <w:rFonts w:cs="Arial"/>
          <w:szCs w:val="22"/>
        </w:rPr>
        <w:t xml:space="preserve">. All </w:t>
      </w:r>
      <w:r w:rsidRPr="000C75D3">
        <w:rPr>
          <w:rFonts w:cs="Arial"/>
          <w:szCs w:val="22"/>
        </w:rPr>
        <w:t xml:space="preserve">Survey 3 </w:t>
      </w:r>
      <w:r>
        <w:rPr>
          <w:rFonts w:cs="Arial"/>
          <w:szCs w:val="22"/>
        </w:rPr>
        <w:t>samples were collected in Australia</w:t>
      </w:r>
      <w:r w:rsidRPr="000C75D3">
        <w:rPr>
          <w:rFonts w:cs="Arial"/>
          <w:szCs w:val="22"/>
        </w:rPr>
        <w:t xml:space="preserve">. </w:t>
      </w:r>
      <w:r>
        <w:rPr>
          <w:rFonts w:cs="Arial"/>
          <w:szCs w:val="22"/>
        </w:rPr>
        <w:t xml:space="preserve">As the </w:t>
      </w:r>
      <w:r w:rsidRPr="000C75D3">
        <w:rPr>
          <w:rFonts w:cs="Arial"/>
          <w:szCs w:val="22"/>
        </w:rPr>
        <w:t xml:space="preserve">same analytical methodology </w:t>
      </w:r>
      <w:r>
        <w:rPr>
          <w:rFonts w:cs="Arial"/>
          <w:szCs w:val="22"/>
        </w:rPr>
        <w:t xml:space="preserve">was used </w:t>
      </w:r>
      <w:r w:rsidRPr="000C75D3">
        <w:rPr>
          <w:rFonts w:cs="Arial"/>
          <w:szCs w:val="22"/>
        </w:rPr>
        <w:t>for both surveys</w:t>
      </w:r>
      <w:r>
        <w:rPr>
          <w:rFonts w:cs="Arial"/>
          <w:szCs w:val="22"/>
        </w:rPr>
        <w:t xml:space="preserve">, it was valid for all six </w:t>
      </w:r>
      <w:r w:rsidRPr="000C75D3">
        <w:rPr>
          <w:rFonts w:cs="Arial"/>
          <w:szCs w:val="22"/>
        </w:rPr>
        <w:t xml:space="preserve">samples </w:t>
      </w:r>
      <w:r>
        <w:rPr>
          <w:rFonts w:cs="Arial"/>
          <w:szCs w:val="22"/>
        </w:rPr>
        <w:t xml:space="preserve">to be </w:t>
      </w:r>
      <w:r w:rsidRPr="000C75D3">
        <w:rPr>
          <w:rFonts w:cs="Arial"/>
          <w:szCs w:val="22"/>
        </w:rPr>
        <w:t>pooled for the purpose</w:t>
      </w:r>
      <w:r>
        <w:rPr>
          <w:rFonts w:cs="Arial"/>
          <w:szCs w:val="22"/>
        </w:rPr>
        <w:t>s</w:t>
      </w:r>
      <w:r w:rsidRPr="000C75D3">
        <w:rPr>
          <w:rFonts w:cs="Arial"/>
          <w:szCs w:val="22"/>
        </w:rPr>
        <w:t xml:space="preserve"> of the chronic </w:t>
      </w:r>
      <w:r>
        <w:rPr>
          <w:rFonts w:cs="Arial"/>
          <w:szCs w:val="22"/>
        </w:rPr>
        <w:t xml:space="preserve">and acute </w:t>
      </w:r>
      <w:r w:rsidRPr="000C75D3">
        <w:rPr>
          <w:rFonts w:cs="Arial"/>
          <w:szCs w:val="22"/>
        </w:rPr>
        <w:t>dietary exposure assessments</w:t>
      </w:r>
      <w:r>
        <w:rPr>
          <w:rFonts w:cs="Arial"/>
          <w:szCs w:val="22"/>
        </w:rPr>
        <w:t>.</w:t>
      </w:r>
    </w:p>
    <w:p w:rsidR="002B5904" w:rsidRDefault="002B5904" w:rsidP="00E11362">
      <w:pPr>
        <w:rPr>
          <w:rFonts w:cs="Arial"/>
          <w:szCs w:val="22"/>
        </w:rPr>
      </w:pPr>
    </w:p>
    <w:p w:rsidR="00E11362" w:rsidRDefault="00E11362" w:rsidP="00E11362">
      <w:r>
        <w:rPr>
          <w:rFonts w:cs="Arial"/>
          <w:szCs w:val="22"/>
        </w:rPr>
        <w:t>T</w:t>
      </w:r>
      <w:r w:rsidRPr="000C75D3">
        <w:rPr>
          <w:rFonts w:cs="Arial"/>
          <w:szCs w:val="22"/>
        </w:rPr>
        <w:t xml:space="preserve">here were differences in </w:t>
      </w:r>
      <w:r>
        <w:rPr>
          <w:rFonts w:cs="Arial"/>
          <w:szCs w:val="22"/>
        </w:rPr>
        <w:t xml:space="preserve">the range of HCN </w:t>
      </w:r>
      <w:r w:rsidRPr="000C75D3">
        <w:rPr>
          <w:rFonts w:cs="Arial"/>
          <w:szCs w:val="22"/>
        </w:rPr>
        <w:t xml:space="preserve">concentrations </w:t>
      </w:r>
      <w:r>
        <w:rPr>
          <w:rFonts w:cs="Arial"/>
          <w:szCs w:val="22"/>
        </w:rPr>
        <w:t xml:space="preserve">obtained for </w:t>
      </w:r>
      <w:r w:rsidRPr="000C75D3">
        <w:rPr>
          <w:rFonts w:cs="Arial"/>
          <w:szCs w:val="22"/>
        </w:rPr>
        <w:t xml:space="preserve">Australian and New Zealand samples, </w:t>
      </w:r>
      <w:r>
        <w:rPr>
          <w:rFonts w:cs="Arial"/>
          <w:szCs w:val="22"/>
        </w:rPr>
        <w:t xml:space="preserve">in that concentrations were found to be higher in Australian Survey 3 samples. Literature indicates that this may be due to higher HCN concentrations in Australian-sourced </w:t>
      </w:r>
      <w:r>
        <w:rPr>
          <w:rFonts w:cs="Arial"/>
          <w:szCs w:val="22"/>
        </w:rPr>
        <w:lastRenderedPageBreak/>
        <w:t xml:space="preserve">linseed. However there </w:t>
      </w:r>
      <w:r w:rsidRPr="000C75D3">
        <w:rPr>
          <w:rFonts w:cs="Arial"/>
          <w:szCs w:val="22"/>
        </w:rPr>
        <w:t>was no information to indicate where bread manufacturers source their seeds from. Therefore, all data were pooled together.</w:t>
      </w:r>
      <w:r w:rsidRPr="00E11362">
        <w:t xml:space="preserve"> </w:t>
      </w:r>
    </w:p>
    <w:p w:rsidR="00DE20F7" w:rsidRDefault="00DE20F7" w:rsidP="00DE20F7"/>
    <w:p w:rsidR="00E11362" w:rsidRPr="00DE20F7" w:rsidRDefault="00E11362" w:rsidP="00DE20F7">
      <w:pPr>
        <w:rPr>
          <w:i/>
        </w:rPr>
      </w:pPr>
      <w:r w:rsidRPr="00DE20F7">
        <w:rPr>
          <w:i/>
        </w:rPr>
        <w:t>Cassava roots</w:t>
      </w:r>
    </w:p>
    <w:p w:rsidR="00BC07CA" w:rsidRDefault="00E11362" w:rsidP="00E11362">
      <w:pPr>
        <w:rPr>
          <w:rFonts w:ascii="Calibri" w:eastAsiaTheme="minorHAnsi" w:hAnsi="Calibri" w:cs="Arial"/>
          <w:color w:val="000000"/>
          <w:sz w:val="18"/>
          <w:szCs w:val="20"/>
          <w:lang w:val="en-GB" w:eastAsia="en-GB"/>
        </w:rPr>
      </w:pPr>
      <w:r w:rsidRPr="00E11362">
        <w:rPr>
          <w:rFonts w:cs="Arial"/>
          <w:szCs w:val="22"/>
        </w:rPr>
        <w:t>For cassava, only raw samples were analysed in Survey 1, however cassava roots are not consumed raw. In Survey 3, the nine frozen samples that were purchased were split into three groups and cooked using three different methods, based on typical cooking methods used in Australia and New Zealand (steaming, boiling and frying), then analysed individually in their cooked state. All of the data from Survey 3 for the cooked cassava (irrespective of cooking method) were pooled for use in the chronic and acute dietary exposure assessments. However, the one non-compliant bitter cassava was excluded from the data set.</w:t>
      </w:r>
    </w:p>
    <w:p w:rsidR="00BC07CA" w:rsidRDefault="00BC07CA">
      <w:pPr>
        <w:spacing w:after="200" w:line="276" w:lineRule="auto"/>
        <w:rPr>
          <w:rFonts w:ascii="Calibri" w:eastAsiaTheme="minorHAnsi" w:hAnsi="Calibri" w:cs="Arial"/>
          <w:color w:val="000000"/>
          <w:sz w:val="18"/>
          <w:szCs w:val="20"/>
          <w:lang w:val="en-GB" w:eastAsia="en-GB"/>
        </w:rPr>
      </w:pPr>
    </w:p>
    <w:p w:rsidR="00E11362" w:rsidRDefault="00E11362" w:rsidP="00BC07CA">
      <w:pPr>
        <w:pStyle w:val="Heading1"/>
        <w:sectPr w:rsidR="00E11362" w:rsidSect="00E11362">
          <w:pgSz w:w="11906" w:h="16838"/>
          <w:pgMar w:top="1134" w:right="1134" w:bottom="1134" w:left="1134" w:header="680" w:footer="680" w:gutter="0"/>
          <w:cols w:space="708"/>
          <w:docGrid w:linePitch="360"/>
        </w:sectPr>
      </w:pPr>
    </w:p>
    <w:p w:rsidR="00BC07CA" w:rsidRDefault="00BC07CA" w:rsidP="00BC07CA">
      <w:pPr>
        <w:pStyle w:val="Heading1"/>
      </w:pPr>
      <w:bookmarkStart w:id="203" w:name="_Toc384293542"/>
      <w:r>
        <w:lastRenderedPageBreak/>
        <w:t xml:space="preserve">Appendix </w:t>
      </w:r>
      <w:r w:rsidR="00E11362">
        <w:t>6</w:t>
      </w:r>
      <w:r>
        <w:t xml:space="preserve">. Concentration data </w:t>
      </w:r>
      <w:r w:rsidR="009C1C38">
        <w:t>for</w:t>
      </w:r>
      <w:r>
        <w:t xml:space="preserve"> RTE cassava chips used in the dietary exposure assessment</w:t>
      </w:r>
      <w:bookmarkEnd w:id="203"/>
    </w:p>
    <w:p w:rsidR="0064728F" w:rsidRPr="0064728F" w:rsidRDefault="0064728F" w:rsidP="0064728F"/>
    <w:p w:rsidR="00BC07CA" w:rsidRPr="0064728F" w:rsidRDefault="00BC07CA" w:rsidP="0064728F">
      <w:pPr>
        <w:rPr>
          <w:rFonts w:asciiTheme="minorHAnsi" w:hAnsiTheme="minorHAnsi" w:cs="Arial"/>
          <w:b/>
          <w:szCs w:val="22"/>
        </w:rPr>
      </w:pPr>
      <w:r w:rsidRPr="0064728F">
        <w:rPr>
          <w:rFonts w:asciiTheme="minorHAnsi" w:hAnsiTheme="minorHAnsi" w:cs="Arial"/>
          <w:b/>
          <w:szCs w:val="22"/>
        </w:rPr>
        <w:t>Table A</w:t>
      </w:r>
      <w:r w:rsidR="00E11362" w:rsidRPr="0064728F">
        <w:rPr>
          <w:rFonts w:asciiTheme="minorHAnsi" w:hAnsiTheme="minorHAnsi" w:cs="Arial"/>
          <w:b/>
          <w:szCs w:val="22"/>
        </w:rPr>
        <w:t>6</w:t>
      </w:r>
      <w:r w:rsidRPr="0064728F">
        <w:rPr>
          <w:rFonts w:asciiTheme="minorHAnsi" w:hAnsiTheme="minorHAnsi" w:cs="Arial"/>
          <w:b/>
          <w:szCs w:val="22"/>
        </w:rPr>
        <w:t xml:space="preserve">.1. </w:t>
      </w:r>
      <w:r w:rsidRPr="0064728F">
        <w:rPr>
          <w:rFonts w:asciiTheme="minorHAnsi" w:hAnsiTheme="minorHAnsi"/>
          <w:b/>
          <w:szCs w:val="22"/>
        </w:rPr>
        <w:t>Summary of total HCN concentrations in RTE cassava chips collected since 2008 and used in the chronic dietary exposure assessment</w:t>
      </w:r>
    </w:p>
    <w:tbl>
      <w:tblPr>
        <w:tblStyle w:val="MediumShading1-Accent1"/>
        <w:tblW w:w="5012" w:type="pct"/>
        <w:tblBorders>
          <w:insideV w:val="single" w:sz="8" w:space="0" w:color="7BA0CD" w:themeColor="accent1" w:themeTint="BF"/>
        </w:tblBorders>
        <w:tblLayout w:type="fixed"/>
        <w:tblLook w:val="04A0" w:firstRow="1" w:lastRow="0" w:firstColumn="1" w:lastColumn="0" w:noHBand="0" w:noVBand="1"/>
      </w:tblPr>
      <w:tblGrid>
        <w:gridCol w:w="1628"/>
        <w:gridCol w:w="1331"/>
        <w:gridCol w:w="1624"/>
        <w:gridCol w:w="1331"/>
        <w:gridCol w:w="3106"/>
        <w:gridCol w:w="2069"/>
        <w:gridCol w:w="2072"/>
        <w:gridCol w:w="1660"/>
      </w:tblGrid>
      <w:tr w:rsidR="00BC07CA" w:rsidRPr="0064728F" w:rsidTr="00425868">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49" w:type="pct"/>
            <w:vMerge w:val="restart"/>
            <w:tcBorders>
              <w:top w:val="none" w:sz="0" w:space="0" w:color="auto"/>
              <w:left w:val="none" w:sz="0" w:space="0" w:color="auto"/>
              <w:bottom w:val="none" w:sz="0" w:space="0" w:color="auto"/>
              <w:right w:val="none" w:sz="0" w:space="0" w:color="auto"/>
            </w:tcBorders>
            <w:noWrap/>
            <w:hideMark/>
          </w:tcPr>
          <w:p w:rsidR="00BC07CA" w:rsidRPr="0064728F" w:rsidRDefault="00BC07CA" w:rsidP="0064728F">
            <w:pPr>
              <w:rPr>
                <w:rFonts w:asciiTheme="minorHAnsi" w:hAnsiTheme="minorHAnsi" w:cs="Arial"/>
                <w:szCs w:val="22"/>
                <w:lang w:eastAsia="en-GB"/>
              </w:rPr>
            </w:pPr>
            <w:r w:rsidRPr="0064728F">
              <w:rPr>
                <w:rFonts w:asciiTheme="minorHAnsi" w:hAnsiTheme="minorHAnsi" w:cs="Arial"/>
                <w:szCs w:val="22"/>
                <w:lang w:eastAsia="en-GB"/>
              </w:rPr>
              <w:t>Country</w:t>
            </w:r>
          </w:p>
        </w:tc>
        <w:tc>
          <w:tcPr>
            <w:tcW w:w="449" w:type="pct"/>
            <w:vMerge w:val="restart"/>
            <w:tcBorders>
              <w:top w:val="none" w:sz="0" w:space="0" w:color="auto"/>
              <w:left w:val="none" w:sz="0" w:space="0" w:color="auto"/>
              <w:bottom w:val="none" w:sz="0" w:space="0" w:color="auto"/>
              <w:right w:val="none" w:sz="0" w:space="0" w:color="auto"/>
            </w:tcBorders>
            <w:hideMark/>
          </w:tcPr>
          <w:p w:rsidR="00BC07CA" w:rsidRPr="0064728F" w:rsidRDefault="00BC07CA" w:rsidP="0064728F">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Cs w:val="22"/>
                <w:lang w:eastAsia="en-GB"/>
              </w:rPr>
            </w:pPr>
            <w:r w:rsidRPr="0064728F">
              <w:rPr>
                <w:rFonts w:asciiTheme="minorHAnsi" w:hAnsiTheme="minorHAnsi" w:cs="Arial"/>
                <w:szCs w:val="22"/>
                <w:lang w:eastAsia="en-GB"/>
              </w:rPr>
              <w:t>Number of samples</w:t>
            </w:r>
          </w:p>
        </w:tc>
        <w:tc>
          <w:tcPr>
            <w:tcW w:w="548" w:type="pct"/>
            <w:vMerge w:val="restart"/>
            <w:tcBorders>
              <w:top w:val="none" w:sz="0" w:space="0" w:color="auto"/>
              <w:left w:val="none" w:sz="0" w:space="0" w:color="auto"/>
              <w:bottom w:val="none" w:sz="0" w:space="0" w:color="auto"/>
              <w:right w:val="none" w:sz="0" w:space="0" w:color="auto"/>
            </w:tcBorders>
            <w:hideMark/>
          </w:tcPr>
          <w:p w:rsidR="00BC07CA" w:rsidRPr="0064728F" w:rsidRDefault="00BC07CA" w:rsidP="0064728F">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Cs w:val="22"/>
                <w:lang w:eastAsia="en-GB"/>
              </w:rPr>
            </w:pPr>
            <w:r w:rsidRPr="0064728F">
              <w:rPr>
                <w:rFonts w:asciiTheme="minorHAnsi" w:hAnsiTheme="minorHAnsi" w:cs="Arial"/>
                <w:szCs w:val="22"/>
                <w:lang w:eastAsia="en-GB"/>
              </w:rPr>
              <w:t>Number of non-detects</w:t>
            </w:r>
          </w:p>
          <w:p w:rsidR="00BC07CA" w:rsidRPr="0064728F" w:rsidRDefault="00BC07CA" w:rsidP="0064728F">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Cs w:val="22"/>
                <w:lang w:eastAsia="en-GB"/>
              </w:rPr>
            </w:pPr>
            <w:r w:rsidRPr="0064728F">
              <w:rPr>
                <w:rFonts w:asciiTheme="minorHAnsi" w:hAnsiTheme="minorHAnsi" w:cs="Arial"/>
                <w:szCs w:val="22"/>
                <w:lang w:eastAsia="en-GB"/>
              </w:rPr>
              <w:t>(% samples)</w:t>
            </w:r>
          </w:p>
        </w:tc>
        <w:tc>
          <w:tcPr>
            <w:tcW w:w="449" w:type="pct"/>
            <w:vMerge w:val="restart"/>
            <w:tcBorders>
              <w:top w:val="none" w:sz="0" w:space="0" w:color="auto"/>
              <w:left w:val="none" w:sz="0" w:space="0" w:color="auto"/>
              <w:bottom w:val="none" w:sz="0" w:space="0" w:color="auto"/>
              <w:right w:val="none" w:sz="0" w:space="0" w:color="auto"/>
            </w:tcBorders>
            <w:hideMark/>
          </w:tcPr>
          <w:p w:rsidR="00BC07CA" w:rsidRPr="0064728F" w:rsidRDefault="00BC07CA" w:rsidP="0064728F">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Cs w:val="22"/>
                <w:lang w:eastAsia="en-GB"/>
              </w:rPr>
            </w:pPr>
            <w:r w:rsidRPr="0064728F">
              <w:rPr>
                <w:rFonts w:asciiTheme="minorHAnsi" w:hAnsiTheme="minorHAnsi" w:cs="Arial"/>
                <w:szCs w:val="22"/>
                <w:lang w:eastAsia="en-GB"/>
              </w:rPr>
              <w:t>Limit of detection (LoD)</w:t>
            </w:r>
          </w:p>
          <w:p w:rsidR="00BC07CA" w:rsidRPr="0064728F" w:rsidRDefault="00BC07CA" w:rsidP="0064728F">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Cs w:val="22"/>
                <w:lang w:eastAsia="en-GB"/>
              </w:rPr>
            </w:pPr>
            <w:r w:rsidRPr="0064728F">
              <w:rPr>
                <w:rFonts w:asciiTheme="minorHAnsi" w:hAnsiTheme="minorHAnsi" w:cs="Arial"/>
                <w:szCs w:val="22"/>
                <w:lang w:eastAsia="en-GB"/>
              </w:rPr>
              <w:t>(mg/kg)</w:t>
            </w:r>
          </w:p>
        </w:tc>
        <w:tc>
          <w:tcPr>
            <w:tcW w:w="1048" w:type="pct"/>
            <w:vMerge w:val="restart"/>
            <w:tcBorders>
              <w:top w:val="none" w:sz="0" w:space="0" w:color="auto"/>
              <w:left w:val="none" w:sz="0" w:space="0" w:color="auto"/>
              <w:bottom w:val="none" w:sz="0" w:space="0" w:color="auto"/>
              <w:right w:val="none" w:sz="0" w:space="0" w:color="auto"/>
            </w:tcBorders>
          </w:tcPr>
          <w:p w:rsidR="00BC07CA" w:rsidRPr="0064728F" w:rsidRDefault="00BC07CA" w:rsidP="0064728F">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Cs w:val="22"/>
                <w:lang w:eastAsia="en-GB"/>
              </w:rPr>
            </w:pPr>
            <w:r w:rsidRPr="0064728F">
              <w:rPr>
                <w:rFonts w:asciiTheme="minorHAnsi" w:hAnsiTheme="minorHAnsi" w:cs="Arial"/>
                <w:szCs w:val="22"/>
                <w:lang w:eastAsia="en-GB"/>
              </w:rPr>
              <w:t>Concentration result</w:t>
            </w:r>
          </w:p>
        </w:tc>
        <w:tc>
          <w:tcPr>
            <w:tcW w:w="1397" w:type="pct"/>
            <w:gridSpan w:val="2"/>
            <w:tcBorders>
              <w:top w:val="none" w:sz="0" w:space="0" w:color="auto"/>
              <w:left w:val="none" w:sz="0" w:space="0" w:color="auto"/>
              <w:bottom w:val="none" w:sz="0" w:space="0" w:color="auto"/>
              <w:right w:val="none" w:sz="0" w:space="0" w:color="auto"/>
            </w:tcBorders>
            <w:hideMark/>
          </w:tcPr>
          <w:p w:rsidR="00BC07CA" w:rsidRPr="0064728F" w:rsidRDefault="00BC07CA" w:rsidP="0064728F">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Cs w:val="22"/>
                <w:lang w:eastAsia="en-GB"/>
              </w:rPr>
            </w:pPr>
            <w:r w:rsidRPr="0064728F">
              <w:rPr>
                <w:rFonts w:asciiTheme="minorHAnsi" w:hAnsiTheme="minorHAnsi" w:cs="Arial"/>
                <w:szCs w:val="22"/>
                <w:lang w:eastAsia="en-GB"/>
              </w:rPr>
              <w:t>Mean concentration of total HCN</w:t>
            </w:r>
          </w:p>
        </w:tc>
        <w:tc>
          <w:tcPr>
            <w:tcW w:w="560" w:type="pct"/>
            <w:vMerge w:val="restart"/>
            <w:tcBorders>
              <w:top w:val="none" w:sz="0" w:space="0" w:color="auto"/>
              <w:left w:val="none" w:sz="0" w:space="0" w:color="auto"/>
              <w:bottom w:val="none" w:sz="0" w:space="0" w:color="auto"/>
              <w:right w:val="none" w:sz="0" w:space="0" w:color="auto"/>
            </w:tcBorders>
            <w:hideMark/>
          </w:tcPr>
          <w:p w:rsidR="00BC07CA" w:rsidRPr="0064728F" w:rsidRDefault="00BC07CA" w:rsidP="0064728F">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Cs w:val="22"/>
                <w:lang w:eastAsia="en-GB"/>
              </w:rPr>
            </w:pPr>
            <w:r w:rsidRPr="0064728F">
              <w:rPr>
                <w:rFonts w:asciiTheme="minorHAnsi" w:hAnsiTheme="minorHAnsi" w:cs="Arial"/>
                <w:szCs w:val="22"/>
                <w:lang w:eastAsia="en-GB"/>
              </w:rPr>
              <w:t>Maximum concentration of total HCN</w:t>
            </w:r>
          </w:p>
          <w:p w:rsidR="00BC07CA" w:rsidRPr="0064728F" w:rsidRDefault="00BC07CA" w:rsidP="0064728F">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Cs w:val="22"/>
                <w:lang w:eastAsia="en-GB"/>
              </w:rPr>
            </w:pPr>
            <w:r w:rsidRPr="0064728F">
              <w:rPr>
                <w:rFonts w:asciiTheme="minorHAnsi" w:hAnsiTheme="minorHAnsi" w:cs="Arial"/>
                <w:szCs w:val="22"/>
                <w:lang w:eastAsia="en-GB"/>
              </w:rPr>
              <w:t>(mg/kg)*</w:t>
            </w:r>
          </w:p>
        </w:tc>
      </w:tr>
      <w:tr w:rsidR="00BC07CA" w:rsidRPr="00EF7E42" w:rsidTr="00425868">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549" w:type="pct"/>
            <w:vMerge/>
            <w:tcBorders>
              <w:right w:val="none" w:sz="0" w:space="0" w:color="auto"/>
            </w:tcBorders>
            <w:noWrap/>
            <w:hideMark/>
          </w:tcPr>
          <w:p w:rsidR="00BC07CA" w:rsidRPr="00EF7E42" w:rsidRDefault="00BC07CA" w:rsidP="00425868">
            <w:pPr>
              <w:jc w:val="center"/>
              <w:rPr>
                <w:rFonts w:cs="Arial"/>
                <w:b w:val="0"/>
                <w:bCs w:val="0"/>
                <w:color w:val="000000"/>
                <w:sz w:val="20"/>
                <w:szCs w:val="20"/>
                <w:lang w:eastAsia="en-GB"/>
              </w:rPr>
            </w:pPr>
          </w:p>
        </w:tc>
        <w:tc>
          <w:tcPr>
            <w:tcW w:w="449" w:type="pct"/>
            <w:vMerge/>
            <w:tcBorders>
              <w:left w:val="none" w:sz="0" w:space="0" w:color="auto"/>
              <w:right w:val="none" w:sz="0" w:space="0" w:color="auto"/>
            </w:tcBorders>
            <w:hideMark/>
          </w:tcPr>
          <w:p w:rsidR="00BC07CA" w:rsidRPr="00EF7E42" w:rsidRDefault="00BC07CA" w:rsidP="00425868">
            <w:pPr>
              <w:jc w:val="center"/>
              <w:cnfStyle w:val="000000100000" w:firstRow="0" w:lastRow="0" w:firstColumn="0" w:lastColumn="0" w:oddVBand="0" w:evenVBand="0" w:oddHBand="1" w:evenHBand="0" w:firstRowFirstColumn="0" w:firstRowLastColumn="0" w:lastRowFirstColumn="0" w:lastRowLastColumn="0"/>
              <w:rPr>
                <w:rFonts w:cs="Arial"/>
                <w:b/>
                <w:bCs/>
                <w:color w:val="000000"/>
                <w:sz w:val="20"/>
                <w:szCs w:val="20"/>
                <w:lang w:eastAsia="en-GB"/>
              </w:rPr>
            </w:pPr>
          </w:p>
        </w:tc>
        <w:tc>
          <w:tcPr>
            <w:tcW w:w="548" w:type="pct"/>
            <w:vMerge/>
            <w:tcBorders>
              <w:left w:val="none" w:sz="0" w:space="0" w:color="auto"/>
              <w:right w:val="none" w:sz="0" w:space="0" w:color="auto"/>
            </w:tcBorders>
            <w:hideMark/>
          </w:tcPr>
          <w:p w:rsidR="00BC07CA" w:rsidRPr="00EF7E42" w:rsidRDefault="00BC07CA" w:rsidP="00425868">
            <w:pPr>
              <w:jc w:val="center"/>
              <w:cnfStyle w:val="000000100000" w:firstRow="0" w:lastRow="0" w:firstColumn="0" w:lastColumn="0" w:oddVBand="0" w:evenVBand="0" w:oddHBand="1" w:evenHBand="0" w:firstRowFirstColumn="0" w:firstRowLastColumn="0" w:lastRowFirstColumn="0" w:lastRowLastColumn="0"/>
              <w:rPr>
                <w:rFonts w:cs="Arial"/>
                <w:b/>
                <w:bCs/>
                <w:color w:val="000000"/>
                <w:sz w:val="20"/>
                <w:szCs w:val="20"/>
                <w:lang w:eastAsia="en-GB"/>
              </w:rPr>
            </w:pPr>
          </w:p>
        </w:tc>
        <w:tc>
          <w:tcPr>
            <w:tcW w:w="449" w:type="pct"/>
            <w:vMerge/>
            <w:tcBorders>
              <w:left w:val="none" w:sz="0" w:space="0" w:color="auto"/>
              <w:right w:val="none" w:sz="0" w:space="0" w:color="auto"/>
            </w:tcBorders>
            <w:hideMark/>
          </w:tcPr>
          <w:p w:rsidR="00BC07CA" w:rsidRPr="00EF7E42" w:rsidRDefault="00BC07CA" w:rsidP="00425868">
            <w:pPr>
              <w:jc w:val="center"/>
              <w:cnfStyle w:val="000000100000" w:firstRow="0" w:lastRow="0" w:firstColumn="0" w:lastColumn="0" w:oddVBand="0" w:evenVBand="0" w:oddHBand="1" w:evenHBand="0" w:firstRowFirstColumn="0" w:firstRowLastColumn="0" w:lastRowFirstColumn="0" w:lastRowLastColumn="0"/>
              <w:rPr>
                <w:rFonts w:cs="Arial"/>
                <w:b/>
                <w:bCs/>
                <w:color w:val="000000"/>
                <w:sz w:val="20"/>
                <w:szCs w:val="20"/>
                <w:lang w:eastAsia="en-GB"/>
              </w:rPr>
            </w:pPr>
          </w:p>
        </w:tc>
        <w:tc>
          <w:tcPr>
            <w:tcW w:w="1048" w:type="pct"/>
            <w:vMerge/>
            <w:tcBorders>
              <w:left w:val="none" w:sz="0" w:space="0" w:color="auto"/>
              <w:right w:val="none" w:sz="0" w:space="0" w:color="auto"/>
            </w:tcBorders>
          </w:tcPr>
          <w:p w:rsidR="00BC07CA" w:rsidRPr="00EF7E42" w:rsidRDefault="00BC07CA" w:rsidP="00425868">
            <w:pPr>
              <w:jc w:val="center"/>
              <w:cnfStyle w:val="000000100000" w:firstRow="0" w:lastRow="0" w:firstColumn="0" w:lastColumn="0" w:oddVBand="0" w:evenVBand="0" w:oddHBand="1" w:evenHBand="0" w:firstRowFirstColumn="0" w:firstRowLastColumn="0" w:lastRowFirstColumn="0" w:lastRowLastColumn="0"/>
              <w:rPr>
                <w:rFonts w:cs="Arial"/>
                <w:b/>
                <w:bCs/>
                <w:color w:val="000000"/>
                <w:sz w:val="20"/>
                <w:szCs w:val="20"/>
                <w:lang w:eastAsia="en-GB"/>
              </w:rPr>
            </w:pPr>
          </w:p>
        </w:tc>
        <w:tc>
          <w:tcPr>
            <w:tcW w:w="698" w:type="pct"/>
            <w:tcBorders>
              <w:left w:val="none" w:sz="0" w:space="0" w:color="auto"/>
              <w:right w:val="none" w:sz="0" w:space="0" w:color="auto"/>
            </w:tcBorders>
            <w:shd w:val="clear" w:color="auto" w:fill="4F81BD" w:themeFill="accent1"/>
            <w:hideMark/>
          </w:tcPr>
          <w:p w:rsidR="00BC07CA" w:rsidRPr="00EF7E42" w:rsidRDefault="00BC07CA" w:rsidP="00425868">
            <w:pPr>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r w:rsidRPr="00EF7E42">
              <w:rPr>
                <w:rFonts w:cs="Arial"/>
                <w:b/>
                <w:bCs/>
                <w:color w:val="FFFFFF" w:themeColor="background1"/>
                <w:sz w:val="20"/>
                <w:szCs w:val="20"/>
                <w:lang w:eastAsia="en-GB"/>
              </w:rPr>
              <w:t>Lower bound (not detected = 0)</w:t>
            </w:r>
          </w:p>
          <w:p w:rsidR="00BC07CA" w:rsidRPr="00EF7E42" w:rsidRDefault="00BC07CA" w:rsidP="00425868">
            <w:pPr>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r w:rsidRPr="00EF7E42">
              <w:rPr>
                <w:rFonts w:cs="Arial"/>
                <w:b/>
                <w:bCs/>
                <w:color w:val="FFFFFF" w:themeColor="background1"/>
                <w:sz w:val="20"/>
                <w:szCs w:val="20"/>
                <w:lang w:eastAsia="en-GB"/>
              </w:rPr>
              <w:t>(mg/kg)</w:t>
            </w:r>
          </w:p>
        </w:tc>
        <w:tc>
          <w:tcPr>
            <w:tcW w:w="699" w:type="pct"/>
            <w:tcBorders>
              <w:left w:val="none" w:sz="0" w:space="0" w:color="auto"/>
              <w:right w:val="none" w:sz="0" w:space="0" w:color="auto"/>
            </w:tcBorders>
            <w:shd w:val="clear" w:color="auto" w:fill="4F81BD" w:themeFill="accent1"/>
            <w:hideMark/>
          </w:tcPr>
          <w:p w:rsidR="00BC07CA" w:rsidRPr="00EF7E42" w:rsidRDefault="00BC07CA" w:rsidP="00425868">
            <w:pPr>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r w:rsidRPr="00EF7E42">
              <w:rPr>
                <w:rFonts w:cs="Arial"/>
                <w:b/>
                <w:bCs/>
                <w:color w:val="FFFFFF" w:themeColor="background1"/>
                <w:sz w:val="20"/>
                <w:szCs w:val="20"/>
                <w:lang w:eastAsia="en-GB"/>
              </w:rPr>
              <w:t>Upper bound (not detected = LOD)</w:t>
            </w:r>
          </w:p>
          <w:p w:rsidR="00BC07CA" w:rsidRPr="00EF7E42" w:rsidRDefault="00BC07CA" w:rsidP="00425868">
            <w:pPr>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r w:rsidRPr="00EF7E42">
              <w:rPr>
                <w:rFonts w:cs="Arial"/>
                <w:b/>
                <w:bCs/>
                <w:color w:val="FFFFFF" w:themeColor="background1"/>
                <w:sz w:val="20"/>
                <w:szCs w:val="20"/>
                <w:lang w:eastAsia="en-GB"/>
              </w:rPr>
              <w:t>(mg/kg)</w:t>
            </w:r>
          </w:p>
        </w:tc>
        <w:tc>
          <w:tcPr>
            <w:tcW w:w="560" w:type="pct"/>
            <w:vMerge/>
            <w:tcBorders>
              <w:left w:val="none" w:sz="0" w:space="0" w:color="auto"/>
            </w:tcBorders>
            <w:shd w:val="clear" w:color="auto" w:fill="4F81BD" w:themeFill="accent1"/>
            <w:hideMark/>
          </w:tcPr>
          <w:p w:rsidR="00BC07CA" w:rsidRPr="00EF7E42" w:rsidRDefault="00BC07CA" w:rsidP="00425868">
            <w:pPr>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eastAsia="en-GB"/>
              </w:rPr>
            </w:pPr>
          </w:p>
        </w:tc>
      </w:tr>
      <w:tr w:rsidR="00BC07CA" w:rsidRPr="00EF7E42" w:rsidTr="00425868">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49" w:type="pct"/>
            <w:vMerge w:val="restart"/>
            <w:tcBorders>
              <w:right w:val="none" w:sz="0" w:space="0" w:color="auto"/>
            </w:tcBorders>
            <w:shd w:val="clear" w:color="auto" w:fill="D3DFEE"/>
            <w:noWrap/>
            <w:hideMark/>
          </w:tcPr>
          <w:p w:rsidR="00BC07CA" w:rsidRPr="00EF7E42" w:rsidRDefault="00BC07CA" w:rsidP="00425868">
            <w:pPr>
              <w:rPr>
                <w:rFonts w:cs="Arial"/>
                <w:color w:val="000000"/>
                <w:sz w:val="20"/>
                <w:szCs w:val="20"/>
                <w:lang w:eastAsia="en-GB"/>
              </w:rPr>
            </w:pPr>
            <w:r w:rsidRPr="00EF7E42">
              <w:rPr>
                <w:rFonts w:cs="Arial"/>
                <w:color w:val="000000"/>
                <w:sz w:val="20"/>
                <w:szCs w:val="20"/>
                <w:lang w:eastAsia="en-GB"/>
              </w:rPr>
              <w:t>Australia</w:t>
            </w:r>
          </w:p>
        </w:tc>
        <w:tc>
          <w:tcPr>
            <w:tcW w:w="449" w:type="pct"/>
            <w:vMerge w:val="restart"/>
            <w:tcBorders>
              <w:left w:val="none" w:sz="0" w:space="0" w:color="auto"/>
              <w:right w:val="none" w:sz="0" w:space="0" w:color="auto"/>
            </w:tcBorders>
            <w:shd w:val="clear" w:color="auto" w:fill="D3DFEE"/>
            <w:noWrap/>
            <w:hideMark/>
          </w:tcPr>
          <w:p w:rsidR="00BC07CA" w:rsidRPr="00EF7E42" w:rsidRDefault="00BC07CA"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EF7E42">
              <w:rPr>
                <w:rFonts w:cs="Arial"/>
                <w:color w:val="000000"/>
                <w:sz w:val="20"/>
                <w:szCs w:val="20"/>
                <w:lang w:eastAsia="en-GB"/>
              </w:rPr>
              <w:t>195</w:t>
            </w:r>
          </w:p>
        </w:tc>
        <w:tc>
          <w:tcPr>
            <w:tcW w:w="548" w:type="pct"/>
            <w:vMerge w:val="restart"/>
            <w:tcBorders>
              <w:left w:val="none" w:sz="0" w:space="0" w:color="auto"/>
              <w:right w:val="none" w:sz="0" w:space="0" w:color="auto"/>
            </w:tcBorders>
            <w:shd w:val="clear" w:color="auto" w:fill="D3DFEE"/>
            <w:noWrap/>
            <w:hideMark/>
          </w:tcPr>
          <w:p w:rsidR="00BC07CA" w:rsidRPr="00EF7E42" w:rsidRDefault="00BC07CA"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EF7E42">
              <w:rPr>
                <w:rFonts w:cs="Arial"/>
                <w:color w:val="000000"/>
                <w:sz w:val="20"/>
                <w:szCs w:val="20"/>
                <w:lang w:eastAsia="en-GB"/>
              </w:rPr>
              <w:t>135</w:t>
            </w:r>
            <w:r>
              <w:rPr>
                <w:rFonts w:cs="Arial"/>
                <w:color w:val="000000"/>
                <w:sz w:val="20"/>
                <w:szCs w:val="20"/>
                <w:lang w:eastAsia="en-GB"/>
              </w:rPr>
              <w:t xml:space="preserve"> </w:t>
            </w:r>
            <w:r w:rsidRPr="00EF7E42">
              <w:rPr>
                <w:rFonts w:cs="Arial"/>
                <w:color w:val="000000"/>
                <w:sz w:val="20"/>
                <w:szCs w:val="20"/>
                <w:lang w:eastAsia="en-GB"/>
              </w:rPr>
              <w:t>(69)</w:t>
            </w:r>
          </w:p>
        </w:tc>
        <w:tc>
          <w:tcPr>
            <w:tcW w:w="449" w:type="pct"/>
            <w:vMerge w:val="restart"/>
            <w:tcBorders>
              <w:left w:val="none" w:sz="0" w:space="0" w:color="auto"/>
              <w:right w:val="none" w:sz="0" w:space="0" w:color="auto"/>
            </w:tcBorders>
            <w:shd w:val="clear" w:color="auto" w:fill="D3DFEE"/>
            <w:noWrap/>
            <w:hideMark/>
          </w:tcPr>
          <w:p w:rsidR="00BC07CA" w:rsidRPr="00EF7E42" w:rsidRDefault="00BC07CA"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EF7E42">
              <w:rPr>
                <w:rFonts w:cs="Arial"/>
                <w:color w:val="000000"/>
                <w:sz w:val="20"/>
                <w:szCs w:val="20"/>
                <w:lang w:eastAsia="en-GB"/>
              </w:rPr>
              <w:t>10</w:t>
            </w:r>
          </w:p>
        </w:tc>
        <w:tc>
          <w:tcPr>
            <w:tcW w:w="1048" w:type="pct"/>
            <w:tcBorders>
              <w:left w:val="none" w:sz="0" w:space="0" w:color="auto"/>
              <w:bottom w:val="nil"/>
              <w:right w:val="none" w:sz="0" w:space="0" w:color="auto"/>
            </w:tcBorders>
            <w:shd w:val="clear" w:color="auto" w:fill="D3DFEE"/>
          </w:tcPr>
          <w:p w:rsidR="00BC07CA" w:rsidRPr="00EF7E42" w:rsidRDefault="00BC07CA" w:rsidP="00425868">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EF7E42">
              <w:rPr>
                <w:rFonts w:cs="Arial"/>
                <w:color w:val="000000"/>
                <w:sz w:val="20"/>
                <w:szCs w:val="20"/>
                <w:lang w:eastAsia="en-GB"/>
              </w:rPr>
              <w:t>Actual survey data</w:t>
            </w:r>
          </w:p>
        </w:tc>
        <w:tc>
          <w:tcPr>
            <w:tcW w:w="698" w:type="pct"/>
            <w:tcBorders>
              <w:left w:val="none" w:sz="0" w:space="0" w:color="auto"/>
              <w:bottom w:val="nil"/>
              <w:right w:val="none" w:sz="0" w:space="0" w:color="auto"/>
            </w:tcBorders>
            <w:shd w:val="clear" w:color="auto" w:fill="D3DFEE"/>
            <w:noWrap/>
            <w:hideMark/>
          </w:tcPr>
          <w:p w:rsidR="00BC07CA" w:rsidRPr="00EF7E42" w:rsidRDefault="00BC07CA"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EF7E42">
              <w:rPr>
                <w:rFonts w:cs="Arial"/>
                <w:color w:val="000000"/>
                <w:sz w:val="20"/>
                <w:szCs w:val="20"/>
                <w:lang w:eastAsia="en-GB"/>
              </w:rPr>
              <w:t>20.7</w:t>
            </w:r>
          </w:p>
        </w:tc>
        <w:tc>
          <w:tcPr>
            <w:tcW w:w="699" w:type="pct"/>
            <w:tcBorders>
              <w:left w:val="none" w:sz="0" w:space="0" w:color="auto"/>
              <w:bottom w:val="nil"/>
              <w:right w:val="none" w:sz="0" w:space="0" w:color="auto"/>
            </w:tcBorders>
            <w:shd w:val="clear" w:color="auto" w:fill="D3DFEE"/>
            <w:noWrap/>
            <w:hideMark/>
          </w:tcPr>
          <w:p w:rsidR="00BC07CA" w:rsidRPr="00EF7E42" w:rsidRDefault="00BC07CA"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EF7E42">
              <w:rPr>
                <w:rFonts w:cs="Arial"/>
                <w:color w:val="000000"/>
                <w:sz w:val="20"/>
                <w:szCs w:val="20"/>
                <w:lang w:eastAsia="en-GB"/>
              </w:rPr>
              <w:t>27.6</w:t>
            </w:r>
          </w:p>
        </w:tc>
        <w:tc>
          <w:tcPr>
            <w:tcW w:w="560" w:type="pct"/>
            <w:tcBorders>
              <w:left w:val="none" w:sz="0" w:space="0" w:color="auto"/>
              <w:bottom w:val="nil"/>
            </w:tcBorders>
            <w:shd w:val="clear" w:color="auto" w:fill="D3DFEE"/>
            <w:noWrap/>
            <w:hideMark/>
          </w:tcPr>
          <w:p w:rsidR="00BC07CA" w:rsidRPr="00EF7E42" w:rsidRDefault="00BC07CA"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EF7E42">
              <w:rPr>
                <w:rFonts w:cs="Arial"/>
                <w:color w:val="000000"/>
                <w:sz w:val="20"/>
                <w:szCs w:val="20"/>
                <w:lang w:eastAsia="en-GB"/>
              </w:rPr>
              <w:t>268</w:t>
            </w:r>
          </w:p>
        </w:tc>
      </w:tr>
      <w:tr w:rsidR="00BC07CA" w:rsidRPr="00EF7E42" w:rsidTr="004258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49" w:type="pct"/>
            <w:vMerge/>
            <w:tcBorders>
              <w:right w:val="none" w:sz="0" w:space="0" w:color="auto"/>
            </w:tcBorders>
            <w:shd w:val="clear" w:color="auto" w:fill="D3DFEE"/>
            <w:noWrap/>
          </w:tcPr>
          <w:p w:rsidR="00BC07CA" w:rsidRPr="00EF7E42" w:rsidRDefault="00BC07CA" w:rsidP="00425868">
            <w:pPr>
              <w:rPr>
                <w:rFonts w:cs="Arial"/>
                <w:color w:val="000000"/>
                <w:sz w:val="20"/>
                <w:szCs w:val="20"/>
                <w:lang w:eastAsia="en-GB"/>
              </w:rPr>
            </w:pPr>
          </w:p>
        </w:tc>
        <w:tc>
          <w:tcPr>
            <w:tcW w:w="449" w:type="pct"/>
            <w:vMerge/>
            <w:tcBorders>
              <w:left w:val="none" w:sz="0" w:space="0" w:color="auto"/>
              <w:right w:val="none" w:sz="0" w:space="0" w:color="auto"/>
            </w:tcBorders>
            <w:shd w:val="clear" w:color="auto" w:fill="D3DFEE"/>
            <w:noWrap/>
          </w:tcPr>
          <w:p w:rsidR="00BC07CA" w:rsidRPr="00EF7E42" w:rsidRDefault="00BC07CA"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p>
        </w:tc>
        <w:tc>
          <w:tcPr>
            <w:tcW w:w="548" w:type="pct"/>
            <w:vMerge/>
            <w:tcBorders>
              <w:left w:val="none" w:sz="0" w:space="0" w:color="auto"/>
              <w:right w:val="none" w:sz="0" w:space="0" w:color="auto"/>
            </w:tcBorders>
            <w:shd w:val="clear" w:color="auto" w:fill="D3DFEE"/>
            <w:noWrap/>
          </w:tcPr>
          <w:p w:rsidR="00BC07CA" w:rsidRPr="00EF7E42" w:rsidRDefault="00BC07CA"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p>
        </w:tc>
        <w:tc>
          <w:tcPr>
            <w:tcW w:w="449" w:type="pct"/>
            <w:vMerge/>
            <w:tcBorders>
              <w:left w:val="none" w:sz="0" w:space="0" w:color="auto"/>
              <w:right w:val="none" w:sz="0" w:space="0" w:color="auto"/>
            </w:tcBorders>
            <w:shd w:val="clear" w:color="auto" w:fill="D3DFEE"/>
            <w:noWrap/>
          </w:tcPr>
          <w:p w:rsidR="00BC07CA" w:rsidRPr="00EF7E42" w:rsidRDefault="00BC07CA"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p>
        </w:tc>
        <w:tc>
          <w:tcPr>
            <w:tcW w:w="1048" w:type="pct"/>
            <w:tcBorders>
              <w:top w:val="nil"/>
              <w:left w:val="none" w:sz="0" w:space="0" w:color="auto"/>
              <w:right w:val="none" w:sz="0" w:space="0" w:color="auto"/>
            </w:tcBorders>
            <w:shd w:val="clear" w:color="auto" w:fill="D3DFEE"/>
          </w:tcPr>
          <w:p w:rsidR="00BC07CA" w:rsidRPr="00EF7E42" w:rsidRDefault="00BC07CA" w:rsidP="00425868">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EF7E42">
              <w:rPr>
                <w:rFonts w:cs="Arial"/>
                <w:color w:val="000000"/>
                <w:sz w:val="20"/>
                <w:szCs w:val="20"/>
                <w:lang w:eastAsia="en-GB"/>
              </w:rPr>
              <w:t>With 5% market share of RTE cassava chips applied</w:t>
            </w:r>
          </w:p>
        </w:tc>
        <w:tc>
          <w:tcPr>
            <w:tcW w:w="698" w:type="pct"/>
            <w:tcBorders>
              <w:top w:val="nil"/>
              <w:left w:val="none" w:sz="0" w:space="0" w:color="auto"/>
              <w:right w:val="none" w:sz="0" w:space="0" w:color="auto"/>
            </w:tcBorders>
            <w:shd w:val="clear" w:color="auto" w:fill="D3DFEE"/>
            <w:noWrap/>
          </w:tcPr>
          <w:p w:rsidR="00BC07CA" w:rsidRPr="00EF7E42" w:rsidRDefault="00BC07CA"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EF7E42">
              <w:rPr>
                <w:rFonts w:cs="Arial"/>
                <w:color w:val="000000"/>
                <w:sz w:val="20"/>
                <w:szCs w:val="20"/>
                <w:lang w:eastAsia="en-GB"/>
              </w:rPr>
              <w:t>1.0</w:t>
            </w:r>
          </w:p>
        </w:tc>
        <w:tc>
          <w:tcPr>
            <w:tcW w:w="699" w:type="pct"/>
            <w:tcBorders>
              <w:top w:val="nil"/>
              <w:left w:val="none" w:sz="0" w:space="0" w:color="auto"/>
              <w:right w:val="none" w:sz="0" w:space="0" w:color="auto"/>
            </w:tcBorders>
            <w:shd w:val="clear" w:color="auto" w:fill="D3DFEE"/>
            <w:noWrap/>
          </w:tcPr>
          <w:p w:rsidR="00BC07CA" w:rsidRPr="00EF7E42" w:rsidRDefault="00BC07CA"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EF7E42">
              <w:rPr>
                <w:rFonts w:cs="Arial"/>
                <w:color w:val="000000"/>
                <w:sz w:val="20"/>
                <w:szCs w:val="20"/>
                <w:lang w:eastAsia="en-GB"/>
              </w:rPr>
              <w:t>1.4</w:t>
            </w:r>
          </w:p>
        </w:tc>
        <w:tc>
          <w:tcPr>
            <w:tcW w:w="560" w:type="pct"/>
            <w:tcBorders>
              <w:top w:val="nil"/>
              <w:left w:val="none" w:sz="0" w:space="0" w:color="auto"/>
            </w:tcBorders>
            <w:shd w:val="clear" w:color="auto" w:fill="D3DFEE"/>
            <w:noWrap/>
          </w:tcPr>
          <w:p w:rsidR="00BC07CA" w:rsidRPr="00EF7E42" w:rsidRDefault="00BC07CA"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EF7E42">
              <w:rPr>
                <w:rFonts w:cs="Arial"/>
                <w:color w:val="000000"/>
                <w:sz w:val="20"/>
                <w:szCs w:val="20"/>
                <w:lang w:eastAsia="en-GB"/>
              </w:rPr>
              <w:t>NA</w:t>
            </w:r>
          </w:p>
        </w:tc>
      </w:tr>
      <w:tr w:rsidR="00BC07CA" w:rsidRPr="00EF7E42" w:rsidTr="00425868">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49" w:type="pct"/>
            <w:vMerge w:val="restart"/>
            <w:tcBorders>
              <w:right w:val="none" w:sz="0" w:space="0" w:color="auto"/>
            </w:tcBorders>
            <w:shd w:val="clear" w:color="auto" w:fill="auto"/>
            <w:noWrap/>
            <w:hideMark/>
          </w:tcPr>
          <w:p w:rsidR="00BC07CA" w:rsidRPr="00EF7E42" w:rsidRDefault="00BC07CA" w:rsidP="00425868">
            <w:pPr>
              <w:rPr>
                <w:rFonts w:cs="Arial"/>
                <w:color w:val="000000"/>
                <w:sz w:val="20"/>
                <w:szCs w:val="20"/>
                <w:lang w:eastAsia="en-GB"/>
              </w:rPr>
            </w:pPr>
            <w:r w:rsidRPr="00EF7E42">
              <w:rPr>
                <w:rFonts w:cs="Arial"/>
                <w:color w:val="000000"/>
                <w:sz w:val="20"/>
                <w:szCs w:val="20"/>
                <w:lang w:eastAsia="en-GB"/>
              </w:rPr>
              <w:t>New Zealand</w:t>
            </w:r>
          </w:p>
        </w:tc>
        <w:tc>
          <w:tcPr>
            <w:tcW w:w="449" w:type="pct"/>
            <w:vMerge w:val="restart"/>
            <w:tcBorders>
              <w:left w:val="none" w:sz="0" w:space="0" w:color="auto"/>
              <w:right w:val="none" w:sz="0" w:space="0" w:color="auto"/>
            </w:tcBorders>
            <w:shd w:val="clear" w:color="auto" w:fill="auto"/>
            <w:noWrap/>
            <w:hideMark/>
          </w:tcPr>
          <w:p w:rsidR="00BC07CA" w:rsidRPr="00EF7E42" w:rsidRDefault="00BC07CA"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EF7E42">
              <w:rPr>
                <w:rFonts w:cs="Arial"/>
                <w:color w:val="000000"/>
                <w:sz w:val="20"/>
                <w:szCs w:val="20"/>
                <w:lang w:eastAsia="en-GB"/>
              </w:rPr>
              <w:t>165</w:t>
            </w:r>
          </w:p>
        </w:tc>
        <w:tc>
          <w:tcPr>
            <w:tcW w:w="548" w:type="pct"/>
            <w:vMerge w:val="restart"/>
            <w:tcBorders>
              <w:left w:val="none" w:sz="0" w:space="0" w:color="auto"/>
              <w:right w:val="none" w:sz="0" w:space="0" w:color="auto"/>
            </w:tcBorders>
            <w:shd w:val="clear" w:color="auto" w:fill="auto"/>
            <w:noWrap/>
            <w:hideMark/>
          </w:tcPr>
          <w:p w:rsidR="00BC07CA" w:rsidRPr="00EF7E42" w:rsidRDefault="00BC07CA"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EF7E42">
              <w:rPr>
                <w:rFonts w:cs="Arial"/>
                <w:color w:val="000000"/>
                <w:sz w:val="20"/>
                <w:szCs w:val="20"/>
                <w:lang w:eastAsia="en-GB"/>
              </w:rPr>
              <w:t>93</w:t>
            </w:r>
            <w:r>
              <w:rPr>
                <w:rFonts w:cs="Arial"/>
                <w:color w:val="000000"/>
                <w:sz w:val="20"/>
                <w:szCs w:val="20"/>
                <w:lang w:eastAsia="en-GB"/>
              </w:rPr>
              <w:t xml:space="preserve"> </w:t>
            </w:r>
            <w:r w:rsidRPr="00EF7E42">
              <w:rPr>
                <w:rFonts w:cs="Arial"/>
                <w:color w:val="000000"/>
                <w:sz w:val="20"/>
                <w:szCs w:val="20"/>
                <w:lang w:eastAsia="en-GB"/>
              </w:rPr>
              <w:t>(56)</w:t>
            </w:r>
          </w:p>
        </w:tc>
        <w:tc>
          <w:tcPr>
            <w:tcW w:w="449" w:type="pct"/>
            <w:vMerge w:val="restart"/>
            <w:tcBorders>
              <w:left w:val="none" w:sz="0" w:space="0" w:color="auto"/>
              <w:right w:val="none" w:sz="0" w:space="0" w:color="auto"/>
            </w:tcBorders>
            <w:shd w:val="clear" w:color="auto" w:fill="auto"/>
            <w:noWrap/>
            <w:hideMark/>
          </w:tcPr>
          <w:p w:rsidR="00BC07CA" w:rsidRPr="00EF7E42" w:rsidRDefault="00BC07CA"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EF7E42">
              <w:rPr>
                <w:rFonts w:cs="Arial"/>
                <w:color w:val="000000"/>
                <w:sz w:val="20"/>
                <w:szCs w:val="20"/>
                <w:lang w:eastAsia="en-GB"/>
              </w:rPr>
              <w:t>9 and 10</w:t>
            </w:r>
          </w:p>
        </w:tc>
        <w:tc>
          <w:tcPr>
            <w:tcW w:w="1048" w:type="pct"/>
            <w:tcBorders>
              <w:left w:val="none" w:sz="0" w:space="0" w:color="auto"/>
              <w:bottom w:val="nil"/>
              <w:right w:val="none" w:sz="0" w:space="0" w:color="auto"/>
            </w:tcBorders>
            <w:shd w:val="clear" w:color="auto" w:fill="auto"/>
          </w:tcPr>
          <w:p w:rsidR="00BC07CA" w:rsidRPr="00EF7E42" w:rsidRDefault="00BC07CA" w:rsidP="00425868">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EF7E42">
              <w:rPr>
                <w:rFonts w:cs="Arial"/>
                <w:color w:val="000000"/>
                <w:sz w:val="20"/>
                <w:szCs w:val="20"/>
                <w:lang w:eastAsia="en-GB"/>
              </w:rPr>
              <w:t>Actual survey data</w:t>
            </w:r>
          </w:p>
        </w:tc>
        <w:tc>
          <w:tcPr>
            <w:tcW w:w="698" w:type="pct"/>
            <w:tcBorders>
              <w:left w:val="none" w:sz="0" w:space="0" w:color="auto"/>
              <w:bottom w:val="nil"/>
              <w:right w:val="none" w:sz="0" w:space="0" w:color="auto"/>
            </w:tcBorders>
            <w:shd w:val="clear" w:color="auto" w:fill="auto"/>
            <w:noWrap/>
            <w:hideMark/>
          </w:tcPr>
          <w:p w:rsidR="00BC07CA" w:rsidRPr="00EF7E42" w:rsidRDefault="00BC07CA"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EF7E42">
              <w:rPr>
                <w:rFonts w:cs="Arial"/>
                <w:color w:val="000000"/>
                <w:sz w:val="20"/>
                <w:szCs w:val="20"/>
                <w:lang w:eastAsia="en-GB"/>
              </w:rPr>
              <w:t>18.1</w:t>
            </w:r>
          </w:p>
        </w:tc>
        <w:tc>
          <w:tcPr>
            <w:tcW w:w="699" w:type="pct"/>
            <w:tcBorders>
              <w:left w:val="none" w:sz="0" w:space="0" w:color="auto"/>
              <w:bottom w:val="nil"/>
              <w:right w:val="none" w:sz="0" w:space="0" w:color="auto"/>
            </w:tcBorders>
            <w:shd w:val="clear" w:color="auto" w:fill="auto"/>
            <w:noWrap/>
            <w:hideMark/>
          </w:tcPr>
          <w:p w:rsidR="00BC07CA" w:rsidRPr="00EF7E42" w:rsidRDefault="00BC07CA"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EF7E42">
              <w:rPr>
                <w:rFonts w:cs="Arial"/>
                <w:color w:val="000000"/>
                <w:sz w:val="20"/>
                <w:szCs w:val="20"/>
                <w:lang w:eastAsia="en-GB"/>
              </w:rPr>
              <w:t>23.4</w:t>
            </w:r>
          </w:p>
        </w:tc>
        <w:tc>
          <w:tcPr>
            <w:tcW w:w="560" w:type="pct"/>
            <w:tcBorders>
              <w:left w:val="none" w:sz="0" w:space="0" w:color="auto"/>
              <w:bottom w:val="nil"/>
            </w:tcBorders>
            <w:shd w:val="clear" w:color="auto" w:fill="auto"/>
            <w:noWrap/>
            <w:hideMark/>
          </w:tcPr>
          <w:p w:rsidR="00BC07CA" w:rsidRPr="00EF7E42" w:rsidRDefault="00BC07CA" w:rsidP="00425868">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EF7E42">
              <w:rPr>
                <w:rFonts w:cs="Arial"/>
                <w:color w:val="000000"/>
                <w:sz w:val="20"/>
                <w:szCs w:val="20"/>
                <w:lang w:eastAsia="en-GB"/>
              </w:rPr>
              <w:t>360</w:t>
            </w:r>
          </w:p>
        </w:tc>
      </w:tr>
      <w:tr w:rsidR="00BC07CA" w:rsidRPr="00EF7E42" w:rsidTr="004258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49" w:type="pct"/>
            <w:vMerge/>
            <w:tcBorders>
              <w:right w:val="none" w:sz="0" w:space="0" w:color="auto"/>
            </w:tcBorders>
            <w:shd w:val="clear" w:color="auto" w:fill="auto"/>
            <w:noWrap/>
          </w:tcPr>
          <w:p w:rsidR="00BC07CA" w:rsidRPr="00EF7E42" w:rsidRDefault="00BC07CA" w:rsidP="00425868">
            <w:pPr>
              <w:rPr>
                <w:rFonts w:cs="Arial"/>
                <w:color w:val="000000"/>
                <w:sz w:val="20"/>
                <w:szCs w:val="20"/>
                <w:lang w:eastAsia="en-GB"/>
              </w:rPr>
            </w:pPr>
          </w:p>
        </w:tc>
        <w:tc>
          <w:tcPr>
            <w:tcW w:w="449" w:type="pct"/>
            <w:vMerge/>
            <w:tcBorders>
              <w:left w:val="none" w:sz="0" w:space="0" w:color="auto"/>
              <w:right w:val="none" w:sz="0" w:space="0" w:color="auto"/>
            </w:tcBorders>
            <w:shd w:val="clear" w:color="auto" w:fill="auto"/>
            <w:noWrap/>
          </w:tcPr>
          <w:p w:rsidR="00BC07CA" w:rsidRPr="00EF7E42" w:rsidRDefault="00BC07CA"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p>
        </w:tc>
        <w:tc>
          <w:tcPr>
            <w:tcW w:w="548" w:type="pct"/>
            <w:vMerge/>
            <w:tcBorders>
              <w:left w:val="none" w:sz="0" w:space="0" w:color="auto"/>
              <w:right w:val="none" w:sz="0" w:space="0" w:color="auto"/>
            </w:tcBorders>
            <w:shd w:val="clear" w:color="auto" w:fill="auto"/>
            <w:noWrap/>
          </w:tcPr>
          <w:p w:rsidR="00BC07CA" w:rsidRPr="00EF7E42" w:rsidRDefault="00BC07CA"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p>
        </w:tc>
        <w:tc>
          <w:tcPr>
            <w:tcW w:w="449" w:type="pct"/>
            <w:vMerge/>
            <w:tcBorders>
              <w:left w:val="none" w:sz="0" w:space="0" w:color="auto"/>
              <w:right w:val="none" w:sz="0" w:space="0" w:color="auto"/>
            </w:tcBorders>
            <w:shd w:val="clear" w:color="auto" w:fill="auto"/>
            <w:noWrap/>
          </w:tcPr>
          <w:p w:rsidR="00BC07CA" w:rsidRPr="00EF7E42" w:rsidRDefault="00BC07CA"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p>
        </w:tc>
        <w:tc>
          <w:tcPr>
            <w:tcW w:w="1048" w:type="pct"/>
            <w:tcBorders>
              <w:top w:val="nil"/>
              <w:left w:val="none" w:sz="0" w:space="0" w:color="auto"/>
              <w:right w:val="none" w:sz="0" w:space="0" w:color="auto"/>
            </w:tcBorders>
            <w:shd w:val="clear" w:color="auto" w:fill="auto"/>
          </w:tcPr>
          <w:p w:rsidR="00BC07CA" w:rsidRPr="00EF7E42" w:rsidRDefault="00BC07CA" w:rsidP="00425868">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EF7E42">
              <w:rPr>
                <w:rFonts w:cs="Arial"/>
                <w:color w:val="000000"/>
                <w:sz w:val="20"/>
                <w:szCs w:val="20"/>
                <w:lang w:eastAsia="en-GB"/>
              </w:rPr>
              <w:t>With 5% market share of RTE cassava chips applied</w:t>
            </w:r>
          </w:p>
        </w:tc>
        <w:tc>
          <w:tcPr>
            <w:tcW w:w="698" w:type="pct"/>
            <w:tcBorders>
              <w:top w:val="nil"/>
              <w:left w:val="none" w:sz="0" w:space="0" w:color="auto"/>
              <w:right w:val="none" w:sz="0" w:space="0" w:color="auto"/>
            </w:tcBorders>
            <w:shd w:val="clear" w:color="auto" w:fill="auto"/>
            <w:noWrap/>
          </w:tcPr>
          <w:p w:rsidR="00BC07CA" w:rsidRPr="00EF7E42" w:rsidRDefault="00BC07CA"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EF7E42">
              <w:rPr>
                <w:rFonts w:cs="Arial"/>
                <w:color w:val="000000"/>
                <w:sz w:val="20"/>
                <w:szCs w:val="20"/>
                <w:lang w:eastAsia="en-GB"/>
              </w:rPr>
              <w:t>0.9</w:t>
            </w:r>
          </w:p>
        </w:tc>
        <w:tc>
          <w:tcPr>
            <w:tcW w:w="699" w:type="pct"/>
            <w:tcBorders>
              <w:top w:val="nil"/>
              <w:left w:val="none" w:sz="0" w:space="0" w:color="auto"/>
              <w:right w:val="none" w:sz="0" w:space="0" w:color="auto"/>
            </w:tcBorders>
            <w:shd w:val="clear" w:color="auto" w:fill="auto"/>
            <w:noWrap/>
          </w:tcPr>
          <w:p w:rsidR="00BC07CA" w:rsidRPr="00EF7E42" w:rsidRDefault="00BC07CA"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EF7E42">
              <w:rPr>
                <w:rFonts w:cs="Arial"/>
                <w:color w:val="000000"/>
                <w:sz w:val="20"/>
                <w:szCs w:val="20"/>
                <w:lang w:eastAsia="en-GB"/>
              </w:rPr>
              <w:t>1.2</w:t>
            </w:r>
          </w:p>
        </w:tc>
        <w:tc>
          <w:tcPr>
            <w:tcW w:w="560" w:type="pct"/>
            <w:tcBorders>
              <w:top w:val="nil"/>
              <w:left w:val="none" w:sz="0" w:space="0" w:color="auto"/>
            </w:tcBorders>
            <w:shd w:val="clear" w:color="auto" w:fill="auto"/>
            <w:noWrap/>
          </w:tcPr>
          <w:p w:rsidR="00BC07CA" w:rsidRPr="00EF7E42" w:rsidRDefault="00BC07CA" w:rsidP="00425868">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EF7E42">
              <w:rPr>
                <w:rFonts w:cs="Arial"/>
                <w:color w:val="000000"/>
                <w:sz w:val="20"/>
                <w:szCs w:val="20"/>
                <w:lang w:eastAsia="en-GB"/>
              </w:rPr>
              <w:t>NA</w:t>
            </w:r>
          </w:p>
        </w:tc>
      </w:tr>
    </w:tbl>
    <w:p w:rsidR="00BC07CA" w:rsidRPr="00EF7E42" w:rsidRDefault="00BC07CA" w:rsidP="00BC0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rPr>
      </w:pPr>
      <w:r w:rsidRPr="00EF7E42">
        <w:rPr>
          <w:rFonts w:cs="Arial"/>
          <w:sz w:val="18"/>
        </w:rPr>
        <w:t>* Reported for information, not used in acute dietary exposure assessment as an acute assessment was not required for RTE cassava chips.</w:t>
      </w:r>
    </w:p>
    <w:p w:rsidR="00742772" w:rsidRPr="003B65E6" w:rsidRDefault="00742772" w:rsidP="00742772">
      <w:pPr>
        <w:pStyle w:val="ListParagraph"/>
        <w:ind w:left="0"/>
        <w:rPr>
          <w:rFonts w:ascii="Arial" w:hAnsi="Arial" w:cs="Arial"/>
          <w:sz w:val="18"/>
          <w:szCs w:val="18"/>
        </w:rPr>
        <w:sectPr w:rsidR="00742772" w:rsidRPr="003B65E6" w:rsidSect="00E11362">
          <w:pgSz w:w="16838" w:h="11906" w:orient="landscape"/>
          <w:pgMar w:top="1134" w:right="1134" w:bottom="1134" w:left="1134" w:header="680" w:footer="680" w:gutter="0"/>
          <w:cols w:space="708"/>
          <w:docGrid w:linePitch="360"/>
        </w:sectPr>
      </w:pPr>
    </w:p>
    <w:p w:rsidR="00D33562" w:rsidRDefault="00D33562" w:rsidP="00D33562">
      <w:pPr>
        <w:pStyle w:val="Heading1"/>
      </w:pPr>
      <w:bookmarkStart w:id="204" w:name="_Appendix_4._Consumption"/>
      <w:bookmarkStart w:id="205" w:name="_Ref359759717"/>
      <w:bookmarkStart w:id="206" w:name="_Toc360111855"/>
      <w:bookmarkStart w:id="207" w:name="_Toc367362494"/>
      <w:bookmarkStart w:id="208" w:name="_Toc367957666"/>
      <w:bookmarkStart w:id="209" w:name="_Toc367957765"/>
      <w:bookmarkStart w:id="210" w:name="_Toc384293543"/>
      <w:bookmarkStart w:id="211" w:name="_Ref359612591"/>
      <w:bookmarkEnd w:id="190"/>
      <w:bookmarkEnd w:id="191"/>
      <w:bookmarkEnd w:id="192"/>
      <w:bookmarkEnd w:id="193"/>
      <w:bookmarkEnd w:id="199"/>
      <w:bookmarkEnd w:id="200"/>
      <w:bookmarkEnd w:id="204"/>
      <w:r>
        <w:lastRenderedPageBreak/>
        <w:t xml:space="preserve">Appendix </w:t>
      </w:r>
      <w:bookmarkEnd w:id="205"/>
      <w:r w:rsidR="00860EF0">
        <w:t>7</w:t>
      </w:r>
      <w:r>
        <w:t>. Consumption data - additional information about specific foods</w:t>
      </w:r>
      <w:bookmarkEnd w:id="206"/>
      <w:bookmarkEnd w:id="207"/>
      <w:bookmarkEnd w:id="208"/>
      <w:bookmarkEnd w:id="209"/>
      <w:bookmarkEnd w:id="210"/>
    </w:p>
    <w:p w:rsidR="00DE20F7" w:rsidRDefault="00DE20F7" w:rsidP="00DE20F7"/>
    <w:p w:rsidR="00D33562" w:rsidRPr="00DE20F7" w:rsidRDefault="00D33562" w:rsidP="00DE20F7">
      <w:pPr>
        <w:rPr>
          <w:i/>
        </w:rPr>
      </w:pPr>
      <w:r w:rsidRPr="00DE20F7">
        <w:rPr>
          <w:i/>
        </w:rPr>
        <w:t>Apricot kernels</w:t>
      </w:r>
    </w:p>
    <w:p w:rsidR="00D409CA" w:rsidRDefault="00901F71" w:rsidP="00D409CA">
      <w:pPr>
        <w:rPr>
          <w:rFonts w:cs="Arial"/>
          <w:szCs w:val="22"/>
        </w:rPr>
      </w:pPr>
      <w:r>
        <w:rPr>
          <w:rFonts w:cs="Arial"/>
          <w:szCs w:val="22"/>
        </w:rPr>
        <w:t>Raw a</w:t>
      </w:r>
      <w:r w:rsidR="00D33562" w:rsidRPr="000C75D3">
        <w:rPr>
          <w:rFonts w:cs="Arial"/>
          <w:szCs w:val="22"/>
        </w:rPr>
        <w:t>pricot kernels were not consumed in any of the NNSs used by FSANZ for conducting dietary exposure assessments.</w:t>
      </w:r>
      <w:r w:rsidR="003C5D70">
        <w:rPr>
          <w:rFonts w:cs="Arial"/>
          <w:szCs w:val="22"/>
        </w:rPr>
        <w:t xml:space="preserve"> </w:t>
      </w:r>
      <w:r w:rsidR="00D409CA">
        <w:rPr>
          <w:rFonts w:cs="Arial"/>
          <w:szCs w:val="22"/>
        </w:rPr>
        <w:t xml:space="preserve">Therefore, </w:t>
      </w:r>
      <w:r w:rsidR="00254308">
        <w:rPr>
          <w:rFonts w:cs="Arial"/>
          <w:szCs w:val="22"/>
        </w:rPr>
        <w:t xml:space="preserve">the chronic dietary exposure assessment did not include raw apricot kernels and </w:t>
      </w:r>
      <w:r w:rsidR="00D409CA">
        <w:rPr>
          <w:rFonts w:cs="Arial"/>
          <w:szCs w:val="22"/>
        </w:rPr>
        <w:t>the</w:t>
      </w:r>
      <w:r w:rsidR="00D409CA" w:rsidRPr="000C75D3">
        <w:rPr>
          <w:rFonts w:cs="Arial"/>
          <w:szCs w:val="22"/>
        </w:rPr>
        <w:t xml:space="preserve"> </w:t>
      </w:r>
      <w:r w:rsidR="00254308">
        <w:rPr>
          <w:rFonts w:cs="Arial"/>
          <w:szCs w:val="22"/>
        </w:rPr>
        <w:t xml:space="preserve">acute dietary exposure </w:t>
      </w:r>
      <w:r w:rsidR="00D409CA">
        <w:rPr>
          <w:rFonts w:cs="Arial"/>
          <w:szCs w:val="22"/>
        </w:rPr>
        <w:t xml:space="preserve">assessment was based on estimated consumption </w:t>
      </w:r>
      <w:r w:rsidR="00D409CA" w:rsidRPr="000C75D3">
        <w:rPr>
          <w:rFonts w:cs="Arial"/>
          <w:szCs w:val="22"/>
        </w:rPr>
        <w:t>amount</w:t>
      </w:r>
      <w:r w:rsidR="00D409CA">
        <w:rPr>
          <w:rFonts w:cs="Arial"/>
          <w:szCs w:val="22"/>
        </w:rPr>
        <w:t>s from</w:t>
      </w:r>
      <w:r w:rsidR="00D409CA" w:rsidRPr="00D409CA">
        <w:t xml:space="preserve"> </w:t>
      </w:r>
      <w:r w:rsidR="00D409CA" w:rsidRPr="00D409CA">
        <w:rPr>
          <w:rFonts w:cs="Arial"/>
          <w:szCs w:val="22"/>
        </w:rPr>
        <w:t xml:space="preserve">recommended serve sizes as provided by websites associated with the product and from what FSANZ had previously considered to be safe. </w:t>
      </w:r>
      <w:r w:rsidR="002B5904">
        <w:rPr>
          <w:rFonts w:cs="Arial"/>
          <w:szCs w:val="22"/>
          <w:lang w:val="en-GB"/>
        </w:rPr>
        <w:t>A</w:t>
      </w:r>
      <w:r w:rsidR="002B5904" w:rsidRPr="009C19E9">
        <w:rPr>
          <w:rFonts w:cs="Arial"/>
          <w:szCs w:val="22"/>
          <w:lang w:val="en-GB"/>
        </w:rPr>
        <w:t xml:space="preserve">n estimation of the maximum number of raw apricot kernels that could be consumed before exceeding the ARfD was </w:t>
      </w:r>
      <w:r w:rsidR="002B5904">
        <w:rPr>
          <w:rFonts w:cs="Arial"/>
          <w:szCs w:val="22"/>
          <w:lang w:val="en-GB"/>
        </w:rPr>
        <w:t>also</w:t>
      </w:r>
      <w:r w:rsidR="002B5904" w:rsidRPr="009C19E9">
        <w:rPr>
          <w:rFonts w:cs="Arial"/>
          <w:szCs w:val="22"/>
          <w:lang w:val="en-GB"/>
        </w:rPr>
        <w:t xml:space="preserve"> undertaken for this product, for both adults and children</w:t>
      </w:r>
    </w:p>
    <w:p w:rsidR="00D409CA" w:rsidRDefault="00D409CA" w:rsidP="00D409CA">
      <w:pPr>
        <w:rPr>
          <w:rFonts w:cs="Arial"/>
          <w:szCs w:val="22"/>
        </w:rPr>
      </w:pPr>
    </w:p>
    <w:p w:rsidR="003C5D70" w:rsidRDefault="00D409CA" w:rsidP="00D33562">
      <w:pPr>
        <w:rPr>
          <w:rFonts w:cs="Arial"/>
          <w:szCs w:val="22"/>
        </w:rPr>
      </w:pPr>
      <w:r>
        <w:rPr>
          <w:rFonts w:cs="Arial"/>
          <w:szCs w:val="22"/>
        </w:rPr>
        <w:t xml:space="preserve">Advice on the FSANZ website indicates that </w:t>
      </w:r>
      <w:r w:rsidRPr="000C75D3">
        <w:rPr>
          <w:rFonts w:cs="Arial"/>
          <w:szCs w:val="22"/>
        </w:rPr>
        <w:t>adults should not consume more than 4 kernels per day</w:t>
      </w:r>
      <w:r>
        <w:rPr>
          <w:rFonts w:cs="Arial"/>
          <w:szCs w:val="22"/>
        </w:rPr>
        <w:t xml:space="preserve"> and this used as one consumption amount. Advice on the FSANZ website also indicates that children</w:t>
      </w:r>
      <w:r w:rsidR="003C5D70">
        <w:rPr>
          <w:rFonts w:cs="Arial"/>
          <w:szCs w:val="22"/>
        </w:rPr>
        <w:t xml:space="preserve"> should not consume any</w:t>
      </w:r>
      <w:r w:rsidR="006B1EAF">
        <w:rPr>
          <w:rFonts w:cs="Arial"/>
          <w:szCs w:val="22"/>
        </w:rPr>
        <w:t xml:space="preserve"> apricot kernels</w:t>
      </w:r>
      <w:r w:rsidR="003C5D70">
        <w:rPr>
          <w:rFonts w:cs="Arial"/>
          <w:szCs w:val="22"/>
        </w:rPr>
        <w:t xml:space="preserve"> </w:t>
      </w:r>
      <w:r w:rsidR="003C5D70" w:rsidRPr="000C75D3">
        <w:rPr>
          <w:rFonts w:cs="Arial"/>
          <w:szCs w:val="22"/>
        </w:rPr>
        <w:t>(FSANZ, 2011)</w:t>
      </w:r>
      <w:r>
        <w:rPr>
          <w:rFonts w:cs="Arial"/>
          <w:szCs w:val="22"/>
        </w:rPr>
        <w:t xml:space="preserve"> and so an equivalent consumption amount for children was not determined</w:t>
      </w:r>
      <w:r w:rsidR="003C5D70">
        <w:rPr>
          <w:rFonts w:cs="Arial"/>
          <w:szCs w:val="22"/>
        </w:rPr>
        <w:t>.</w:t>
      </w:r>
    </w:p>
    <w:p w:rsidR="003C5D70" w:rsidRDefault="003C5D70" w:rsidP="00D33562">
      <w:pPr>
        <w:rPr>
          <w:rFonts w:cs="Arial"/>
          <w:szCs w:val="22"/>
        </w:rPr>
      </w:pPr>
    </w:p>
    <w:p w:rsidR="00793343" w:rsidRDefault="00D409CA" w:rsidP="00D33562">
      <w:pPr>
        <w:rPr>
          <w:rFonts w:cs="Arial"/>
          <w:szCs w:val="22"/>
        </w:rPr>
      </w:pPr>
      <w:r>
        <w:rPr>
          <w:rFonts w:cs="Arial"/>
          <w:szCs w:val="22"/>
        </w:rPr>
        <w:t>A</w:t>
      </w:r>
      <w:r w:rsidR="00D33562" w:rsidRPr="000C75D3">
        <w:rPr>
          <w:rFonts w:cs="Arial"/>
          <w:szCs w:val="22"/>
        </w:rPr>
        <w:t xml:space="preserve">dvice on the internet </w:t>
      </w:r>
      <w:r w:rsidR="00CD1C5F">
        <w:rPr>
          <w:rFonts w:cs="Arial"/>
          <w:szCs w:val="22"/>
        </w:rPr>
        <w:t xml:space="preserve">from companies selling apricot kernels </w:t>
      </w:r>
      <w:r w:rsidR="00D33562" w:rsidRPr="000C75D3">
        <w:rPr>
          <w:rFonts w:cs="Arial"/>
          <w:szCs w:val="22"/>
        </w:rPr>
        <w:t xml:space="preserve">recommends higher consumption amounts. </w:t>
      </w:r>
      <w:r w:rsidR="00793343">
        <w:rPr>
          <w:rFonts w:cs="Arial"/>
          <w:szCs w:val="22"/>
        </w:rPr>
        <w:t xml:space="preserve">Recommended consumption amounts range from </w:t>
      </w:r>
      <w:r w:rsidR="00D33562" w:rsidRPr="000C75D3">
        <w:rPr>
          <w:rFonts w:cs="Arial"/>
          <w:szCs w:val="22"/>
        </w:rPr>
        <w:t>1 to 2 kernels per 10 pounds (4.5 kg) of body weight (Nu-Gen Nutrition, 2013a; Apricot Seeds Australia, 2013)</w:t>
      </w:r>
      <w:r w:rsidR="00793343">
        <w:rPr>
          <w:rFonts w:cs="Arial"/>
          <w:szCs w:val="22"/>
        </w:rPr>
        <w:t xml:space="preserve">; and </w:t>
      </w:r>
      <w:r w:rsidR="00D33562" w:rsidRPr="000C75D3">
        <w:rPr>
          <w:rFonts w:cs="Arial"/>
          <w:szCs w:val="22"/>
        </w:rPr>
        <w:t xml:space="preserve">1 kernel per 5 kg body weight, 3 times per day (b17, 2013). For Australians 17 years and </w:t>
      </w:r>
      <w:r w:rsidR="00C317BB" w:rsidRPr="000C75D3">
        <w:rPr>
          <w:rFonts w:cs="Arial"/>
          <w:szCs w:val="22"/>
        </w:rPr>
        <w:t>over</w:t>
      </w:r>
      <w:r w:rsidR="00D33562" w:rsidRPr="000C75D3">
        <w:rPr>
          <w:rFonts w:cs="Arial"/>
          <w:szCs w:val="22"/>
        </w:rPr>
        <w:t>, the mean body weight is 74 kg (see</w:t>
      </w:r>
      <w:r w:rsidR="00793343">
        <w:rPr>
          <w:rFonts w:cs="Arial"/>
          <w:szCs w:val="22"/>
        </w:rPr>
        <w:t xml:space="preserve"> Table 11</w:t>
      </w:r>
      <w:r w:rsidR="00D33562" w:rsidRPr="000C75D3">
        <w:rPr>
          <w:rFonts w:cs="Arial"/>
          <w:szCs w:val="22"/>
        </w:rPr>
        <w:t xml:space="preserve">). </w:t>
      </w:r>
      <w:r w:rsidR="00793343">
        <w:rPr>
          <w:rFonts w:cs="Arial"/>
          <w:szCs w:val="22"/>
        </w:rPr>
        <w:t>A second consumption value was calculated</w:t>
      </w:r>
      <w:r>
        <w:rPr>
          <w:rFonts w:cs="Arial"/>
          <w:szCs w:val="22"/>
        </w:rPr>
        <w:t xml:space="preserve"> for adults</w:t>
      </w:r>
      <w:r w:rsidR="00793343">
        <w:rPr>
          <w:rFonts w:cs="Arial"/>
          <w:szCs w:val="22"/>
        </w:rPr>
        <w:t>, b</w:t>
      </w:r>
      <w:r w:rsidR="00D33562" w:rsidRPr="000C75D3">
        <w:rPr>
          <w:rFonts w:cs="Arial"/>
          <w:szCs w:val="22"/>
        </w:rPr>
        <w:t>ased on 2 kernels per 4.5 kg body weight</w:t>
      </w:r>
      <w:r w:rsidR="006B1EAF">
        <w:rPr>
          <w:rFonts w:cs="Arial"/>
          <w:szCs w:val="22"/>
        </w:rPr>
        <w:t>, for a body weight of 74 kg</w:t>
      </w:r>
      <w:r w:rsidR="00793343">
        <w:rPr>
          <w:rFonts w:cs="Arial"/>
          <w:szCs w:val="22"/>
        </w:rPr>
        <w:t>. On this basis</w:t>
      </w:r>
      <w:r w:rsidR="00D33562" w:rsidRPr="000C75D3">
        <w:rPr>
          <w:rFonts w:cs="Arial"/>
          <w:szCs w:val="22"/>
        </w:rPr>
        <w:t xml:space="preserve">, </w:t>
      </w:r>
      <w:r w:rsidR="006B1EAF">
        <w:rPr>
          <w:rFonts w:cs="Arial"/>
          <w:szCs w:val="22"/>
        </w:rPr>
        <w:t xml:space="preserve">the </w:t>
      </w:r>
      <w:r w:rsidR="00D33562" w:rsidRPr="000C75D3">
        <w:rPr>
          <w:rFonts w:cs="Arial"/>
          <w:szCs w:val="22"/>
        </w:rPr>
        <w:t xml:space="preserve">consumption </w:t>
      </w:r>
      <w:r w:rsidR="006B1EAF">
        <w:rPr>
          <w:rFonts w:cs="Arial"/>
          <w:szCs w:val="22"/>
        </w:rPr>
        <w:t>value was approximately</w:t>
      </w:r>
      <w:r w:rsidR="00D33562" w:rsidRPr="000C75D3">
        <w:rPr>
          <w:rFonts w:cs="Arial"/>
          <w:szCs w:val="22"/>
        </w:rPr>
        <w:t xml:space="preserve"> 32 kernels per day. </w:t>
      </w:r>
    </w:p>
    <w:p w:rsidR="00793343" w:rsidRDefault="00793343" w:rsidP="00D33562">
      <w:pPr>
        <w:rPr>
          <w:rFonts w:cs="Arial"/>
          <w:szCs w:val="22"/>
        </w:rPr>
      </w:pPr>
    </w:p>
    <w:p w:rsidR="00D33562" w:rsidRPr="000C75D3" w:rsidRDefault="00D33562" w:rsidP="00D33562">
      <w:pPr>
        <w:rPr>
          <w:rFonts w:cs="Arial"/>
          <w:szCs w:val="22"/>
        </w:rPr>
      </w:pPr>
      <w:r w:rsidRPr="000C75D3">
        <w:rPr>
          <w:rFonts w:cs="Arial"/>
          <w:szCs w:val="22"/>
        </w:rPr>
        <w:t xml:space="preserve">The weight of one kernel </w:t>
      </w:r>
      <w:r w:rsidR="00793343">
        <w:rPr>
          <w:rFonts w:cs="Arial"/>
          <w:szCs w:val="22"/>
        </w:rPr>
        <w:t xml:space="preserve">was calculated </w:t>
      </w:r>
      <w:r w:rsidRPr="000C75D3">
        <w:rPr>
          <w:rFonts w:cs="Arial"/>
          <w:szCs w:val="22"/>
        </w:rPr>
        <w:t xml:space="preserve">to </w:t>
      </w:r>
      <w:r w:rsidR="006B1EAF">
        <w:rPr>
          <w:rFonts w:cs="Arial"/>
          <w:szCs w:val="22"/>
        </w:rPr>
        <w:t xml:space="preserve">translate </w:t>
      </w:r>
      <w:r w:rsidR="00793343">
        <w:rPr>
          <w:rFonts w:cs="Arial"/>
          <w:szCs w:val="22"/>
        </w:rPr>
        <w:t xml:space="preserve">the </w:t>
      </w:r>
      <w:r w:rsidR="006B1EAF">
        <w:rPr>
          <w:rFonts w:cs="Arial"/>
          <w:szCs w:val="22"/>
        </w:rPr>
        <w:t xml:space="preserve">per kernel </w:t>
      </w:r>
      <w:r w:rsidR="00793343">
        <w:rPr>
          <w:rFonts w:cs="Arial"/>
          <w:szCs w:val="22"/>
        </w:rPr>
        <w:t xml:space="preserve">consumption amount </w:t>
      </w:r>
      <w:r w:rsidR="006B1EAF">
        <w:rPr>
          <w:rFonts w:cs="Arial"/>
          <w:szCs w:val="22"/>
        </w:rPr>
        <w:t xml:space="preserve">into a </w:t>
      </w:r>
      <w:r w:rsidRPr="000C75D3">
        <w:rPr>
          <w:rFonts w:cs="Arial"/>
          <w:szCs w:val="22"/>
        </w:rPr>
        <w:t>gram</w:t>
      </w:r>
      <w:r w:rsidR="006B1EAF">
        <w:rPr>
          <w:rFonts w:cs="Arial"/>
          <w:szCs w:val="22"/>
        </w:rPr>
        <w:t xml:space="preserve"> amount</w:t>
      </w:r>
      <w:r w:rsidR="00793343">
        <w:rPr>
          <w:rFonts w:cs="Arial"/>
          <w:szCs w:val="22"/>
        </w:rPr>
        <w:t>.</w:t>
      </w:r>
      <w:r w:rsidRPr="000C75D3">
        <w:rPr>
          <w:rFonts w:cs="Arial"/>
          <w:szCs w:val="22"/>
        </w:rPr>
        <w:t xml:space="preserve"> Information on the internet indicated that a </w:t>
      </w:r>
      <w:r w:rsidR="004C6379" w:rsidRPr="000C75D3">
        <w:rPr>
          <w:rFonts w:cs="Arial"/>
          <w:szCs w:val="22"/>
        </w:rPr>
        <w:t>1-pound</w:t>
      </w:r>
      <w:r w:rsidRPr="000C75D3">
        <w:rPr>
          <w:rFonts w:cs="Arial"/>
          <w:szCs w:val="22"/>
        </w:rPr>
        <w:t xml:space="preserve"> (450 g) bag contains between 700-750 kernels (Nu-Gen Nutrition, 2013b; Rainrock Nutritionals, 2013; My Apricot Seeds, 2013). This equates to around 0.6 g</w:t>
      </w:r>
      <w:r w:rsidR="006B1EAF">
        <w:rPr>
          <w:rFonts w:cs="Arial"/>
          <w:szCs w:val="22"/>
        </w:rPr>
        <w:t xml:space="preserve"> per </w:t>
      </w:r>
      <w:r w:rsidRPr="000C75D3">
        <w:rPr>
          <w:rFonts w:cs="Arial"/>
          <w:szCs w:val="22"/>
        </w:rPr>
        <w:t xml:space="preserve">kernel. </w:t>
      </w:r>
      <w:r w:rsidR="00793343">
        <w:rPr>
          <w:rFonts w:cs="Arial"/>
          <w:szCs w:val="22"/>
        </w:rPr>
        <w:t>This would therefore equate to 19 grams per day f</w:t>
      </w:r>
      <w:r w:rsidRPr="000C75D3">
        <w:rPr>
          <w:rFonts w:cs="Arial"/>
          <w:szCs w:val="22"/>
        </w:rPr>
        <w:t xml:space="preserve">or 32 kernels </w:t>
      </w:r>
      <w:r w:rsidR="00793343">
        <w:rPr>
          <w:rFonts w:cs="Arial"/>
          <w:szCs w:val="22"/>
        </w:rPr>
        <w:t xml:space="preserve">and 2.4 grams per day </w:t>
      </w:r>
      <w:r w:rsidR="006B1EAF">
        <w:rPr>
          <w:rFonts w:cs="Arial"/>
          <w:szCs w:val="22"/>
        </w:rPr>
        <w:t>for</w:t>
      </w:r>
      <w:r w:rsidRPr="000C75D3">
        <w:rPr>
          <w:rFonts w:cs="Arial"/>
          <w:szCs w:val="22"/>
        </w:rPr>
        <w:t xml:space="preserve"> 4 kernels.</w:t>
      </w:r>
    </w:p>
    <w:p w:rsidR="00DE20F7" w:rsidRDefault="00DE20F7" w:rsidP="00DE20F7"/>
    <w:p w:rsidR="00D92BD0" w:rsidRPr="00DE20F7" w:rsidRDefault="00D92BD0" w:rsidP="00DE20F7">
      <w:pPr>
        <w:rPr>
          <w:i/>
        </w:rPr>
      </w:pPr>
      <w:r w:rsidRPr="00DE20F7">
        <w:rPr>
          <w:i/>
        </w:rPr>
        <w:t>Biscuits containing apricot kernels</w:t>
      </w:r>
    </w:p>
    <w:p w:rsidR="00D92BD0" w:rsidRPr="000C75D3" w:rsidRDefault="004C6379" w:rsidP="00D92BD0">
      <w:pPr>
        <w:rPr>
          <w:rFonts w:cs="Arial"/>
          <w:szCs w:val="22"/>
        </w:rPr>
      </w:pPr>
      <w:r>
        <w:rPr>
          <w:rFonts w:cs="Arial"/>
          <w:szCs w:val="22"/>
        </w:rPr>
        <w:t>S</w:t>
      </w:r>
      <w:r w:rsidR="00D92BD0" w:rsidRPr="000C75D3">
        <w:rPr>
          <w:rFonts w:cs="Arial"/>
          <w:szCs w:val="22"/>
        </w:rPr>
        <w:t xml:space="preserve">pecific consumption </w:t>
      </w:r>
      <w:r w:rsidR="006B1EAF">
        <w:rPr>
          <w:rFonts w:cs="Arial"/>
          <w:szCs w:val="22"/>
        </w:rPr>
        <w:t>data for</w:t>
      </w:r>
      <w:r w:rsidR="00D92BD0" w:rsidRPr="000C75D3">
        <w:rPr>
          <w:rFonts w:cs="Arial"/>
          <w:szCs w:val="22"/>
        </w:rPr>
        <w:t xml:space="preserve"> amaretti biscuits</w:t>
      </w:r>
      <w:r w:rsidR="006B1EAF">
        <w:rPr>
          <w:rFonts w:cs="Arial"/>
          <w:szCs w:val="22"/>
        </w:rPr>
        <w:t xml:space="preserve"> </w:t>
      </w:r>
      <w:r w:rsidR="00D92BD0" w:rsidRPr="000C75D3">
        <w:rPr>
          <w:rFonts w:cs="Arial"/>
          <w:szCs w:val="22"/>
        </w:rPr>
        <w:t>or almond fingers</w:t>
      </w:r>
      <w:r w:rsidR="008C7117">
        <w:rPr>
          <w:rFonts w:cs="Arial"/>
          <w:szCs w:val="22"/>
        </w:rPr>
        <w:t>/apple fingers</w:t>
      </w:r>
      <w:r w:rsidR="00D92BD0" w:rsidRPr="000C75D3">
        <w:rPr>
          <w:rFonts w:cs="Arial"/>
          <w:szCs w:val="22"/>
        </w:rPr>
        <w:t xml:space="preserve"> </w:t>
      </w:r>
      <w:r>
        <w:rPr>
          <w:rFonts w:cs="Arial"/>
          <w:szCs w:val="22"/>
        </w:rPr>
        <w:t xml:space="preserve">was not </w:t>
      </w:r>
      <w:r w:rsidR="00D92BD0" w:rsidRPr="000C75D3">
        <w:rPr>
          <w:rFonts w:cs="Arial"/>
          <w:szCs w:val="22"/>
        </w:rPr>
        <w:t xml:space="preserve">recorded in any of the nutrition surveys. For the chronic dietary exposure assessment, consumption </w:t>
      </w:r>
      <w:r w:rsidR="006B1EAF">
        <w:rPr>
          <w:rFonts w:cs="Arial"/>
          <w:szCs w:val="22"/>
        </w:rPr>
        <w:t xml:space="preserve">values for </w:t>
      </w:r>
      <w:r w:rsidR="00D92BD0" w:rsidRPr="000C75D3">
        <w:rPr>
          <w:rFonts w:cs="Arial"/>
          <w:szCs w:val="22"/>
        </w:rPr>
        <w:t xml:space="preserve">all </w:t>
      </w:r>
      <w:r w:rsidRPr="000C75D3">
        <w:rPr>
          <w:rFonts w:cs="Arial"/>
          <w:szCs w:val="22"/>
        </w:rPr>
        <w:t>nut-containing</w:t>
      </w:r>
      <w:r w:rsidR="00D92BD0" w:rsidRPr="000C75D3">
        <w:rPr>
          <w:rFonts w:cs="Arial"/>
          <w:szCs w:val="22"/>
        </w:rPr>
        <w:t xml:space="preserve"> biscuits were included as the closest match to the food analysed. </w:t>
      </w:r>
      <w:r w:rsidR="006B1EAF">
        <w:rPr>
          <w:rFonts w:cs="Arial"/>
          <w:szCs w:val="22"/>
        </w:rPr>
        <w:t>To obtain a realistic representation of population exposure, a</w:t>
      </w:r>
      <w:r w:rsidR="00D92BD0" w:rsidRPr="000C75D3">
        <w:rPr>
          <w:rFonts w:cs="Arial"/>
          <w:szCs w:val="22"/>
        </w:rPr>
        <w:t xml:space="preserve"> 1% market share was used as a </w:t>
      </w:r>
      <w:r w:rsidR="006B1EAF">
        <w:rPr>
          <w:rFonts w:cs="Arial"/>
          <w:szCs w:val="22"/>
        </w:rPr>
        <w:t xml:space="preserve">realistic </w:t>
      </w:r>
      <w:r w:rsidR="008C7117">
        <w:rPr>
          <w:rFonts w:cs="Arial"/>
          <w:szCs w:val="22"/>
        </w:rPr>
        <w:t>percent</w:t>
      </w:r>
      <w:r>
        <w:rPr>
          <w:rFonts w:cs="Arial"/>
          <w:szCs w:val="22"/>
        </w:rPr>
        <w:t>age</w:t>
      </w:r>
      <w:r w:rsidR="006B1EAF">
        <w:rPr>
          <w:rFonts w:cs="Arial"/>
          <w:szCs w:val="22"/>
        </w:rPr>
        <w:t xml:space="preserve"> </w:t>
      </w:r>
      <w:r w:rsidR="00D92BD0" w:rsidRPr="000C75D3">
        <w:rPr>
          <w:rFonts w:cs="Arial"/>
          <w:szCs w:val="22"/>
        </w:rPr>
        <w:t>of all nut biscuits that amaretti and almond</w:t>
      </w:r>
      <w:r w:rsidR="006B1EAF">
        <w:rPr>
          <w:rFonts w:cs="Arial"/>
          <w:szCs w:val="22"/>
        </w:rPr>
        <w:t xml:space="preserve"> fingers</w:t>
      </w:r>
      <w:r w:rsidR="00D92BD0" w:rsidRPr="000C75D3">
        <w:rPr>
          <w:rFonts w:cs="Arial"/>
          <w:szCs w:val="22"/>
        </w:rPr>
        <w:t xml:space="preserve">/apple fingers represent. </w:t>
      </w:r>
      <w:r w:rsidR="00405E03">
        <w:rPr>
          <w:rFonts w:cs="Arial"/>
          <w:szCs w:val="22"/>
        </w:rPr>
        <w:t>In deciding on this percentage, m</w:t>
      </w:r>
      <w:r w:rsidR="00D92BD0" w:rsidRPr="000C75D3">
        <w:rPr>
          <w:rFonts w:cs="Arial"/>
          <w:szCs w:val="22"/>
        </w:rPr>
        <w:t xml:space="preserve">arket share data from </w:t>
      </w:r>
      <w:r w:rsidR="00D92BD0" w:rsidRPr="000C75D3">
        <w:rPr>
          <w:rFonts w:cs="Arial"/>
          <w:i/>
          <w:szCs w:val="22"/>
        </w:rPr>
        <w:t>Retail World</w:t>
      </w:r>
      <w:r w:rsidR="00D92BD0" w:rsidRPr="000C75D3">
        <w:rPr>
          <w:rFonts w:cs="Arial"/>
          <w:szCs w:val="22"/>
        </w:rPr>
        <w:t xml:space="preserve"> (Retail Media, 2012) </w:t>
      </w:r>
      <w:r w:rsidR="00405E03">
        <w:rPr>
          <w:rFonts w:cs="Arial"/>
          <w:szCs w:val="22"/>
        </w:rPr>
        <w:t xml:space="preserve">was reviewed. Data </w:t>
      </w:r>
      <w:r w:rsidR="00D92BD0" w:rsidRPr="000C75D3">
        <w:rPr>
          <w:rFonts w:cs="Arial"/>
          <w:szCs w:val="22"/>
        </w:rPr>
        <w:t xml:space="preserve">indicated that </w:t>
      </w:r>
      <w:r w:rsidR="008C7117">
        <w:rPr>
          <w:rFonts w:cs="Arial"/>
          <w:szCs w:val="22"/>
        </w:rPr>
        <w:t>out of</w:t>
      </w:r>
      <w:r w:rsidR="00D92BD0" w:rsidRPr="000C75D3">
        <w:rPr>
          <w:rFonts w:cs="Arial"/>
          <w:szCs w:val="22"/>
        </w:rPr>
        <w:t xml:space="preserve"> the top </w:t>
      </w:r>
      <w:r w:rsidR="00405E03">
        <w:rPr>
          <w:rFonts w:cs="Arial"/>
          <w:szCs w:val="22"/>
        </w:rPr>
        <w:t xml:space="preserve">eight </w:t>
      </w:r>
      <w:r w:rsidR="00D92BD0" w:rsidRPr="000C75D3">
        <w:rPr>
          <w:rFonts w:cs="Arial"/>
          <w:szCs w:val="22"/>
        </w:rPr>
        <w:t>sweet biscuits</w:t>
      </w:r>
      <w:r w:rsidR="00405E03">
        <w:rPr>
          <w:rFonts w:cs="Arial"/>
          <w:szCs w:val="22"/>
        </w:rPr>
        <w:t xml:space="preserve"> (</w:t>
      </w:r>
      <w:r w:rsidR="00D92BD0" w:rsidRPr="000C75D3">
        <w:rPr>
          <w:rFonts w:cs="Arial"/>
          <w:szCs w:val="22"/>
        </w:rPr>
        <w:t>excluding chocolate biscuits</w:t>
      </w:r>
      <w:r w:rsidR="00405E03">
        <w:rPr>
          <w:rFonts w:cs="Arial"/>
          <w:szCs w:val="22"/>
        </w:rPr>
        <w:t>)</w:t>
      </w:r>
      <w:r w:rsidR="00D92BD0" w:rsidRPr="000C75D3">
        <w:rPr>
          <w:rFonts w:cs="Arial"/>
          <w:szCs w:val="22"/>
        </w:rPr>
        <w:t xml:space="preserve"> the lowest had </w:t>
      </w:r>
      <w:r w:rsidR="008C7117">
        <w:rPr>
          <w:rFonts w:cs="Arial"/>
          <w:szCs w:val="22"/>
        </w:rPr>
        <w:t>a</w:t>
      </w:r>
      <w:r w:rsidR="00D92BD0" w:rsidRPr="000C75D3">
        <w:rPr>
          <w:rFonts w:cs="Arial"/>
          <w:szCs w:val="22"/>
        </w:rPr>
        <w:t xml:space="preserve"> volume share</w:t>
      </w:r>
      <w:r w:rsidR="008C7117">
        <w:rPr>
          <w:rFonts w:cs="Arial"/>
          <w:szCs w:val="22"/>
        </w:rPr>
        <w:t xml:space="preserve"> of 1.7%</w:t>
      </w:r>
      <w:r w:rsidR="00D92BD0" w:rsidRPr="000C75D3">
        <w:rPr>
          <w:rFonts w:cs="Arial"/>
          <w:szCs w:val="22"/>
        </w:rPr>
        <w:t xml:space="preserve">. </w:t>
      </w:r>
      <w:r w:rsidR="008C7117">
        <w:rPr>
          <w:rFonts w:cs="Arial"/>
          <w:szCs w:val="22"/>
        </w:rPr>
        <w:t>It would seem realistic to assume that a</w:t>
      </w:r>
      <w:r w:rsidR="00D92BD0" w:rsidRPr="000C75D3">
        <w:rPr>
          <w:rFonts w:cs="Arial"/>
          <w:szCs w:val="22"/>
        </w:rPr>
        <w:t xml:space="preserve">maretti biscuits and almond </w:t>
      </w:r>
      <w:r w:rsidR="008C7117">
        <w:rPr>
          <w:rFonts w:cs="Arial"/>
          <w:szCs w:val="22"/>
        </w:rPr>
        <w:t xml:space="preserve">fingers/apple </w:t>
      </w:r>
      <w:r w:rsidR="00D92BD0" w:rsidRPr="000C75D3">
        <w:rPr>
          <w:rFonts w:cs="Arial"/>
          <w:szCs w:val="22"/>
        </w:rPr>
        <w:t>finger</w:t>
      </w:r>
      <w:r w:rsidR="008C7117">
        <w:rPr>
          <w:rFonts w:cs="Arial"/>
          <w:szCs w:val="22"/>
        </w:rPr>
        <w:t>s</w:t>
      </w:r>
      <w:r w:rsidR="00D92BD0" w:rsidRPr="000C75D3">
        <w:rPr>
          <w:rFonts w:cs="Arial"/>
          <w:szCs w:val="22"/>
        </w:rPr>
        <w:t xml:space="preserve"> would be </w:t>
      </w:r>
      <w:r w:rsidR="008C7117">
        <w:rPr>
          <w:rFonts w:cs="Arial"/>
          <w:szCs w:val="22"/>
        </w:rPr>
        <w:t xml:space="preserve">even </w:t>
      </w:r>
      <w:r w:rsidR="00D92BD0" w:rsidRPr="000C75D3">
        <w:rPr>
          <w:rFonts w:cs="Arial"/>
          <w:szCs w:val="22"/>
        </w:rPr>
        <w:t>lower than this</w:t>
      </w:r>
      <w:r w:rsidR="008C7117">
        <w:rPr>
          <w:rFonts w:cs="Arial"/>
          <w:szCs w:val="22"/>
        </w:rPr>
        <w:t xml:space="preserve"> figure. T</w:t>
      </w:r>
      <w:r w:rsidR="00D92BD0" w:rsidRPr="000C75D3">
        <w:rPr>
          <w:rFonts w:cs="Arial"/>
          <w:szCs w:val="22"/>
        </w:rPr>
        <w:t xml:space="preserve">herefore a </w:t>
      </w:r>
      <w:r w:rsidR="008C7117">
        <w:rPr>
          <w:rFonts w:cs="Arial"/>
          <w:szCs w:val="22"/>
        </w:rPr>
        <w:t xml:space="preserve">rounded down market share value </w:t>
      </w:r>
      <w:r w:rsidR="00D92BD0" w:rsidRPr="000C75D3">
        <w:rPr>
          <w:rFonts w:cs="Arial"/>
          <w:szCs w:val="22"/>
        </w:rPr>
        <w:t xml:space="preserve">to </w:t>
      </w:r>
      <w:r w:rsidR="008C7117">
        <w:rPr>
          <w:rFonts w:cs="Arial"/>
          <w:szCs w:val="22"/>
        </w:rPr>
        <w:t xml:space="preserve">the </w:t>
      </w:r>
      <w:r w:rsidR="00D92BD0" w:rsidRPr="000C75D3">
        <w:rPr>
          <w:rFonts w:cs="Arial"/>
          <w:szCs w:val="22"/>
        </w:rPr>
        <w:t>nearest whole percent</w:t>
      </w:r>
      <w:r>
        <w:rPr>
          <w:rFonts w:cs="Arial"/>
          <w:szCs w:val="22"/>
        </w:rPr>
        <w:t>age</w:t>
      </w:r>
      <w:r w:rsidR="00D92BD0" w:rsidRPr="000C75D3">
        <w:rPr>
          <w:rFonts w:cs="Arial"/>
          <w:szCs w:val="22"/>
        </w:rPr>
        <w:t xml:space="preserve"> (i.e. 1%) was used in the chronic dietary exposure assessment.</w:t>
      </w:r>
      <w:r w:rsidR="008C7117">
        <w:rPr>
          <w:rFonts w:cs="Arial"/>
          <w:szCs w:val="22"/>
        </w:rPr>
        <w:t xml:space="preserve"> </w:t>
      </w:r>
      <w:r w:rsidR="00D92BD0" w:rsidRPr="000C75D3">
        <w:rPr>
          <w:rFonts w:cs="Arial"/>
          <w:szCs w:val="22"/>
        </w:rPr>
        <w:t>This is still likely to be an overestimate.</w:t>
      </w:r>
    </w:p>
    <w:p w:rsidR="00D92BD0" w:rsidRPr="000C75D3" w:rsidRDefault="00D92BD0" w:rsidP="00D92BD0">
      <w:pPr>
        <w:rPr>
          <w:rFonts w:cs="Arial"/>
          <w:szCs w:val="22"/>
        </w:rPr>
      </w:pPr>
    </w:p>
    <w:p w:rsidR="00D92BD0" w:rsidRPr="000C75D3" w:rsidRDefault="00785F77" w:rsidP="00D92BD0">
      <w:pPr>
        <w:rPr>
          <w:rFonts w:cs="Arial"/>
          <w:szCs w:val="22"/>
        </w:rPr>
      </w:pPr>
      <w:r>
        <w:rPr>
          <w:rFonts w:cs="Arial"/>
          <w:szCs w:val="22"/>
        </w:rPr>
        <w:t xml:space="preserve">For the acute dietary exposure assessment, </w:t>
      </w:r>
      <w:r w:rsidR="00F63DEF">
        <w:rPr>
          <w:rFonts w:cs="Arial"/>
          <w:szCs w:val="22"/>
        </w:rPr>
        <w:t xml:space="preserve">deriving a </w:t>
      </w:r>
      <w:r w:rsidR="00D92BD0" w:rsidRPr="000C75D3">
        <w:rPr>
          <w:rFonts w:cs="Arial"/>
          <w:szCs w:val="22"/>
        </w:rPr>
        <w:t>97.5</w:t>
      </w:r>
      <w:r w:rsidR="00D92BD0" w:rsidRPr="000C75D3">
        <w:rPr>
          <w:rFonts w:cs="Arial"/>
          <w:szCs w:val="22"/>
          <w:vertAlign w:val="superscript"/>
        </w:rPr>
        <w:t>th</w:t>
      </w:r>
      <w:r w:rsidR="00D92BD0" w:rsidRPr="000C75D3">
        <w:rPr>
          <w:rFonts w:cs="Arial"/>
          <w:szCs w:val="22"/>
        </w:rPr>
        <w:t xml:space="preserve"> percentile consumption value </w:t>
      </w:r>
      <w:r w:rsidR="00F63DEF">
        <w:rPr>
          <w:rFonts w:cs="Arial"/>
          <w:szCs w:val="22"/>
        </w:rPr>
        <w:t xml:space="preserve">based on all nut containing biscuits </w:t>
      </w:r>
      <w:r w:rsidR="00CD1C5F">
        <w:rPr>
          <w:rFonts w:cs="Arial"/>
          <w:szCs w:val="22"/>
        </w:rPr>
        <w:t>was considered likely to</w:t>
      </w:r>
      <w:r w:rsidR="00F63DEF">
        <w:rPr>
          <w:rFonts w:cs="Arial"/>
          <w:szCs w:val="22"/>
        </w:rPr>
        <w:t xml:space="preserve"> </w:t>
      </w:r>
      <w:r w:rsidR="00D92BD0" w:rsidRPr="000C75D3">
        <w:rPr>
          <w:rFonts w:cs="Arial"/>
          <w:szCs w:val="22"/>
        </w:rPr>
        <w:t xml:space="preserve">overestimate </w:t>
      </w:r>
      <w:r w:rsidR="00F63DEF">
        <w:rPr>
          <w:rFonts w:cs="Arial"/>
          <w:szCs w:val="22"/>
        </w:rPr>
        <w:t xml:space="preserve">consumption </w:t>
      </w:r>
      <w:r w:rsidR="00D92BD0" w:rsidRPr="000C75D3">
        <w:rPr>
          <w:rFonts w:cs="Arial"/>
          <w:szCs w:val="22"/>
        </w:rPr>
        <w:t>because</w:t>
      </w:r>
      <w:r w:rsidR="00F63DEF">
        <w:rPr>
          <w:rFonts w:cs="Arial"/>
          <w:szCs w:val="22"/>
        </w:rPr>
        <w:t>, due to the</w:t>
      </w:r>
      <w:r w:rsidR="00D92BD0" w:rsidRPr="000C75D3">
        <w:rPr>
          <w:rFonts w:cs="Arial"/>
          <w:szCs w:val="22"/>
        </w:rPr>
        <w:t xml:space="preserve"> bitter nature of biscuits containing apricot kernels, </w:t>
      </w:r>
      <w:r w:rsidR="00D56419">
        <w:rPr>
          <w:rFonts w:cs="Arial"/>
          <w:szCs w:val="22"/>
        </w:rPr>
        <w:t xml:space="preserve">it could be assumed that </w:t>
      </w:r>
      <w:r w:rsidR="00D92BD0" w:rsidRPr="000C75D3">
        <w:rPr>
          <w:rFonts w:cs="Arial"/>
          <w:szCs w:val="22"/>
        </w:rPr>
        <w:t xml:space="preserve">they are not </w:t>
      </w:r>
      <w:r w:rsidR="00D56419">
        <w:rPr>
          <w:rFonts w:cs="Arial"/>
          <w:szCs w:val="22"/>
        </w:rPr>
        <w:t>typically</w:t>
      </w:r>
      <w:r w:rsidR="00D92BD0" w:rsidRPr="000C75D3">
        <w:rPr>
          <w:rFonts w:cs="Arial"/>
          <w:szCs w:val="22"/>
        </w:rPr>
        <w:t xml:space="preserve"> consumed in as large quantities</w:t>
      </w:r>
      <w:r w:rsidR="00F63DEF">
        <w:rPr>
          <w:rFonts w:cs="Arial"/>
          <w:szCs w:val="22"/>
        </w:rPr>
        <w:t xml:space="preserve"> as other sweet biscuits</w:t>
      </w:r>
      <w:r w:rsidR="00D92BD0" w:rsidRPr="000C75D3">
        <w:rPr>
          <w:rFonts w:cs="Arial"/>
          <w:szCs w:val="22"/>
        </w:rPr>
        <w:t>. Therefore, a consumption value equivalent to one serve, according to label information</w:t>
      </w:r>
      <w:r w:rsidR="00CD1C5F">
        <w:rPr>
          <w:rFonts w:cs="Arial"/>
          <w:szCs w:val="22"/>
        </w:rPr>
        <w:t xml:space="preserve"> on each biscuit type</w:t>
      </w:r>
      <w:r w:rsidR="00D92BD0" w:rsidRPr="000C75D3">
        <w:rPr>
          <w:rFonts w:cs="Arial"/>
          <w:szCs w:val="22"/>
        </w:rPr>
        <w:t xml:space="preserve">, was used. One serve of amaretti biscuits was generally </w:t>
      </w:r>
      <w:r w:rsidR="00F63DEF">
        <w:rPr>
          <w:rFonts w:cs="Arial"/>
          <w:szCs w:val="22"/>
        </w:rPr>
        <w:t xml:space="preserve">listed as being </w:t>
      </w:r>
      <w:r w:rsidR="00D92BD0" w:rsidRPr="000C75D3">
        <w:rPr>
          <w:rFonts w:cs="Arial"/>
          <w:szCs w:val="22"/>
        </w:rPr>
        <w:t>20-30 g</w:t>
      </w:r>
      <w:r w:rsidR="00D357B1">
        <w:rPr>
          <w:rFonts w:cs="Arial"/>
          <w:szCs w:val="22"/>
        </w:rPr>
        <w:t xml:space="preserve">. </w:t>
      </w:r>
      <w:r w:rsidR="00F63DEF">
        <w:rPr>
          <w:rFonts w:cs="Arial"/>
          <w:szCs w:val="22"/>
        </w:rPr>
        <w:t xml:space="preserve">Therefore, a </w:t>
      </w:r>
      <w:r w:rsidR="004C6379" w:rsidRPr="000C75D3">
        <w:rPr>
          <w:rFonts w:cs="Arial"/>
          <w:szCs w:val="22"/>
        </w:rPr>
        <w:t>30</w:t>
      </w:r>
      <w:r w:rsidR="00D357B1">
        <w:rPr>
          <w:rFonts w:cs="Arial"/>
          <w:szCs w:val="22"/>
        </w:rPr>
        <w:t xml:space="preserve"> </w:t>
      </w:r>
      <w:r w:rsidR="004C6379" w:rsidRPr="000C75D3">
        <w:rPr>
          <w:rFonts w:cs="Arial"/>
          <w:szCs w:val="22"/>
        </w:rPr>
        <w:t>g</w:t>
      </w:r>
      <w:r w:rsidR="00D357B1">
        <w:rPr>
          <w:rFonts w:cs="Arial"/>
          <w:szCs w:val="22"/>
        </w:rPr>
        <w:t xml:space="preserve"> </w:t>
      </w:r>
      <w:r w:rsidR="00F63DEF">
        <w:rPr>
          <w:rFonts w:cs="Arial"/>
          <w:szCs w:val="22"/>
        </w:rPr>
        <w:t xml:space="preserve">amount </w:t>
      </w:r>
      <w:r w:rsidR="00D92BD0" w:rsidRPr="000C75D3">
        <w:rPr>
          <w:rFonts w:cs="Arial"/>
          <w:szCs w:val="22"/>
        </w:rPr>
        <w:t xml:space="preserve">was used as a worst case scenario. </w:t>
      </w:r>
      <w:r w:rsidR="00D56419">
        <w:rPr>
          <w:rFonts w:cs="Arial"/>
          <w:szCs w:val="22"/>
        </w:rPr>
        <w:t>The typical</w:t>
      </w:r>
      <w:r w:rsidR="00D92BD0" w:rsidRPr="000C75D3">
        <w:rPr>
          <w:rFonts w:cs="Arial"/>
          <w:szCs w:val="22"/>
        </w:rPr>
        <w:t xml:space="preserve"> serve size for almond </w:t>
      </w:r>
      <w:r w:rsidR="00D56419">
        <w:rPr>
          <w:rFonts w:cs="Arial"/>
          <w:szCs w:val="22"/>
        </w:rPr>
        <w:t>fingers/</w:t>
      </w:r>
      <w:r w:rsidR="00D92BD0" w:rsidRPr="000C75D3">
        <w:rPr>
          <w:rFonts w:cs="Arial"/>
          <w:szCs w:val="22"/>
        </w:rPr>
        <w:t>apple fingers was 43 g</w:t>
      </w:r>
      <w:r w:rsidR="00D56419">
        <w:rPr>
          <w:rFonts w:cs="Arial"/>
          <w:szCs w:val="22"/>
        </w:rPr>
        <w:t>. However,</w:t>
      </w:r>
      <w:r w:rsidR="00D92BD0" w:rsidRPr="000C75D3">
        <w:rPr>
          <w:rFonts w:cs="Arial"/>
          <w:szCs w:val="22"/>
        </w:rPr>
        <w:t xml:space="preserve"> a slightly </w:t>
      </w:r>
      <w:r w:rsidR="00D56419">
        <w:rPr>
          <w:rFonts w:cs="Arial"/>
          <w:szCs w:val="22"/>
        </w:rPr>
        <w:t>larger</w:t>
      </w:r>
      <w:r w:rsidR="00D92BD0" w:rsidRPr="000C75D3">
        <w:rPr>
          <w:rFonts w:cs="Arial"/>
          <w:szCs w:val="22"/>
        </w:rPr>
        <w:t xml:space="preserve"> serve </w:t>
      </w:r>
      <w:r w:rsidR="00D56419">
        <w:rPr>
          <w:rFonts w:cs="Arial"/>
          <w:szCs w:val="22"/>
        </w:rPr>
        <w:t>size</w:t>
      </w:r>
      <w:r w:rsidR="00D92BD0" w:rsidRPr="000C75D3">
        <w:rPr>
          <w:rFonts w:cs="Arial"/>
          <w:szCs w:val="22"/>
        </w:rPr>
        <w:t xml:space="preserve"> of 47 g was used as the </w:t>
      </w:r>
      <w:r w:rsidR="004C6379" w:rsidRPr="000C75D3">
        <w:rPr>
          <w:rFonts w:cs="Arial"/>
          <w:szCs w:val="22"/>
        </w:rPr>
        <w:t>worst</w:t>
      </w:r>
      <w:r w:rsidR="000061A7">
        <w:rPr>
          <w:rFonts w:cs="Arial"/>
          <w:szCs w:val="22"/>
        </w:rPr>
        <w:t xml:space="preserve"> </w:t>
      </w:r>
      <w:r w:rsidR="004C6379" w:rsidRPr="000C75D3">
        <w:rPr>
          <w:rFonts w:cs="Arial"/>
          <w:szCs w:val="22"/>
        </w:rPr>
        <w:t>case</w:t>
      </w:r>
      <w:r w:rsidR="00D92BD0" w:rsidRPr="000C75D3">
        <w:rPr>
          <w:rFonts w:cs="Arial"/>
          <w:szCs w:val="22"/>
        </w:rPr>
        <w:t xml:space="preserve"> scenario.</w:t>
      </w:r>
    </w:p>
    <w:p w:rsidR="00DE20F7" w:rsidRDefault="00DE20F7" w:rsidP="00DE20F7"/>
    <w:p w:rsidR="00D33562" w:rsidRPr="00DE20F7" w:rsidRDefault="00D33562" w:rsidP="00DE20F7">
      <w:pPr>
        <w:rPr>
          <w:i/>
        </w:rPr>
      </w:pPr>
      <w:r w:rsidRPr="00DE20F7">
        <w:rPr>
          <w:i/>
        </w:rPr>
        <w:t>Bread containing linseed</w:t>
      </w:r>
    </w:p>
    <w:p w:rsidR="0078300E" w:rsidRDefault="0078300E" w:rsidP="0078300E">
      <w:pPr>
        <w:rPr>
          <w:rFonts w:cs="Arial"/>
          <w:szCs w:val="22"/>
        </w:rPr>
      </w:pPr>
      <w:r w:rsidRPr="0078300E">
        <w:rPr>
          <w:rFonts w:cs="Arial"/>
          <w:szCs w:val="22"/>
        </w:rPr>
        <w:t xml:space="preserve">In the 2002 and 2007 </w:t>
      </w:r>
      <w:r>
        <w:rPr>
          <w:rFonts w:cs="Arial"/>
          <w:szCs w:val="22"/>
        </w:rPr>
        <w:t xml:space="preserve">surveys, </w:t>
      </w:r>
      <w:r w:rsidRPr="0078300E">
        <w:rPr>
          <w:rFonts w:cs="Arial"/>
          <w:szCs w:val="22"/>
        </w:rPr>
        <w:t>bread containing linseed was coded separately from other breads</w:t>
      </w:r>
      <w:r>
        <w:rPr>
          <w:rFonts w:cs="Arial"/>
          <w:szCs w:val="22"/>
        </w:rPr>
        <w:t xml:space="preserve"> and, as such, </w:t>
      </w:r>
      <w:r w:rsidR="00DD6209" w:rsidRPr="00DD6209">
        <w:rPr>
          <w:rFonts w:cs="Arial"/>
          <w:szCs w:val="22"/>
        </w:rPr>
        <w:t>the consumption data are specifically for bread containing linseed</w:t>
      </w:r>
      <w:r>
        <w:rPr>
          <w:rFonts w:cs="Arial"/>
          <w:szCs w:val="22"/>
        </w:rPr>
        <w:t>.</w:t>
      </w:r>
      <w:r w:rsidR="00073D86">
        <w:rPr>
          <w:rFonts w:cs="Arial"/>
          <w:szCs w:val="22"/>
        </w:rPr>
        <w:t xml:space="preserve"> </w:t>
      </w:r>
      <w:r w:rsidR="00D33562" w:rsidRPr="000C75D3">
        <w:rPr>
          <w:rFonts w:cs="Arial"/>
          <w:szCs w:val="22"/>
        </w:rPr>
        <w:t xml:space="preserve">There were no </w:t>
      </w:r>
      <w:r w:rsidR="00D33562" w:rsidRPr="000C75D3">
        <w:rPr>
          <w:rFonts w:cs="Arial"/>
          <w:szCs w:val="22"/>
        </w:rPr>
        <w:lastRenderedPageBreak/>
        <w:t xml:space="preserve">consumers of linseed breads in the 1995 and 1997 </w:t>
      </w:r>
      <w:r w:rsidR="00D56419">
        <w:rPr>
          <w:rFonts w:cs="Arial"/>
          <w:szCs w:val="22"/>
        </w:rPr>
        <w:t xml:space="preserve">nutrition </w:t>
      </w:r>
      <w:r w:rsidR="00D33562" w:rsidRPr="000C75D3">
        <w:rPr>
          <w:rFonts w:cs="Arial"/>
          <w:szCs w:val="22"/>
        </w:rPr>
        <w:t>surveys</w:t>
      </w:r>
      <w:r w:rsidR="00D56419">
        <w:rPr>
          <w:rFonts w:cs="Arial"/>
          <w:szCs w:val="22"/>
        </w:rPr>
        <w:t>. Therefore</w:t>
      </w:r>
      <w:r w:rsidR="00D33562" w:rsidRPr="000C75D3">
        <w:rPr>
          <w:rFonts w:cs="Arial"/>
          <w:szCs w:val="22"/>
        </w:rPr>
        <w:t xml:space="preserve">, for adults, all grain and wholemeal breads were used as a proxy. </w:t>
      </w:r>
    </w:p>
    <w:p w:rsidR="0078300E" w:rsidRDefault="0078300E" w:rsidP="00D33562">
      <w:pPr>
        <w:rPr>
          <w:rFonts w:cs="Arial"/>
          <w:szCs w:val="22"/>
        </w:rPr>
      </w:pPr>
    </w:p>
    <w:p w:rsidR="00D33562" w:rsidRPr="000C75D3" w:rsidRDefault="00D33562" w:rsidP="00D33562">
      <w:pPr>
        <w:rPr>
          <w:rFonts w:cs="Arial"/>
          <w:szCs w:val="22"/>
        </w:rPr>
      </w:pPr>
      <w:r w:rsidRPr="005A253D">
        <w:rPr>
          <w:rFonts w:cs="Arial"/>
          <w:szCs w:val="22"/>
        </w:rPr>
        <w:t xml:space="preserve">No market share information was available indicating what proportion of all grain and wholemeal breads </w:t>
      </w:r>
      <w:r w:rsidR="00D56419" w:rsidRPr="005A253D">
        <w:rPr>
          <w:rFonts w:cs="Arial"/>
          <w:szCs w:val="22"/>
        </w:rPr>
        <w:t>is made up of</w:t>
      </w:r>
      <w:r w:rsidRPr="005A253D">
        <w:rPr>
          <w:rFonts w:cs="Arial"/>
          <w:szCs w:val="22"/>
        </w:rPr>
        <w:t xml:space="preserve"> linseed breads to apply to the chronic dietary exposure assessment</w:t>
      </w:r>
      <w:r w:rsidR="0078300E" w:rsidRPr="005A253D">
        <w:rPr>
          <w:rFonts w:cs="Arial"/>
          <w:szCs w:val="22"/>
        </w:rPr>
        <w:t xml:space="preserve"> for adults,</w:t>
      </w:r>
      <w:r w:rsidRPr="005A253D">
        <w:rPr>
          <w:rFonts w:cs="Arial"/>
          <w:szCs w:val="22"/>
        </w:rPr>
        <w:t xml:space="preserve"> </w:t>
      </w:r>
      <w:r w:rsidR="00D56419" w:rsidRPr="005A253D">
        <w:rPr>
          <w:rFonts w:cs="Arial"/>
          <w:szCs w:val="22"/>
        </w:rPr>
        <w:t xml:space="preserve">to make it </w:t>
      </w:r>
      <w:r w:rsidRPr="005A253D">
        <w:rPr>
          <w:rFonts w:cs="Arial"/>
          <w:szCs w:val="22"/>
        </w:rPr>
        <w:t>more representative of breads</w:t>
      </w:r>
      <w:r w:rsidR="006E1FE2" w:rsidRPr="005A253D">
        <w:rPr>
          <w:rFonts w:cs="Arial"/>
          <w:szCs w:val="22"/>
        </w:rPr>
        <w:t xml:space="preserve"> containing linseed</w:t>
      </w:r>
      <w:r w:rsidRPr="005A253D">
        <w:rPr>
          <w:rFonts w:cs="Arial"/>
          <w:szCs w:val="22"/>
        </w:rPr>
        <w:t xml:space="preserve">. </w:t>
      </w:r>
      <w:r w:rsidR="00CD1C5F" w:rsidRPr="005A253D">
        <w:rPr>
          <w:rFonts w:cs="Arial"/>
          <w:szCs w:val="22"/>
        </w:rPr>
        <w:t>However</w:t>
      </w:r>
      <w:r w:rsidR="00D56419" w:rsidRPr="005A253D">
        <w:rPr>
          <w:rFonts w:cs="Arial"/>
          <w:szCs w:val="22"/>
        </w:rPr>
        <w:t>,</w:t>
      </w:r>
      <w:r w:rsidRPr="005A253D">
        <w:rPr>
          <w:rFonts w:cs="Arial"/>
          <w:szCs w:val="22"/>
        </w:rPr>
        <w:t xml:space="preserve"> </w:t>
      </w:r>
      <w:r w:rsidR="00CD1C5F" w:rsidRPr="005A253D">
        <w:rPr>
          <w:rFonts w:cs="Arial"/>
          <w:szCs w:val="22"/>
        </w:rPr>
        <w:t xml:space="preserve">in </w:t>
      </w:r>
      <w:r w:rsidR="00D56419" w:rsidRPr="005A253D">
        <w:rPr>
          <w:rFonts w:cs="Arial"/>
          <w:szCs w:val="22"/>
        </w:rPr>
        <w:t>the 2007 survey,</w:t>
      </w:r>
      <w:r w:rsidRPr="005A253D">
        <w:rPr>
          <w:rFonts w:cs="Arial"/>
          <w:szCs w:val="22"/>
        </w:rPr>
        <w:t xml:space="preserve"> the consumption of </w:t>
      </w:r>
      <w:r w:rsidR="00D56419" w:rsidRPr="005A253D">
        <w:rPr>
          <w:rFonts w:cs="Arial"/>
          <w:szCs w:val="22"/>
        </w:rPr>
        <w:t xml:space="preserve">breads containing </w:t>
      </w:r>
      <w:r w:rsidRPr="005A253D">
        <w:rPr>
          <w:rFonts w:cs="Arial"/>
          <w:szCs w:val="22"/>
        </w:rPr>
        <w:t>linseed as a proportion of all grain and wholemeal breads was estimated</w:t>
      </w:r>
      <w:r w:rsidR="00D56419" w:rsidRPr="005A253D">
        <w:rPr>
          <w:rFonts w:cs="Arial"/>
          <w:szCs w:val="22"/>
        </w:rPr>
        <w:t xml:space="preserve"> to be </w:t>
      </w:r>
      <w:r w:rsidRPr="005A253D">
        <w:rPr>
          <w:rFonts w:cs="Arial"/>
          <w:szCs w:val="22"/>
        </w:rPr>
        <w:t>3.4%</w:t>
      </w:r>
      <w:r w:rsidR="00D56419" w:rsidRPr="005A253D">
        <w:rPr>
          <w:rFonts w:cs="Arial"/>
          <w:szCs w:val="22"/>
        </w:rPr>
        <w:t>. This estimate</w:t>
      </w:r>
      <w:r w:rsidRPr="005A253D">
        <w:rPr>
          <w:rFonts w:cs="Arial"/>
          <w:szCs w:val="22"/>
        </w:rPr>
        <w:t xml:space="preserve"> was based on the mean consumption amount for all respondents. It is likely that adult females consume more </w:t>
      </w:r>
      <w:r w:rsidR="00D56419" w:rsidRPr="005A253D">
        <w:rPr>
          <w:rFonts w:cs="Arial"/>
          <w:szCs w:val="22"/>
        </w:rPr>
        <w:t xml:space="preserve">bread containing </w:t>
      </w:r>
      <w:r w:rsidRPr="005A253D">
        <w:rPr>
          <w:rFonts w:cs="Arial"/>
          <w:szCs w:val="22"/>
        </w:rPr>
        <w:t>linseed than children</w:t>
      </w:r>
      <w:r w:rsidR="00D56419" w:rsidRPr="005A253D">
        <w:rPr>
          <w:rFonts w:cs="Arial"/>
          <w:szCs w:val="22"/>
        </w:rPr>
        <w:t>. Therefore,</w:t>
      </w:r>
      <w:r w:rsidRPr="005A253D">
        <w:rPr>
          <w:rFonts w:cs="Arial"/>
          <w:szCs w:val="22"/>
        </w:rPr>
        <w:t xml:space="preserve"> a rounded value of 5% was used in </w:t>
      </w:r>
      <w:r w:rsidR="00CD1C5F" w:rsidRPr="005A253D">
        <w:rPr>
          <w:rFonts w:cs="Arial"/>
          <w:szCs w:val="22"/>
        </w:rPr>
        <w:t xml:space="preserve">all </w:t>
      </w:r>
      <w:r w:rsidRPr="005A253D">
        <w:rPr>
          <w:rFonts w:cs="Arial"/>
          <w:szCs w:val="22"/>
        </w:rPr>
        <w:t>the chronic dietary exposure assessment</w:t>
      </w:r>
      <w:r w:rsidR="00CD1C5F" w:rsidRPr="005A253D">
        <w:rPr>
          <w:rFonts w:cs="Arial"/>
          <w:szCs w:val="22"/>
        </w:rPr>
        <w:t>s</w:t>
      </w:r>
      <w:r w:rsidR="000959D6" w:rsidRPr="005A253D">
        <w:rPr>
          <w:rFonts w:cs="Arial"/>
          <w:szCs w:val="22"/>
        </w:rPr>
        <w:t xml:space="preserve"> for all surveys.</w:t>
      </w:r>
    </w:p>
    <w:p w:rsidR="00D33562" w:rsidRPr="000C75D3" w:rsidRDefault="00D33562" w:rsidP="00D33562">
      <w:pPr>
        <w:rPr>
          <w:rFonts w:cs="Arial"/>
          <w:szCs w:val="22"/>
        </w:rPr>
      </w:pPr>
    </w:p>
    <w:p w:rsidR="0078300E" w:rsidRDefault="00D33562" w:rsidP="0078300E">
      <w:pPr>
        <w:rPr>
          <w:rFonts w:cs="Arial"/>
          <w:szCs w:val="22"/>
        </w:rPr>
      </w:pPr>
      <w:r w:rsidRPr="000C75D3">
        <w:rPr>
          <w:rFonts w:cs="Arial"/>
          <w:szCs w:val="22"/>
        </w:rPr>
        <w:t>For the acute dietary exposure assessment</w:t>
      </w:r>
      <w:r w:rsidR="00CD1C5F">
        <w:rPr>
          <w:rFonts w:cs="Arial"/>
          <w:szCs w:val="22"/>
        </w:rPr>
        <w:t>s</w:t>
      </w:r>
      <w:r w:rsidR="00D56419">
        <w:rPr>
          <w:rFonts w:cs="Arial"/>
          <w:szCs w:val="22"/>
        </w:rPr>
        <w:t>,</w:t>
      </w:r>
      <w:r w:rsidRPr="000C75D3">
        <w:rPr>
          <w:rFonts w:cs="Arial"/>
          <w:szCs w:val="22"/>
        </w:rPr>
        <w:t xml:space="preserve"> the 97.5</w:t>
      </w:r>
      <w:r w:rsidRPr="000C75D3">
        <w:rPr>
          <w:rFonts w:cs="Arial"/>
          <w:szCs w:val="22"/>
          <w:vertAlign w:val="superscript"/>
        </w:rPr>
        <w:t>th</w:t>
      </w:r>
      <w:r w:rsidRPr="000C75D3">
        <w:rPr>
          <w:rFonts w:cs="Arial"/>
          <w:szCs w:val="22"/>
        </w:rPr>
        <w:t xml:space="preserve"> percentile consumption value for </w:t>
      </w:r>
      <w:r w:rsidR="0078300E">
        <w:rPr>
          <w:rFonts w:cs="Arial"/>
          <w:szCs w:val="22"/>
        </w:rPr>
        <w:t xml:space="preserve">grain and </w:t>
      </w:r>
      <w:r w:rsidRPr="000C75D3">
        <w:rPr>
          <w:rFonts w:cs="Arial"/>
          <w:szCs w:val="22"/>
        </w:rPr>
        <w:t xml:space="preserve">wholemeal breads was used for each of the Australian and New Zealand adult populations. This was based on the assumption that the number of slices of bread (and therefore grams) that would be consumed would be the same </w:t>
      </w:r>
      <w:r w:rsidR="00D56419">
        <w:rPr>
          <w:rFonts w:cs="Arial"/>
          <w:szCs w:val="22"/>
        </w:rPr>
        <w:t xml:space="preserve">whether the bread </w:t>
      </w:r>
      <w:r w:rsidRPr="000C75D3">
        <w:rPr>
          <w:rFonts w:cs="Arial"/>
          <w:szCs w:val="22"/>
        </w:rPr>
        <w:t xml:space="preserve">were wholemeal, grain or linseed </w:t>
      </w:r>
      <w:r w:rsidR="00D56419">
        <w:rPr>
          <w:rFonts w:cs="Arial"/>
          <w:szCs w:val="22"/>
        </w:rPr>
        <w:t>containing</w:t>
      </w:r>
      <w:r w:rsidRPr="000C75D3">
        <w:rPr>
          <w:rFonts w:cs="Arial"/>
          <w:szCs w:val="22"/>
        </w:rPr>
        <w:t>.</w:t>
      </w:r>
    </w:p>
    <w:p w:rsidR="00DE20F7" w:rsidRDefault="00DE20F7" w:rsidP="00DE20F7">
      <w:bookmarkStart w:id="212" w:name="_NOURISH_data_for"/>
      <w:bookmarkStart w:id="213" w:name="Nourish"/>
      <w:bookmarkEnd w:id="212"/>
    </w:p>
    <w:p w:rsidR="00D33562" w:rsidRPr="00DE20F7" w:rsidRDefault="00D33562" w:rsidP="00DE20F7">
      <w:pPr>
        <w:rPr>
          <w:i/>
        </w:rPr>
      </w:pPr>
      <w:r w:rsidRPr="00DE20F7">
        <w:rPr>
          <w:i/>
        </w:rPr>
        <w:t>NOURISH data for infants</w:t>
      </w:r>
    </w:p>
    <w:bookmarkEnd w:id="213"/>
    <w:p w:rsidR="0052274D" w:rsidRDefault="00D33562" w:rsidP="00D33562">
      <w:pPr>
        <w:rPr>
          <w:rFonts w:cs="Arial"/>
          <w:szCs w:val="22"/>
        </w:rPr>
      </w:pPr>
      <w:r w:rsidRPr="000C75D3">
        <w:rPr>
          <w:rFonts w:cs="Arial"/>
          <w:szCs w:val="22"/>
        </w:rPr>
        <w:t>Food consumption data for infants (under 12 months of age) for relevant foods was obtained from the NOURISH study conducted in Australia from 2009 (Daniels et al, 2009). This study</w:t>
      </w:r>
      <w:r w:rsidR="0059383D">
        <w:rPr>
          <w:rFonts w:cs="Arial"/>
          <w:szCs w:val="22"/>
        </w:rPr>
        <w:t xml:space="preserve"> intended to contain </w:t>
      </w:r>
      <w:r w:rsidRPr="000C75D3">
        <w:rPr>
          <w:rFonts w:cs="Arial"/>
          <w:szCs w:val="22"/>
        </w:rPr>
        <w:t xml:space="preserve">three </w:t>
      </w:r>
      <w:r w:rsidR="00866A5F">
        <w:rPr>
          <w:rFonts w:cs="Arial"/>
          <w:szCs w:val="22"/>
        </w:rPr>
        <w:t xml:space="preserve">specific </w:t>
      </w:r>
      <w:r w:rsidR="000954C5">
        <w:rPr>
          <w:rFonts w:cs="Arial"/>
          <w:szCs w:val="22"/>
        </w:rPr>
        <w:t>s</w:t>
      </w:r>
      <w:r w:rsidR="0052274D">
        <w:rPr>
          <w:rFonts w:cs="Arial"/>
          <w:szCs w:val="22"/>
        </w:rPr>
        <w:t>urvey periods</w:t>
      </w:r>
      <w:r w:rsidR="0059383D">
        <w:rPr>
          <w:rFonts w:cs="Arial"/>
          <w:szCs w:val="22"/>
        </w:rPr>
        <w:t>. The aim of the survey was to sample</w:t>
      </w:r>
      <w:r w:rsidRPr="000C75D3">
        <w:rPr>
          <w:rFonts w:cs="Arial"/>
          <w:szCs w:val="22"/>
        </w:rPr>
        <w:t xml:space="preserve"> </w:t>
      </w:r>
      <w:r w:rsidR="0059383D">
        <w:rPr>
          <w:rFonts w:cs="Arial"/>
          <w:szCs w:val="22"/>
        </w:rPr>
        <w:t>infants</w:t>
      </w:r>
      <w:r w:rsidR="0059383D" w:rsidRPr="000C75D3">
        <w:rPr>
          <w:rFonts w:cs="Arial"/>
          <w:szCs w:val="22"/>
        </w:rPr>
        <w:t xml:space="preserve"> </w:t>
      </w:r>
      <w:r w:rsidRPr="00432E51">
        <w:rPr>
          <w:rFonts w:cs="Arial"/>
          <w:szCs w:val="22"/>
        </w:rPr>
        <w:t>at 4-7 months</w:t>
      </w:r>
      <w:r w:rsidRPr="000C75D3">
        <w:rPr>
          <w:rFonts w:cs="Arial"/>
          <w:szCs w:val="22"/>
        </w:rPr>
        <w:t xml:space="preserve"> (Time 1, ‘Baseline’), 13-16 months (Time 2) and 22-25 months (Time 3)</w:t>
      </w:r>
      <w:r w:rsidR="00866A5F">
        <w:rPr>
          <w:rFonts w:cs="Arial"/>
          <w:szCs w:val="22"/>
        </w:rPr>
        <w:t xml:space="preserve"> to</w:t>
      </w:r>
      <w:r w:rsidRPr="000C75D3">
        <w:rPr>
          <w:rFonts w:cs="Arial"/>
          <w:szCs w:val="22"/>
        </w:rPr>
        <w:t xml:space="preserve"> obtain one 24-hour recall and two 24-hour records </w:t>
      </w:r>
      <w:r w:rsidR="00866A5F">
        <w:rPr>
          <w:rFonts w:cs="Arial"/>
          <w:szCs w:val="22"/>
        </w:rPr>
        <w:t>for</w:t>
      </w:r>
      <w:r w:rsidR="00866A5F" w:rsidRPr="000C75D3">
        <w:rPr>
          <w:rFonts w:cs="Arial"/>
          <w:szCs w:val="22"/>
        </w:rPr>
        <w:t xml:space="preserve"> </w:t>
      </w:r>
      <w:r w:rsidRPr="000C75D3">
        <w:rPr>
          <w:rFonts w:cs="Arial"/>
          <w:szCs w:val="22"/>
        </w:rPr>
        <w:t>each respondent at each time</w:t>
      </w:r>
      <w:r w:rsidR="00432E51">
        <w:rPr>
          <w:rFonts w:cs="Arial"/>
          <w:szCs w:val="22"/>
        </w:rPr>
        <w:t xml:space="preserve"> </w:t>
      </w:r>
      <w:r w:rsidRPr="000C75D3">
        <w:rPr>
          <w:rFonts w:cs="Arial"/>
          <w:szCs w:val="22"/>
        </w:rPr>
        <w:t>period (</w:t>
      </w:r>
      <w:r w:rsidRPr="00F26E68">
        <w:rPr>
          <w:i/>
        </w:rPr>
        <w:t>n</w:t>
      </w:r>
      <w:r w:rsidRPr="000C75D3">
        <w:rPr>
          <w:rFonts w:cs="Arial"/>
          <w:szCs w:val="22"/>
        </w:rPr>
        <w:t xml:space="preserve">=9 days of data in total). </w:t>
      </w:r>
      <w:r w:rsidR="0059383D">
        <w:rPr>
          <w:rFonts w:cs="Arial"/>
          <w:szCs w:val="22"/>
        </w:rPr>
        <w:t xml:space="preserve">However, the </w:t>
      </w:r>
      <w:r w:rsidR="00866A5F">
        <w:rPr>
          <w:rFonts w:cs="Arial"/>
          <w:szCs w:val="22"/>
        </w:rPr>
        <w:t>reported</w:t>
      </w:r>
      <w:r w:rsidR="0059383D">
        <w:rPr>
          <w:rFonts w:cs="Arial"/>
          <w:szCs w:val="22"/>
        </w:rPr>
        <w:t xml:space="preserve"> age </w:t>
      </w:r>
      <w:r w:rsidR="00866A5F">
        <w:rPr>
          <w:rFonts w:cs="Arial"/>
          <w:szCs w:val="22"/>
        </w:rPr>
        <w:t>of the respondents at each time</w:t>
      </w:r>
      <w:r w:rsidR="00432E51">
        <w:rPr>
          <w:rFonts w:cs="Arial"/>
          <w:szCs w:val="22"/>
        </w:rPr>
        <w:t xml:space="preserve"> </w:t>
      </w:r>
      <w:r w:rsidR="00866A5F">
        <w:rPr>
          <w:rFonts w:cs="Arial"/>
          <w:szCs w:val="22"/>
        </w:rPr>
        <w:t xml:space="preserve">period </w:t>
      </w:r>
      <w:r w:rsidR="0059383D">
        <w:rPr>
          <w:rFonts w:cs="Arial"/>
          <w:szCs w:val="22"/>
        </w:rPr>
        <w:t xml:space="preserve">differed from </w:t>
      </w:r>
      <w:r w:rsidR="00866A5F">
        <w:rPr>
          <w:rFonts w:cs="Arial"/>
          <w:szCs w:val="22"/>
        </w:rPr>
        <w:t>the survey design. At</w:t>
      </w:r>
      <w:r w:rsidR="0059383D">
        <w:rPr>
          <w:rFonts w:cs="Arial"/>
          <w:szCs w:val="22"/>
        </w:rPr>
        <w:t xml:space="preserve"> </w:t>
      </w:r>
      <w:r w:rsidR="00866A5F">
        <w:rPr>
          <w:rFonts w:cs="Arial"/>
          <w:szCs w:val="22"/>
        </w:rPr>
        <w:t>T</w:t>
      </w:r>
      <w:r w:rsidR="0059383D">
        <w:rPr>
          <w:rFonts w:cs="Arial"/>
          <w:szCs w:val="22"/>
        </w:rPr>
        <w:t>ime 1</w:t>
      </w:r>
      <w:r w:rsidR="00866A5F">
        <w:rPr>
          <w:rFonts w:cs="Arial"/>
          <w:szCs w:val="22"/>
        </w:rPr>
        <w:t>,</w:t>
      </w:r>
      <w:r w:rsidR="0059383D">
        <w:rPr>
          <w:rFonts w:cs="Arial"/>
          <w:szCs w:val="22"/>
        </w:rPr>
        <w:t xml:space="preserve"> </w:t>
      </w:r>
      <w:r w:rsidR="00866A5F">
        <w:rPr>
          <w:rFonts w:cs="Arial"/>
          <w:szCs w:val="22"/>
        </w:rPr>
        <w:t>the age range</w:t>
      </w:r>
      <w:r w:rsidR="00866A5F" w:rsidRPr="00866A5F">
        <w:rPr>
          <w:rFonts w:cs="Arial"/>
          <w:szCs w:val="22"/>
        </w:rPr>
        <w:t xml:space="preserve"> </w:t>
      </w:r>
      <w:r w:rsidR="00866A5F">
        <w:rPr>
          <w:rFonts w:cs="Arial"/>
          <w:szCs w:val="22"/>
        </w:rPr>
        <w:t>based on the date of birth reported was 2-11 months.</w:t>
      </w:r>
    </w:p>
    <w:p w:rsidR="0052274D" w:rsidRDefault="0052274D" w:rsidP="00D33562">
      <w:pPr>
        <w:rPr>
          <w:rFonts w:cs="Arial"/>
          <w:szCs w:val="22"/>
        </w:rPr>
      </w:pPr>
    </w:p>
    <w:p w:rsidR="000959D6" w:rsidRDefault="00CD1C5F" w:rsidP="00D33562">
      <w:pPr>
        <w:rPr>
          <w:rFonts w:cs="Arial"/>
          <w:szCs w:val="22"/>
        </w:rPr>
      </w:pPr>
      <w:r>
        <w:rPr>
          <w:rFonts w:cs="Arial"/>
          <w:szCs w:val="22"/>
        </w:rPr>
        <w:t>As</w:t>
      </w:r>
      <w:r w:rsidRPr="000C75D3">
        <w:rPr>
          <w:rFonts w:cs="Arial"/>
          <w:szCs w:val="22"/>
        </w:rPr>
        <w:t xml:space="preserve"> </w:t>
      </w:r>
      <w:r w:rsidR="00D33562" w:rsidRPr="000C75D3">
        <w:rPr>
          <w:rFonts w:cs="Arial"/>
          <w:szCs w:val="22"/>
        </w:rPr>
        <w:t xml:space="preserve">this study had an </w:t>
      </w:r>
      <w:r>
        <w:rPr>
          <w:rFonts w:cs="Arial"/>
          <w:szCs w:val="22"/>
        </w:rPr>
        <w:t xml:space="preserve">education </w:t>
      </w:r>
      <w:r w:rsidR="00D33562" w:rsidRPr="000C75D3">
        <w:rPr>
          <w:rFonts w:cs="Arial"/>
          <w:szCs w:val="22"/>
        </w:rPr>
        <w:t xml:space="preserve">intervention included, only the </w:t>
      </w:r>
      <w:r w:rsidR="0052274D">
        <w:rPr>
          <w:rFonts w:cs="Arial"/>
          <w:szCs w:val="22"/>
        </w:rPr>
        <w:t>food consumption</w:t>
      </w:r>
      <w:r w:rsidR="00D33562" w:rsidRPr="000C75D3">
        <w:rPr>
          <w:rFonts w:cs="Arial"/>
          <w:szCs w:val="22"/>
        </w:rPr>
        <w:t xml:space="preserve"> data from controls was obtained for use by FSANZ for risk assessment purposes. For this assessment, only the data from </w:t>
      </w:r>
      <w:r w:rsidR="0052274D">
        <w:rPr>
          <w:rFonts w:cs="Arial"/>
          <w:szCs w:val="22"/>
        </w:rPr>
        <w:t>T</w:t>
      </w:r>
      <w:r w:rsidR="00D33562" w:rsidRPr="000C75D3">
        <w:rPr>
          <w:rFonts w:cs="Arial"/>
          <w:szCs w:val="22"/>
        </w:rPr>
        <w:t>ime 1 were used</w:t>
      </w:r>
      <w:r w:rsidR="00866A5F">
        <w:rPr>
          <w:rFonts w:cs="Arial"/>
          <w:szCs w:val="22"/>
        </w:rPr>
        <w:t xml:space="preserve"> (2-11 months)</w:t>
      </w:r>
      <w:r w:rsidR="00D33562" w:rsidRPr="000C75D3">
        <w:rPr>
          <w:rFonts w:cs="Arial"/>
          <w:szCs w:val="22"/>
        </w:rPr>
        <w:t>. Despite the aims</w:t>
      </w:r>
      <w:r>
        <w:rPr>
          <w:rFonts w:cs="Arial"/>
          <w:szCs w:val="22"/>
        </w:rPr>
        <w:t xml:space="preserve"> of the study</w:t>
      </w:r>
      <w:r w:rsidR="005B1F82">
        <w:rPr>
          <w:rFonts w:cs="Arial"/>
          <w:szCs w:val="22"/>
        </w:rPr>
        <w:t>,</w:t>
      </w:r>
      <w:r w:rsidR="00D33562" w:rsidRPr="000C75D3">
        <w:rPr>
          <w:rFonts w:cs="Arial"/>
          <w:szCs w:val="22"/>
        </w:rPr>
        <w:t xml:space="preserve"> there were some respondents </w:t>
      </w:r>
      <w:r w:rsidR="005B1F82">
        <w:rPr>
          <w:rFonts w:cs="Arial"/>
          <w:szCs w:val="22"/>
        </w:rPr>
        <w:t>for which</w:t>
      </w:r>
      <w:r w:rsidR="00D33562" w:rsidRPr="000C75D3">
        <w:rPr>
          <w:rFonts w:cs="Arial"/>
          <w:szCs w:val="22"/>
        </w:rPr>
        <w:t xml:space="preserve"> only one or two days of </w:t>
      </w:r>
      <w:r w:rsidR="005B1F82">
        <w:rPr>
          <w:rFonts w:cs="Arial"/>
          <w:szCs w:val="22"/>
        </w:rPr>
        <w:t xml:space="preserve">consumption </w:t>
      </w:r>
      <w:r w:rsidR="00D33562" w:rsidRPr="000C75D3">
        <w:rPr>
          <w:rFonts w:cs="Arial"/>
          <w:szCs w:val="22"/>
        </w:rPr>
        <w:t>data</w:t>
      </w:r>
      <w:r w:rsidR="005B1F82">
        <w:rPr>
          <w:rFonts w:cs="Arial"/>
          <w:szCs w:val="22"/>
        </w:rPr>
        <w:t xml:space="preserve"> were collected</w:t>
      </w:r>
      <w:r w:rsidR="00D33562" w:rsidRPr="000C75D3">
        <w:rPr>
          <w:rFonts w:cs="Arial"/>
          <w:szCs w:val="22"/>
        </w:rPr>
        <w:t xml:space="preserve">. </w:t>
      </w:r>
      <w:r w:rsidR="004C6379" w:rsidRPr="000C75D3">
        <w:rPr>
          <w:rFonts w:cs="Arial"/>
          <w:szCs w:val="22"/>
        </w:rPr>
        <w:t>In addition</w:t>
      </w:r>
      <w:r w:rsidR="00D33562" w:rsidRPr="000C75D3">
        <w:rPr>
          <w:rFonts w:cs="Arial"/>
          <w:szCs w:val="22"/>
        </w:rPr>
        <w:t xml:space="preserve">, in some cases the three days of </w:t>
      </w:r>
      <w:r w:rsidR="005B1F82">
        <w:rPr>
          <w:rFonts w:cs="Arial"/>
          <w:szCs w:val="22"/>
        </w:rPr>
        <w:t xml:space="preserve">consumption </w:t>
      </w:r>
      <w:r w:rsidR="00D33562" w:rsidRPr="000C75D3">
        <w:rPr>
          <w:rFonts w:cs="Arial"/>
          <w:szCs w:val="22"/>
        </w:rPr>
        <w:t xml:space="preserve">data were not collected within </w:t>
      </w:r>
      <w:r w:rsidR="005B1F82">
        <w:rPr>
          <w:rFonts w:cs="Arial"/>
          <w:szCs w:val="22"/>
        </w:rPr>
        <w:t>the required</w:t>
      </w:r>
      <w:r w:rsidR="00D33562" w:rsidRPr="000C75D3">
        <w:rPr>
          <w:rFonts w:cs="Arial"/>
          <w:szCs w:val="22"/>
        </w:rPr>
        <w:t xml:space="preserve"> 12</w:t>
      </w:r>
      <w:r w:rsidR="005B1F82">
        <w:rPr>
          <w:rFonts w:cs="Arial"/>
          <w:szCs w:val="22"/>
        </w:rPr>
        <w:t>-</w:t>
      </w:r>
      <w:r w:rsidR="00D33562" w:rsidRPr="000C75D3">
        <w:rPr>
          <w:rFonts w:cs="Arial"/>
          <w:szCs w:val="22"/>
        </w:rPr>
        <w:t>day period</w:t>
      </w:r>
      <w:r w:rsidR="0052274D">
        <w:rPr>
          <w:rFonts w:cs="Arial"/>
          <w:szCs w:val="22"/>
        </w:rPr>
        <w:t xml:space="preserve">. </w:t>
      </w:r>
    </w:p>
    <w:p w:rsidR="005B1F82" w:rsidRDefault="005B1F82" w:rsidP="00D33562">
      <w:pPr>
        <w:rPr>
          <w:rFonts w:cs="Arial"/>
          <w:szCs w:val="22"/>
        </w:rPr>
      </w:pPr>
    </w:p>
    <w:p w:rsidR="00FE041A" w:rsidRDefault="005B1F82" w:rsidP="00D33562">
      <w:pPr>
        <w:rPr>
          <w:rFonts w:cs="Arial"/>
          <w:szCs w:val="22"/>
        </w:rPr>
      </w:pPr>
      <w:r>
        <w:rPr>
          <w:rFonts w:cs="Arial"/>
          <w:szCs w:val="22"/>
        </w:rPr>
        <w:t>For a</w:t>
      </w:r>
      <w:r w:rsidR="00D33562" w:rsidRPr="000C75D3">
        <w:rPr>
          <w:rFonts w:cs="Arial"/>
          <w:szCs w:val="22"/>
        </w:rPr>
        <w:t xml:space="preserve">ny </w:t>
      </w:r>
      <w:r>
        <w:rPr>
          <w:rFonts w:cs="Arial"/>
          <w:szCs w:val="22"/>
        </w:rPr>
        <w:t>survey</w:t>
      </w:r>
      <w:r w:rsidR="00D33562" w:rsidRPr="000C75D3">
        <w:rPr>
          <w:rFonts w:cs="Arial"/>
          <w:szCs w:val="22"/>
        </w:rPr>
        <w:t xml:space="preserve"> day</w:t>
      </w:r>
      <w:r>
        <w:rPr>
          <w:rFonts w:cs="Arial"/>
          <w:szCs w:val="22"/>
        </w:rPr>
        <w:t>, if the</w:t>
      </w:r>
      <w:r w:rsidR="00D33562" w:rsidRPr="000C75D3">
        <w:rPr>
          <w:rFonts w:cs="Arial"/>
          <w:szCs w:val="22"/>
        </w:rPr>
        <w:t xml:space="preserve"> respondents’ body weight was not recorded</w:t>
      </w:r>
      <w:r>
        <w:rPr>
          <w:rFonts w:cs="Arial"/>
          <w:szCs w:val="22"/>
        </w:rPr>
        <w:t xml:space="preserve">, then </w:t>
      </w:r>
      <w:r w:rsidR="001D5119">
        <w:rPr>
          <w:rFonts w:cs="Arial"/>
          <w:szCs w:val="22"/>
        </w:rPr>
        <w:t>the record</w:t>
      </w:r>
      <w:r w:rsidR="001D5119" w:rsidRPr="000C75D3">
        <w:rPr>
          <w:rFonts w:cs="Arial"/>
          <w:szCs w:val="22"/>
        </w:rPr>
        <w:t xml:space="preserve"> </w:t>
      </w:r>
      <w:r w:rsidR="00D33562" w:rsidRPr="000C75D3">
        <w:rPr>
          <w:rFonts w:cs="Arial"/>
          <w:szCs w:val="22"/>
        </w:rPr>
        <w:t xml:space="preserve">was not included in the dataset. Each of the (up to) three </w:t>
      </w:r>
      <w:r>
        <w:rPr>
          <w:rFonts w:cs="Arial"/>
          <w:szCs w:val="22"/>
        </w:rPr>
        <w:t>survey</w:t>
      </w:r>
      <w:r w:rsidR="00D33562" w:rsidRPr="000C75D3">
        <w:rPr>
          <w:rFonts w:cs="Arial"/>
          <w:szCs w:val="22"/>
        </w:rPr>
        <w:t xml:space="preserve"> days for each respondent were treated in isolation and counted as a single consumption day. The consumption data for infant juices (or blended juices) or foods made primarily from juice (e.g. fruit gels) were subset, as were consumption data for infant apple puree, including home prepared cooked apples. All consumption data points used were on a ‘per eating occasion’ basis, not summed for a 24-hour period</w:t>
      </w:r>
      <w:r>
        <w:rPr>
          <w:rFonts w:cs="Arial"/>
          <w:szCs w:val="22"/>
        </w:rPr>
        <w:t xml:space="preserve">. </w:t>
      </w:r>
      <w:r w:rsidR="00FE041A" w:rsidRPr="00FE041A">
        <w:rPr>
          <w:rFonts w:cs="Arial"/>
          <w:szCs w:val="22"/>
        </w:rPr>
        <w:t>This is</w:t>
      </w:r>
      <w:r w:rsidR="00D33562" w:rsidRPr="000C75D3">
        <w:rPr>
          <w:rFonts w:cs="Arial"/>
          <w:szCs w:val="22"/>
        </w:rPr>
        <w:t xml:space="preserve"> because </w:t>
      </w:r>
      <w:r w:rsidR="00FE041A" w:rsidRPr="00FE041A">
        <w:rPr>
          <w:rFonts w:cs="Arial"/>
          <w:szCs w:val="22"/>
        </w:rPr>
        <w:t>these</w:t>
      </w:r>
      <w:r w:rsidR="00D33562" w:rsidRPr="000C75D3">
        <w:rPr>
          <w:rFonts w:cs="Arial"/>
          <w:szCs w:val="22"/>
        </w:rPr>
        <w:t xml:space="preserve"> data </w:t>
      </w:r>
      <w:r w:rsidR="00FE041A">
        <w:rPr>
          <w:rFonts w:cs="Arial"/>
          <w:szCs w:val="22"/>
        </w:rPr>
        <w:t>were still in a non-edited</w:t>
      </w:r>
      <w:r w:rsidR="00FE041A" w:rsidRPr="00FE041A">
        <w:rPr>
          <w:rFonts w:cs="Arial"/>
          <w:szCs w:val="22"/>
        </w:rPr>
        <w:t xml:space="preserve"> state at the time the dietary exposure assessment was undertaken</w:t>
      </w:r>
      <w:r w:rsidR="00D33562" w:rsidRPr="000C75D3">
        <w:rPr>
          <w:rFonts w:cs="Arial"/>
          <w:szCs w:val="22"/>
        </w:rPr>
        <w:t xml:space="preserve"> and FSANZ </w:t>
      </w:r>
      <w:r w:rsidR="00FE041A">
        <w:rPr>
          <w:rFonts w:cs="Arial"/>
          <w:szCs w:val="22"/>
        </w:rPr>
        <w:t>had</w:t>
      </w:r>
      <w:r w:rsidR="00D33562" w:rsidRPr="000C75D3">
        <w:rPr>
          <w:rFonts w:cs="Arial"/>
          <w:szCs w:val="22"/>
        </w:rPr>
        <w:t xml:space="preserve"> not yet compiled </w:t>
      </w:r>
      <w:r w:rsidR="00FE041A">
        <w:rPr>
          <w:rFonts w:cs="Arial"/>
          <w:szCs w:val="22"/>
        </w:rPr>
        <w:t xml:space="preserve">the data </w:t>
      </w:r>
      <w:r w:rsidR="00D33562" w:rsidRPr="000C75D3">
        <w:rPr>
          <w:rFonts w:cs="Arial"/>
          <w:szCs w:val="22"/>
        </w:rPr>
        <w:t xml:space="preserve">into </w:t>
      </w:r>
      <w:r>
        <w:rPr>
          <w:rFonts w:cs="Arial"/>
          <w:szCs w:val="22"/>
        </w:rPr>
        <w:t xml:space="preserve">per day </w:t>
      </w:r>
      <w:r w:rsidR="00D33562" w:rsidRPr="000C75D3">
        <w:rPr>
          <w:rFonts w:cs="Arial"/>
          <w:szCs w:val="22"/>
        </w:rPr>
        <w:t>consumption</w:t>
      </w:r>
      <w:r>
        <w:rPr>
          <w:rFonts w:cs="Arial"/>
          <w:szCs w:val="22"/>
        </w:rPr>
        <w:t xml:space="preserve"> amounts</w:t>
      </w:r>
      <w:r w:rsidR="00D33562" w:rsidRPr="000C75D3">
        <w:rPr>
          <w:rFonts w:cs="Arial"/>
          <w:szCs w:val="22"/>
        </w:rPr>
        <w:t xml:space="preserve">. </w:t>
      </w:r>
    </w:p>
    <w:p w:rsidR="00FE041A" w:rsidRDefault="00FE041A" w:rsidP="00D33562">
      <w:pPr>
        <w:rPr>
          <w:rFonts w:cs="Arial"/>
          <w:szCs w:val="22"/>
        </w:rPr>
      </w:pPr>
    </w:p>
    <w:p w:rsidR="00D33562" w:rsidRPr="000C75D3" w:rsidRDefault="00D33562" w:rsidP="00D33562">
      <w:pPr>
        <w:rPr>
          <w:rFonts w:cs="Arial"/>
          <w:szCs w:val="22"/>
        </w:rPr>
      </w:pPr>
      <w:r w:rsidRPr="000C75D3">
        <w:rPr>
          <w:rFonts w:cs="Arial"/>
          <w:szCs w:val="22"/>
        </w:rPr>
        <w:t xml:space="preserve">Label information from commercial ‘infant’ juices </w:t>
      </w:r>
      <w:r w:rsidR="00FE041A">
        <w:rPr>
          <w:rFonts w:cs="Arial"/>
          <w:szCs w:val="22"/>
        </w:rPr>
        <w:t>indicates</w:t>
      </w:r>
      <w:r w:rsidRPr="000C75D3">
        <w:rPr>
          <w:rFonts w:cs="Arial"/>
          <w:szCs w:val="22"/>
        </w:rPr>
        <w:t xml:space="preserve"> that they contain juice diluted with water (around 30% juice). Parents also dilute regular juices prior to consumption, as evidenced by recipes provided in the NOURISH dataset. Both of these situations were taken into account in the estimation of apple juice consumption.</w:t>
      </w:r>
    </w:p>
    <w:p w:rsidR="00D33562" w:rsidRDefault="00D33562" w:rsidP="00D33562"/>
    <w:p w:rsidR="00D33562" w:rsidRDefault="00D33562" w:rsidP="00D33562">
      <w:r>
        <w:br w:type="page"/>
      </w:r>
    </w:p>
    <w:p w:rsidR="00D33562" w:rsidRDefault="00D33562" w:rsidP="00D33562">
      <w:pPr>
        <w:pStyle w:val="Heading1"/>
      </w:pPr>
      <w:bookmarkStart w:id="214" w:name="_Appendix_5._Food"/>
      <w:bookmarkStart w:id="215" w:name="_Ref359928640"/>
      <w:bookmarkStart w:id="216" w:name="_Toc360111856"/>
      <w:bookmarkStart w:id="217" w:name="_Toc367356306"/>
      <w:bookmarkStart w:id="218" w:name="_Toc367362495"/>
      <w:bookmarkStart w:id="219" w:name="_Toc367957667"/>
      <w:bookmarkStart w:id="220" w:name="_Toc367957766"/>
      <w:bookmarkStart w:id="221" w:name="_Toc384293544"/>
      <w:bookmarkEnd w:id="214"/>
      <w:r>
        <w:lastRenderedPageBreak/>
        <w:t xml:space="preserve">Appendix </w:t>
      </w:r>
      <w:bookmarkEnd w:id="194"/>
      <w:bookmarkEnd w:id="211"/>
      <w:bookmarkEnd w:id="215"/>
      <w:r w:rsidR="00860EF0">
        <w:t>8</w:t>
      </w:r>
      <w:r>
        <w:t>. Food mapping</w:t>
      </w:r>
      <w:bookmarkEnd w:id="216"/>
      <w:bookmarkEnd w:id="217"/>
      <w:bookmarkEnd w:id="218"/>
      <w:bookmarkEnd w:id="219"/>
      <w:bookmarkEnd w:id="220"/>
      <w:bookmarkEnd w:id="221"/>
    </w:p>
    <w:p w:rsidR="000C75D3" w:rsidRPr="000C75D3" w:rsidRDefault="000C75D3" w:rsidP="000C75D3"/>
    <w:p w:rsidR="00D33562" w:rsidRPr="000C75D3" w:rsidRDefault="00D33562" w:rsidP="00D33562">
      <w:pPr>
        <w:autoSpaceDE w:val="0"/>
        <w:autoSpaceDN w:val="0"/>
        <w:adjustRightInd w:val="0"/>
        <w:rPr>
          <w:rFonts w:asciiTheme="minorHAnsi" w:hAnsiTheme="minorHAnsi" w:cs="Arial"/>
          <w:b/>
        </w:rPr>
      </w:pPr>
      <w:r w:rsidRPr="000C75D3">
        <w:rPr>
          <w:rFonts w:asciiTheme="minorHAnsi" w:hAnsiTheme="minorHAnsi" w:cs="Arial"/>
          <w:b/>
        </w:rPr>
        <w:t>Table A</w:t>
      </w:r>
      <w:r w:rsidR="00860EF0">
        <w:rPr>
          <w:rFonts w:asciiTheme="minorHAnsi" w:hAnsiTheme="minorHAnsi" w:cs="Arial"/>
          <w:b/>
        </w:rPr>
        <w:t>8</w:t>
      </w:r>
      <w:r w:rsidRPr="000C75D3">
        <w:rPr>
          <w:rFonts w:asciiTheme="minorHAnsi" w:hAnsiTheme="minorHAnsi" w:cs="Arial"/>
          <w:b/>
        </w:rPr>
        <w:t>.1. Foods from the national nutrition surveys that are mapped to analysed foods for the purpose of the dietary exposure assessment</w:t>
      </w:r>
    </w:p>
    <w:tbl>
      <w:tblPr>
        <w:tblStyle w:val="MediumShading1-Accent1"/>
        <w:tblW w:w="9226" w:type="dxa"/>
        <w:tblBorders>
          <w:insideV w:val="single" w:sz="8" w:space="0" w:color="7BA0CD" w:themeColor="accent1" w:themeTint="BF"/>
        </w:tblBorders>
        <w:tblLayout w:type="fixed"/>
        <w:tblLook w:val="04A0" w:firstRow="1" w:lastRow="0" w:firstColumn="1" w:lastColumn="0" w:noHBand="0" w:noVBand="1"/>
      </w:tblPr>
      <w:tblGrid>
        <w:gridCol w:w="3414"/>
        <w:gridCol w:w="3544"/>
        <w:gridCol w:w="2268"/>
      </w:tblGrid>
      <w:tr w:rsidR="00BC07CA" w:rsidRPr="00BC07CA" w:rsidTr="00BC07CA">
        <w:trPr>
          <w:cnfStyle w:val="100000000000" w:firstRow="1" w:lastRow="0" w:firstColumn="0" w:lastColumn="0" w:oddVBand="0" w:evenVBand="0" w:oddHBand="0" w:evenHBand="0" w:firstRowFirstColumn="0" w:firstRowLastColumn="0" w:lastRowFirstColumn="0" w:lastRowLastColumn="0"/>
          <w:trHeight w:val="523"/>
          <w:tblHeader/>
        </w:trPr>
        <w:tc>
          <w:tcPr>
            <w:cnfStyle w:val="001000000000" w:firstRow="0" w:lastRow="0" w:firstColumn="1" w:lastColumn="0" w:oddVBand="0" w:evenVBand="0" w:oddHBand="0" w:evenHBand="0" w:firstRowFirstColumn="0" w:firstRowLastColumn="0" w:lastRowFirstColumn="0" w:lastRowLastColumn="0"/>
            <w:tcW w:w="3414" w:type="dxa"/>
          </w:tcPr>
          <w:p w:rsidR="00BC07CA" w:rsidRDefault="00D33562" w:rsidP="00823493">
            <w:pPr>
              <w:rPr>
                <w:rFonts w:cs="Arial"/>
                <w:b w:val="0"/>
                <w:sz w:val="20"/>
                <w:szCs w:val="20"/>
                <w:lang w:eastAsia="en-GB"/>
              </w:rPr>
            </w:pPr>
            <w:r w:rsidRPr="00BC07CA">
              <w:rPr>
                <w:rFonts w:cs="Arial"/>
                <w:bCs w:val="0"/>
                <w:sz w:val="20"/>
                <w:szCs w:val="20"/>
                <w:lang w:eastAsia="en-GB"/>
              </w:rPr>
              <w:t>Food Analysed</w:t>
            </w:r>
          </w:p>
          <w:p w:rsidR="00D33562" w:rsidRPr="00BC07CA" w:rsidRDefault="00D33562" w:rsidP="00BC07CA">
            <w:pPr>
              <w:rPr>
                <w:rFonts w:cs="Arial"/>
                <w:sz w:val="20"/>
                <w:szCs w:val="20"/>
                <w:lang w:eastAsia="en-GB"/>
              </w:rPr>
            </w:pPr>
          </w:p>
        </w:tc>
        <w:tc>
          <w:tcPr>
            <w:tcW w:w="3544" w:type="dxa"/>
            <w:noWrap/>
            <w:hideMark/>
          </w:tcPr>
          <w:p w:rsidR="00D33562" w:rsidRPr="00BC07CA" w:rsidRDefault="00D33562" w:rsidP="00823493">
            <w:pPr>
              <w:cnfStyle w:val="100000000000" w:firstRow="1" w:lastRow="0" w:firstColumn="0" w:lastColumn="0" w:oddVBand="0" w:evenVBand="0" w:oddHBand="0" w:evenHBand="0" w:firstRowFirstColumn="0" w:firstRowLastColumn="0" w:lastRowFirstColumn="0" w:lastRowLastColumn="0"/>
              <w:rPr>
                <w:rFonts w:cs="Arial"/>
                <w:bCs w:val="0"/>
                <w:sz w:val="20"/>
                <w:szCs w:val="20"/>
                <w:lang w:eastAsia="en-GB"/>
              </w:rPr>
            </w:pPr>
            <w:r w:rsidRPr="00BC07CA">
              <w:rPr>
                <w:rFonts w:cs="Arial"/>
                <w:bCs w:val="0"/>
                <w:sz w:val="20"/>
                <w:szCs w:val="20"/>
                <w:lang w:eastAsia="en-GB"/>
              </w:rPr>
              <w:t xml:space="preserve">Nutrition Survey Foods Included </w:t>
            </w:r>
          </w:p>
        </w:tc>
        <w:tc>
          <w:tcPr>
            <w:tcW w:w="2268" w:type="dxa"/>
            <w:hideMark/>
          </w:tcPr>
          <w:p w:rsidR="00D33562" w:rsidRPr="00BC07CA" w:rsidRDefault="00D33562" w:rsidP="00823493">
            <w:pPr>
              <w:cnfStyle w:val="100000000000" w:firstRow="1" w:lastRow="0" w:firstColumn="0" w:lastColumn="0" w:oddVBand="0" w:evenVBand="0" w:oddHBand="0" w:evenHBand="0" w:firstRowFirstColumn="0" w:firstRowLastColumn="0" w:lastRowFirstColumn="0" w:lastRowLastColumn="0"/>
              <w:rPr>
                <w:rFonts w:cs="Arial"/>
                <w:bCs w:val="0"/>
                <w:sz w:val="20"/>
                <w:szCs w:val="20"/>
                <w:lang w:eastAsia="en-GB"/>
              </w:rPr>
            </w:pPr>
            <w:r w:rsidRPr="00BC07CA">
              <w:rPr>
                <w:rFonts w:cs="Arial"/>
                <w:bCs w:val="0"/>
                <w:sz w:val="20"/>
                <w:szCs w:val="20"/>
                <w:lang w:eastAsia="en-GB"/>
              </w:rPr>
              <w:t>Food Name for Reporting</w:t>
            </w:r>
          </w:p>
        </w:tc>
      </w:tr>
      <w:tr w:rsidR="00D33562" w:rsidRPr="000C75D3" w:rsidTr="007427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rsidR="00D33562" w:rsidRPr="00BC07CA" w:rsidRDefault="00D33562" w:rsidP="00823493">
            <w:pPr>
              <w:rPr>
                <w:rFonts w:cs="Arial"/>
                <w:b w:val="0"/>
                <w:color w:val="000000"/>
                <w:sz w:val="20"/>
                <w:szCs w:val="20"/>
                <w:lang w:eastAsia="en-GB"/>
              </w:rPr>
            </w:pPr>
            <w:r w:rsidRPr="00BC07CA">
              <w:rPr>
                <w:rFonts w:cs="Arial"/>
                <w:b w:val="0"/>
                <w:color w:val="000000"/>
                <w:sz w:val="20"/>
                <w:szCs w:val="20"/>
                <w:lang w:eastAsia="en-GB"/>
              </w:rPr>
              <w:t>Almonds, whole, flaked, ground and butter, almond jelly</w:t>
            </w:r>
          </w:p>
        </w:tc>
        <w:tc>
          <w:tcPr>
            <w:tcW w:w="3544" w:type="dxa"/>
            <w:tcBorders>
              <w:left w:val="none" w:sz="0" w:space="0" w:color="auto"/>
              <w:right w:val="none" w:sz="0" w:space="0" w:color="auto"/>
            </w:tcBorders>
            <w:noWrap/>
            <w:hideMark/>
          </w:tcPr>
          <w:p w:rsidR="00D33562" w:rsidRPr="000C75D3" w:rsidRDefault="00D33562"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Almonds whole, slivered, raw, roasted, almond meal, almond butter</w:t>
            </w:r>
          </w:p>
        </w:tc>
        <w:tc>
          <w:tcPr>
            <w:tcW w:w="2268" w:type="dxa"/>
            <w:tcBorders>
              <w:left w:val="none" w:sz="0" w:space="0" w:color="auto"/>
            </w:tcBorders>
            <w:noWrap/>
            <w:hideMark/>
          </w:tcPr>
          <w:p w:rsidR="00D33562" w:rsidRPr="000C75D3" w:rsidRDefault="00D33562"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Almonds</w:t>
            </w:r>
          </w:p>
        </w:tc>
      </w:tr>
      <w:tr w:rsidR="00D33562" w:rsidRPr="000C75D3" w:rsidTr="007427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rsidR="00D33562" w:rsidRPr="00BC07CA" w:rsidRDefault="00D33562" w:rsidP="00823493">
            <w:pPr>
              <w:rPr>
                <w:rFonts w:cs="Arial"/>
                <w:b w:val="0"/>
                <w:color w:val="000000"/>
                <w:sz w:val="20"/>
                <w:szCs w:val="20"/>
                <w:lang w:eastAsia="en-GB"/>
              </w:rPr>
            </w:pPr>
            <w:r w:rsidRPr="00BC07CA">
              <w:rPr>
                <w:rFonts w:cs="Arial"/>
                <w:b w:val="0"/>
                <w:color w:val="000000"/>
                <w:sz w:val="20"/>
                <w:szCs w:val="20"/>
                <w:lang w:eastAsia="en-GB"/>
              </w:rPr>
              <w:t>Almond oil</w:t>
            </w:r>
          </w:p>
        </w:tc>
        <w:tc>
          <w:tcPr>
            <w:tcW w:w="3544" w:type="dxa"/>
            <w:tcBorders>
              <w:left w:val="none" w:sz="0" w:space="0" w:color="auto"/>
              <w:right w:val="none" w:sz="0" w:space="0" w:color="auto"/>
            </w:tcBorders>
            <w:noWrap/>
            <w:hideMark/>
          </w:tcPr>
          <w:p w:rsidR="00D33562" w:rsidRPr="000C75D3" w:rsidRDefault="00D33562"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Almond oil</w:t>
            </w:r>
          </w:p>
        </w:tc>
        <w:tc>
          <w:tcPr>
            <w:tcW w:w="2268" w:type="dxa"/>
            <w:tcBorders>
              <w:left w:val="none" w:sz="0" w:space="0" w:color="auto"/>
            </w:tcBorders>
            <w:noWrap/>
            <w:hideMark/>
          </w:tcPr>
          <w:p w:rsidR="00D33562" w:rsidRPr="000C75D3" w:rsidRDefault="00D33562"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Almond oil</w:t>
            </w:r>
          </w:p>
        </w:tc>
      </w:tr>
      <w:tr w:rsidR="00D33562" w:rsidRPr="000C75D3" w:rsidTr="007427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rsidR="00D33562" w:rsidRPr="00BC07CA" w:rsidRDefault="00D33562" w:rsidP="00823493">
            <w:pPr>
              <w:rPr>
                <w:rFonts w:cs="Arial"/>
                <w:b w:val="0"/>
                <w:color w:val="000000"/>
                <w:sz w:val="20"/>
                <w:szCs w:val="20"/>
                <w:lang w:eastAsia="en-GB"/>
              </w:rPr>
            </w:pPr>
            <w:r w:rsidRPr="00BC07CA">
              <w:rPr>
                <w:rFonts w:cs="Arial"/>
                <w:b w:val="0"/>
                <w:color w:val="000000"/>
                <w:sz w:val="20"/>
                <w:szCs w:val="20"/>
                <w:lang w:eastAsia="en-GB"/>
              </w:rPr>
              <w:t>Apple cider vinegar</w:t>
            </w:r>
          </w:p>
        </w:tc>
        <w:tc>
          <w:tcPr>
            <w:tcW w:w="3544" w:type="dxa"/>
            <w:tcBorders>
              <w:left w:val="none" w:sz="0" w:space="0" w:color="auto"/>
              <w:right w:val="none" w:sz="0" w:space="0" w:color="auto"/>
            </w:tcBorders>
            <w:noWrap/>
            <w:hideMark/>
          </w:tcPr>
          <w:p w:rsidR="00D33562" w:rsidRPr="000C75D3" w:rsidRDefault="00D33562"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Vinegar</w:t>
            </w:r>
          </w:p>
        </w:tc>
        <w:tc>
          <w:tcPr>
            <w:tcW w:w="2268" w:type="dxa"/>
            <w:tcBorders>
              <w:left w:val="none" w:sz="0" w:space="0" w:color="auto"/>
            </w:tcBorders>
            <w:noWrap/>
            <w:hideMark/>
          </w:tcPr>
          <w:p w:rsidR="00D33562" w:rsidRPr="000C75D3" w:rsidRDefault="00D33562"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Apple cider vinegar</w:t>
            </w:r>
          </w:p>
        </w:tc>
      </w:tr>
      <w:tr w:rsidR="00D33562" w:rsidRPr="000C75D3" w:rsidTr="007427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rsidR="00D33562" w:rsidRPr="00BC07CA" w:rsidRDefault="00D33562" w:rsidP="00823493">
            <w:pPr>
              <w:rPr>
                <w:rFonts w:cs="Arial"/>
                <w:b w:val="0"/>
                <w:color w:val="000000"/>
                <w:sz w:val="20"/>
                <w:szCs w:val="20"/>
                <w:lang w:eastAsia="en-GB"/>
              </w:rPr>
            </w:pPr>
            <w:r w:rsidRPr="00BC07CA">
              <w:rPr>
                <w:rFonts w:cs="Arial"/>
                <w:b w:val="0"/>
                <w:color w:val="000000"/>
                <w:sz w:val="20"/>
                <w:szCs w:val="20"/>
                <w:lang w:eastAsia="en-GB"/>
              </w:rPr>
              <w:t>Apple juice</w:t>
            </w:r>
          </w:p>
        </w:tc>
        <w:tc>
          <w:tcPr>
            <w:tcW w:w="3544" w:type="dxa"/>
            <w:tcBorders>
              <w:left w:val="none" w:sz="0" w:space="0" w:color="auto"/>
              <w:right w:val="none" w:sz="0" w:space="0" w:color="auto"/>
            </w:tcBorders>
            <w:noWrap/>
            <w:hideMark/>
          </w:tcPr>
          <w:p w:rsidR="00D33562" w:rsidRPr="000C75D3" w:rsidRDefault="00D33562"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Apple juice (includes where apple juice used in a blended juice), fruit gels (for infant assessment only)</w:t>
            </w:r>
          </w:p>
        </w:tc>
        <w:tc>
          <w:tcPr>
            <w:tcW w:w="2268" w:type="dxa"/>
            <w:tcBorders>
              <w:left w:val="none" w:sz="0" w:space="0" w:color="auto"/>
            </w:tcBorders>
            <w:noWrap/>
            <w:hideMark/>
          </w:tcPr>
          <w:p w:rsidR="00D33562" w:rsidRPr="000C75D3" w:rsidRDefault="00D33562"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Apple juice</w:t>
            </w:r>
          </w:p>
        </w:tc>
      </w:tr>
      <w:tr w:rsidR="00D33562" w:rsidRPr="000C75D3" w:rsidTr="007427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rsidR="00D33562" w:rsidRPr="00BC07CA" w:rsidRDefault="00D33562" w:rsidP="00823493">
            <w:pPr>
              <w:rPr>
                <w:rFonts w:cs="Arial"/>
                <w:b w:val="0"/>
                <w:color w:val="000000"/>
                <w:sz w:val="20"/>
                <w:szCs w:val="20"/>
                <w:lang w:eastAsia="en-GB"/>
              </w:rPr>
            </w:pPr>
            <w:r w:rsidRPr="00BC07CA">
              <w:rPr>
                <w:rFonts w:cs="Arial"/>
                <w:b w:val="0"/>
                <w:color w:val="000000"/>
                <w:sz w:val="20"/>
                <w:szCs w:val="20"/>
                <w:lang w:eastAsia="en-GB"/>
              </w:rPr>
              <w:t>Apple sauce</w:t>
            </w:r>
          </w:p>
        </w:tc>
        <w:tc>
          <w:tcPr>
            <w:tcW w:w="3544" w:type="dxa"/>
            <w:tcBorders>
              <w:left w:val="none" w:sz="0" w:space="0" w:color="auto"/>
              <w:right w:val="none" w:sz="0" w:space="0" w:color="auto"/>
            </w:tcBorders>
            <w:noWrap/>
            <w:hideMark/>
          </w:tcPr>
          <w:p w:rsidR="00D33562" w:rsidRPr="000C75D3" w:rsidRDefault="00D33562"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Apple sauce</w:t>
            </w:r>
          </w:p>
        </w:tc>
        <w:tc>
          <w:tcPr>
            <w:tcW w:w="2268" w:type="dxa"/>
            <w:tcBorders>
              <w:left w:val="none" w:sz="0" w:space="0" w:color="auto"/>
            </w:tcBorders>
            <w:noWrap/>
            <w:hideMark/>
          </w:tcPr>
          <w:p w:rsidR="00D33562" w:rsidRPr="000C75D3" w:rsidRDefault="00D33562"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Apple sauce</w:t>
            </w:r>
          </w:p>
        </w:tc>
      </w:tr>
      <w:tr w:rsidR="00D33562" w:rsidRPr="000C75D3" w:rsidTr="007427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rsidR="00D33562" w:rsidRPr="00BC07CA" w:rsidRDefault="00D33562" w:rsidP="00823493">
            <w:pPr>
              <w:rPr>
                <w:rFonts w:cs="Arial"/>
                <w:b w:val="0"/>
                <w:color w:val="000000"/>
                <w:sz w:val="20"/>
                <w:szCs w:val="20"/>
                <w:lang w:eastAsia="en-GB"/>
              </w:rPr>
            </w:pPr>
            <w:r w:rsidRPr="00BC07CA">
              <w:rPr>
                <w:rFonts w:cs="Arial"/>
                <w:b w:val="0"/>
                <w:color w:val="000000"/>
                <w:sz w:val="20"/>
                <w:szCs w:val="20"/>
                <w:lang w:eastAsia="en-GB"/>
              </w:rPr>
              <w:t>Apple puree</w:t>
            </w:r>
          </w:p>
        </w:tc>
        <w:tc>
          <w:tcPr>
            <w:tcW w:w="3544" w:type="dxa"/>
            <w:tcBorders>
              <w:left w:val="none" w:sz="0" w:space="0" w:color="auto"/>
              <w:right w:val="none" w:sz="0" w:space="0" w:color="auto"/>
            </w:tcBorders>
            <w:noWrap/>
            <w:hideMark/>
          </w:tcPr>
          <w:p w:rsidR="00D33562" w:rsidRPr="000C75D3" w:rsidRDefault="00D33562"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Infant apples, canned; infant fruit not further specified</w:t>
            </w:r>
          </w:p>
        </w:tc>
        <w:tc>
          <w:tcPr>
            <w:tcW w:w="2268" w:type="dxa"/>
            <w:tcBorders>
              <w:left w:val="none" w:sz="0" w:space="0" w:color="auto"/>
            </w:tcBorders>
            <w:noWrap/>
            <w:hideMark/>
          </w:tcPr>
          <w:p w:rsidR="00D33562" w:rsidRPr="000C75D3" w:rsidRDefault="00D33562"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Apple puree, infant food</w:t>
            </w:r>
          </w:p>
        </w:tc>
      </w:tr>
      <w:tr w:rsidR="00D33562" w:rsidRPr="000C75D3" w:rsidTr="007427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rsidR="00D33562" w:rsidRPr="00BC07CA" w:rsidRDefault="00D33562" w:rsidP="00823493">
            <w:pPr>
              <w:rPr>
                <w:rFonts w:cs="Arial"/>
                <w:b w:val="0"/>
                <w:color w:val="000000"/>
                <w:sz w:val="20"/>
                <w:szCs w:val="20"/>
                <w:lang w:eastAsia="en-GB"/>
              </w:rPr>
            </w:pPr>
            <w:r w:rsidRPr="00BC07CA">
              <w:rPr>
                <w:rFonts w:cs="Arial"/>
                <w:b w:val="0"/>
                <w:color w:val="000000"/>
                <w:sz w:val="20"/>
                <w:szCs w:val="20"/>
                <w:lang w:eastAsia="en-GB"/>
              </w:rPr>
              <w:t>Apricot jam</w:t>
            </w:r>
          </w:p>
        </w:tc>
        <w:tc>
          <w:tcPr>
            <w:tcW w:w="3544" w:type="dxa"/>
            <w:tcBorders>
              <w:left w:val="none" w:sz="0" w:space="0" w:color="auto"/>
              <w:right w:val="none" w:sz="0" w:space="0" w:color="auto"/>
            </w:tcBorders>
            <w:noWrap/>
            <w:hideMark/>
          </w:tcPr>
          <w:p w:rsidR="00D33562" w:rsidRPr="000C75D3" w:rsidRDefault="00D33562"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Apricot jam, and/or stone fruit jam, or if specific jams not available, generic jams; sugar sweetened, reduced sugar and intense sweetened varieties</w:t>
            </w:r>
          </w:p>
        </w:tc>
        <w:tc>
          <w:tcPr>
            <w:tcW w:w="2268" w:type="dxa"/>
            <w:tcBorders>
              <w:left w:val="none" w:sz="0" w:space="0" w:color="auto"/>
            </w:tcBorders>
            <w:noWrap/>
            <w:hideMark/>
          </w:tcPr>
          <w:p w:rsidR="00D33562" w:rsidRPr="000C75D3" w:rsidRDefault="00D33562"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Apricot jam</w:t>
            </w:r>
          </w:p>
        </w:tc>
      </w:tr>
      <w:tr w:rsidR="00D33562" w:rsidRPr="000C75D3" w:rsidTr="007427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rsidR="00D33562" w:rsidRPr="00BC07CA" w:rsidRDefault="00D33562" w:rsidP="00823493">
            <w:pPr>
              <w:rPr>
                <w:rFonts w:cs="Arial"/>
                <w:b w:val="0"/>
                <w:color w:val="000000"/>
                <w:sz w:val="20"/>
                <w:szCs w:val="20"/>
                <w:lang w:eastAsia="en-GB"/>
              </w:rPr>
            </w:pPr>
            <w:r w:rsidRPr="00BC07CA">
              <w:rPr>
                <w:rFonts w:cs="Arial"/>
                <w:b w:val="0"/>
                <w:color w:val="000000"/>
                <w:sz w:val="20"/>
                <w:szCs w:val="20"/>
                <w:lang w:eastAsia="en-GB"/>
              </w:rPr>
              <w:t>Apricot nectar</w:t>
            </w:r>
          </w:p>
        </w:tc>
        <w:tc>
          <w:tcPr>
            <w:tcW w:w="3544" w:type="dxa"/>
            <w:tcBorders>
              <w:left w:val="none" w:sz="0" w:space="0" w:color="auto"/>
              <w:right w:val="none" w:sz="0" w:space="0" w:color="auto"/>
            </w:tcBorders>
            <w:noWrap/>
            <w:hideMark/>
          </w:tcPr>
          <w:p w:rsidR="00D33562" w:rsidRPr="000C75D3" w:rsidRDefault="00D33562"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Apricot nectar, juice containing apricot nectar, apricot juice, juice drinks containing apricot nectar or apricot juice</w:t>
            </w:r>
          </w:p>
        </w:tc>
        <w:tc>
          <w:tcPr>
            <w:tcW w:w="2268" w:type="dxa"/>
            <w:tcBorders>
              <w:left w:val="none" w:sz="0" w:space="0" w:color="auto"/>
            </w:tcBorders>
            <w:noWrap/>
            <w:hideMark/>
          </w:tcPr>
          <w:p w:rsidR="00D33562" w:rsidRPr="000C75D3" w:rsidRDefault="00D33562"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Apricot nectar</w:t>
            </w:r>
          </w:p>
        </w:tc>
      </w:tr>
      <w:tr w:rsidR="00D33562" w:rsidRPr="000C75D3" w:rsidTr="007427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rsidR="00D33562" w:rsidRPr="00BC07CA" w:rsidRDefault="00D33562" w:rsidP="00823493">
            <w:pPr>
              <w:rPr>
                <w:rFonts w:cs="Arial"/>
                <w:b w:val="0"/>
                <w:color w:val="000000"/>
                <w:sz w:val="20"/>
                <w:szCs w:val="20"/>
                <w:lang w:eastAsia="en-GB"/>
              </w:rPr>
            </w:pPr>
            <w:r w:rsidRPr="00BC07CA">
              <w:rPr>
                <w:rFonts w:cs="Arial"/>
                <w:b w:val="0"/>
                <w:color w:val="000000"/>
                <w:sz w:val="20"/>
                <w:szCs w:val="20"/>
                <w:lang w:eastAsia="en-GB"/>
              </w:rPr>
              <w:t>Canned apricots</w:t>
            </w:r>
          </w:p>
        </w:tc>
        <w:tc>
          <w:tcPr>
            <w:tcW w:w="3544" w:type="dxa"/>
            <w:tcBorders>
              <w:left w:val="none" w:sz="0" w:space="0" w:color="auto"/>
              <w:right w:val="none" w:sz="0" w:space="0" w:color="auto"/>
            </w:tcBorders>
            <w:noWrap/>
            <w:hideMark/>
          </w:tcPr>
          <w:p w:rsidR="00D33562" w:rsidRPr="000C75D3" w:rsidRDefault="00D33562"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Canned apricots in water, juice, and syrup</w:t>
            </w:r>
          </w:p>
        </w:tc>
        <w:tc>
          <w:tcPr>
            <w:tcW w:w="2268" w:type="dxa"/>
            <w:tcBorders>
              <w:left w:val="none" w:sz="0" w:space="0" w:color="auto"/>
            </w:tcBorders>
            <w:noWrap/>
            <w:hideMark/>
          </w:tcPr>
          <w:p w:rsidR="00D33562" w:rsidRPr="000C75D3" w:rsidRDefault="00D33562"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Apricots, canned</w:t>
            </w:r>
          </w:p>
        </w:tc>
      </w:tr>
      <w:tr w:rsidR="00D33562" w:rsidRPr="000C75D3" w:rsidTr="007427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rsidR="00D33562" w:rsidRPr="00BC07CA" w:rsidRDefault="00D33562" w:rsidP="00823493">
            <w:pPr>
              <w:rPr>
                <w:rFonts w:cs="Arial"/>
                <w:b w:val="0"/>
                <w:color w:val="000000"/>
                <w:sz w:val="20"/>
                <w:szCs w:val="20"/>
                <w:lang w:eastAsia="en-GB"/>
              </w:rPr>
            </w:pPr>
            <w:r w:rsidRPr="00BC07CA">
              <w:rPr>
                <w:rFonts w:cs="Arial"/>
                <w:b w:val="0"/>
                <w:color w:val="000000"/>
                <w:sz w:val="20"/>
                <w:szCs w:val="20"/>
                <w:lang w:eastAsia="en-GB"/>
              </w:rPr>
              <w:t>Bamboo shoots (canned, boiled in water, in brine, soured, pickled)</w:t>
            </w:r>
          </w:p>
        </w:tc>
        <w:tc>
          <w:tcPr>
            <w:tcW w:w="3544" w:type="dxa"/>
            <w:tcBorders>
              <w:left w:val="none" w:sz="0" w:space="0" w:color="auto"/>
              <w:right w:val="none" w:sz="0" w:space="0" w:color="auto"/>
            </w:tcBorders>
            <w:noWrap/>
            <w:hideMark/>
          </w:tcPr>
          <w:p w:rsidR="00D33562" w:rsidRPr="000C75D3" w:rsidRDefault="00D33562"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Bamboo shoots, cooked from fresh and canned</w:t>
            </w:r>
          </w:p>
        </w:tc>
        <w:tc>
          <w:tcPr>
            <w:tcW w:w="2268" w:type="dxa"/>
            <w:tcBorders>
              <w:left w:val="none" w:sz="0" w:space="0" w:color="auto"/>
            </w:tcBorders>
            <w:noWrap/>
            <w:hideMark/>
          </w:tcPr>
          <w:p w:rsidR="00D33562" w:rsidRPr="000C75D3" w:rsidRDefault="00D33562"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Bamboo shoots</w:t>
            </w:r>
          </w:p>
        </w:tc>
      </w:tr>
      <w:tr w:rsidR="00D33562" w:rsidRPr="000C75D3" w:rsidTr="007427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rsidR="00D33562" w:rsidRPr="00BC07CA" w:rsidRDefault="00D33562" w:rsidP="00823493">
            <w:pPr>
              <w:rPr>
                <w:rFonts w:cs="Arial"/>
                <w:b w:val="0"/>
                <w:color w:val="000000"/>
                <w:sz w:val="20"/>
                <w:szCs w:val="20"/>
                <w:lang w:eastAsia="en-GB"/>
              </w:rPr>
            </w:pPr>
            <w:r w:rsidRPr="00BC07CA">
              <w:rPr>
                <w:rFonts w:cs="Arial"/>
                <w:b w:val="0"/>
                <w:color w:val="000000"/>
                <w:sz w:val="20"/>
                <w:szCs w:val="20"/>
                <w:lang w:eastAsia="en-GB"/>
              </w:rPr>
              <w:t>Amaretti biscuits</w:t>
            </w:r>
            <w:r w:rsidRPr="00BC07CA">
              <w:rPr>
                <w:rFonts w:cs="Arial"/>
                <w:b w:val="0"/>
                <w:color w:val="000000"/>
                <w:sz w:val="20"/>
                <w:szCs w:val="20"/>
                <w:lang w:eastAsia="en-GB"/>
              </w:rPr>
              <w:br/>
            </w:r>
          </w:p>
        </w:tc>
        <w:tc>
          <w:tcPr>
            <w:tcW w:w="3544" w:type="dxa"/>
            <w:tcBorders>
              <w:left w:val="none" w:sz="0" w:space="0" w:color="auto"/>
              <w:right w:val="none" w:sz="0" w:space="0" w:color="auto"/>
            </w:tcBorders>
            <w:noWrap/>
            <w:hideMark/>
          </w:tcPr>
          <w:p w:rsidR="00D33562" w:rsidRPr="000C75D3" w:rsidRDefault="00D33562"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Sweet biscuits containing nuts or fruit and nuts, macaroons; commercial or homemade</w:t>
            </w:r>
          </w:p>
        </w:tc>
        <w:tc>
          <w:tcPr>
            <w:tcW w:w="2268" w:type="dxa"/>
            <w:tcBorders>
              <w:left w:val="none" w:sz="0" w:space="0" w:color="auto"/>
            </w:tcBorders>
            <w:noWrap/>
            <w:hideMark/>
          </w:tcPr>
          <w:p w:rsidR="00D33562" w:rsidRPr="000C75D3" w:rsidRDefault="00D33562"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Biscuits (amaretti)</w:t>
            </w:r>
          </w:p>
        </w:tc>
      </w:tr>
      <w:tr w:rsidR="00D33562" w:rsidRPr="000C75D3" w:rsidTr="007427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rsidR="00D33562" w:rsidRPr="00BC07CA" w:rsidRDefault="00D33562" w:rsidP="00823493">
            <w:pPr>
              <w:rPr>
                <w:rFonts w:cs="Arial"/>
                <w:b w:val="0"/>
                <w:color w:val="000000"/>
                <w:sz w:val="20"/>
                <w:szCs w:val="20"/>
                <w:lang w:eastAsia="en-GB"/>
              </w:rPr>
            </w:pPr>
            <w:r w:rsidRPr="00BC07CA">
              <w:rPr>
                <w:rFonts w:cs="Arial"/>
                <w:b w:val="0"/>
                <w:color w:val="000000"/>
                <w:sz w:val="20"/>
                <w:szCs w:val="20"/>
                <w:lang w:eastAsia="en-GB"/>
              </w:rPr>
              <w:t>Almond fingers and apple fingers</w:t>
            </w:r>
          </w:p>
        </w:tc>
        <w:tc>
          <w:tcPr>
            <w:tcW w:w="3544" w:type="dxa"/>
            <w:tcBorders>
              <w:left w:val="none" w:sz="0" w:space="0" w:color="auto"/>
              <w:right w:val="none" w:sz="0" w:space="0" w:color="auto"/>
            </w:tcBorders>
            <w:noWrap/>
            <w:hideMark/>
          </w:tcPr>
          <w:p w:rsidR="00D33562" w:rsidRPr="000C75D3" w:rsidRDefault="00D33562"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Sweet biscuits containing nuts or fruit and nuts, macaroons; commercial or homemade</w:t>
            </w:r>
          </w:p>
        </w:tc>
        <w:tc>
          <w:tcPr>
            <w:tcW w:w="2268" w:type="dxa"/>
            <w:tcBorders>
              <w:left w:val="none" w:sz="0" w:space="0" w:color="auto"/>
            </w:tcBorders>
            <w:noWrap/>
            <w:hideMark/>
          </w:tcPr>
          <w:p w:rsidR="00D33562" w:rsidRPr="000C75D3" w:rsidRDefault="00D33562"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Biscuits (almond fingers/apple fingers)</w:t>
            </w:r>
          </w:p>
        </w:tc>
      </w:tr>
      <w:tr w:rsidR="00D33562" w:rsidRPr="000C75D3" w:rsidTr="007427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rsidR="00D33562" w:rsidRPr="00BC07CA" w:rsidRDefault="00D33562" w:rsidP="00823493">
            <w:pPr>
              <w:rPr>
                <w:rFonts w:cs="Arial"/>
                <w:b w:val="0"/>
                <w:color w:val="000000"/>
                <w:sz w:val="20"/>
                <w:szCs w:val="20"/>
                <w:lang w:eastAsia="en-GB"/>
              </w:rPr>
            </w:pPr>
            <w:r w:rsidRPr="00BC07CA">
              <w:rPr>
                <w:rFonts w:cs="Arial"/>
                <w:b w:val="0"/>
                <w:color w:val="000000"/>
                <w:sz w:val="20"/>
                <w:szCs w:val="20"/>
                <w:lang w:eastAsia="en-GB"/>
              </w:rPr>
              <w:t xml:space="preserve">Canned butter beans, canned four bean mix and mixed bean salad </w:t>
            </w:r>
          </w:p>
        </w:tc>
        <w:tc>
          <w:tcPr>
            <w:tcW w:w="3544" w:type="dxa"/>
            <w:tcBorders>
              <w:left w:val="none" w:sz="0" w:space="0" w:color="auto"/>
              <w:right w:val="none" w:sz="0" w:space="0" w:color="auto"/>
            </w:tcBorders>
            <w:noWrap/>
            <w:hideMark/>
          </w:tcPr>
          <w:p w:rsidR="00D33562" w:rsidRPr="000C75D3" w:rsidRDefault="00D33562"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Butter bean, fresh, cooked or canned</w:t>
            </w:r>
          </w:p>
        </w:tc>
        <w:tc>
          <w:tcPr>
            <w:tcW w:w="2268" w:type="dxa"/>
            <w:tcBorders>
              <w:left w:val="none" w:sz="0" w:space="0" w:color="auto"/>
            </w:tcBorders>
            <w:noWrap/>
            <w:hideMark/>
          </w:tcPr>
          <w:p w:rsidR="00D33562" w:rsidRPr="000C75D3" w:rsidRDefault="00D33562"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Butter beans</w:t>
            </w:r>
          </w:p>
        </w:tc>
      </w:tr>
      <w:tr w:rsidR="00D33562" w:rsidRPr="000C75D3" w:rsidTr="007427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rsidR="00D33562" w:rsidRPr="00BC07CA" w:rsidRDefault="00D33562" w:rsidP="00823493">
            <w:pPr>
              <w:rPr>
                <w:rFonts w:cs="Arial"/>
                <w:b w:val="0"/>
                <w:color w:val="000000"/>
                <w:sz w:val="20"/>
                <w:szCs w:val="20"/>
                <w:lang w:eastAsia="en-GB"/>
              </w:rPr>
            </w:pPr>
            <w:r w:rsidRPr="00BC07CA">
              <w:rPr>
                <w:rFonts w:cs="Arial"/>
                <w:b w:val="0"/>
                <w:color w:val="000000"/>
                <w:sz w:val="20"/>
                <w:szCs w:val="20"/>
                <w:lang w:eastAsia="en-GB"/>
              </w:rPr>
              <w:t>Lima beans, white and green (raw)</w:t>
            </w:r>
          </w:p>
        </w:tc>
        <w:tc>
          <w:tcPr>
            <w:tcW w:w="3544" w:type="dxa"/>
            <w:tcBorders>
              <w:left w:val="none" w:sz="0" w:space="0" w:color="auto"/>
              <w:right w:val="none" w:sz="0" w:space="0" w:color="auto"/>
            </w:tcBorders>
            <w:noWrap/>
            <w:hideMark/>
          </w:tcPr>
          <w:p w:rsidR="00D33562" w:rsidRPr="000C75D3" w:rsidRDefault="00D33562"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Lima bean, cooked, canned or dried</w:t>
            </w:r>
          </w:p>
        </w:tc>
        <w:tc>
          <w:tcPr>
            <w:tcW w:w="2268" w:type="dxa"/>
            <w:tcBorders>
              <w:left w:val="none" w:sz="0" w:space="0" w:color="auto"/>
            </w:tcBorders>
            <w:noWrap/>
            <w:hideMark/>
          </w:tcPr>
          <w:p w:rsidR="00D33562" w:rsidRPr="000C75D3" w:rsidRDefault="00D33562"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Lima beans</w:t>
            </w:r>
          </w:p>
        </w:tc>
      </w:tr>
      <w:tr w:rsidR="00D33562" w:rsidRPr="000C75D3" w:rsidTr="007427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rsidR="00D33562" w:rsidRPr="00BC07CA" w:rsidRDefault="00D33562" w:rsidP="00823493">
            <w:pPr>
              <w:rPr>
                <w:rFonts w:cs="Arial"/>
                <w:b w:val="0"/>
                <w:color w:val="000000"/>
                <w:sz w:val="20"/>
                <w:szCs w:val="20"/>
                <w:lang w:eastAsia="en-GB"/>
              </w:rPr>
            </w:pPr>
            <w:r w:rsidRPr="00BC07CA">
              <w:rPr>
                <w:rFonts w:cs="Arial"/>
                <w:b w:val="0"/>
                <w:color w:val="000000"/>
                <w:sz w:val="20"/>
                <w:szCs w:val="20"/>
                <w:lang w:eastAsia="en-GB"/>
              </w:rPr>
              <w:t>Ready-to-eat cassava chips (crisps)</w:t>
            </w:r>
          </w:p>
        </w:tc>
        <w:tc>
          <w:tcPr>
            <w:tcW w:w="3544" w:type="dxa"/>
            <w:tcBorders>
              <w:left w:val="none" w:sz="0" w:space="0" w:color="auto"/>
              <w:right w:val="none" w:sz="0" w:space="0" w:color="auto"/>
            </w:tcBorders>
            <w:noWrap/>
            <w:hideMark/>
          </w:tcPr>
          <w:p w:rsidR="00D33562" w:rsidRPr="000C75D3" w:rsidRDefault="00D33562"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Potato crisps, soy crisps, cheese and non-cheese flavoured extruded snacks, tapioca based snacks</w:t>
            </w:r>
          </w:p>
        </w:tc>
        <w:tc>
          <w:tcPr>
            <w:tcW w:w="2268" w:type="dxa"/>
            <w:tcBorders>
              <w:left w:val="none" w:sz="0" w:space="0" w:color="auto"/>
            </w:tcBorders>
            <w:noWrap/>
            <w:hideMark/>
          </w:tcPr>
          <w:p w:rsidR="00D33562" w:rsidRPr="000C75D3" w:rsidRDefault="00D33562"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Cassava chips, RTE</w:t>
            </w:r>
          </w:p>
        </w:tc>
      </w:tr>
      <w:tr w:rsidR="00D33562" w:rsidRPr="000C75D3" w:rsidTr="007427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rsidR="00D33562" w:rsidRPr="00BC07CA" w:rsidRDefault="00D33562" w:rsidP="00823493">
            <w:pPr>
              <w:rPr>
                <w:rFonts w:cs="Arial"/>
                <w:b w:val="0"/>
                <w:color w:val="000000"/>
                <w:sz w:val="20"/>
                <w:szCs w:val="20"/>
                <w:lang w:eastAsia="en-GB"/>
              </w:rPr>
            </w:pPr>
            <w:r w:rsidRPr="00BC07CA">
              <w:rPr>
                <w:rFonts w:cs="Arial"/>
                <w:b w:val="0"/>
                <w:color w:val="000000"/>
                <w:sz w:val="20"/>
                <w:szCs w:val="20"/>
                <w:lang w:eastAsia="en-GB"/>
              </w:rPr>
              <w:t>Cassava roots, cooked</w:t>
            </w:r>
          </w:p>
        </w:tc>
        <w:tc>
          <w:tcPr>
            <w:tcW w:w="3544" w:type="dxa"/>
            <w:tcBorders>
              <w:left w:val="none" w:sz="0" w:space="0" w:color="auto"/>
              <w:right w:val="none" w:sz="0" w:space="0" w:color="auto"/>
            </w:tcBorders>
            <w:noWrap/>
            <w:hideMark/>
          </w:tcPr>
          <w:p w:rsidR="00D33562" w:rsidRPr="000C75D3" w:rsidRDefault="00D33562"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Cassava (Manioc, Tapioca)</w:t>
            </w:r>
          </w:p>
        </w:tc>
        <w:tc>
          <w:tcPr>
            <w:tcW w:w="2268" w:type="dxa"/>
            <w:tcBorders>
              <w:left w:val="none" w:sz="0" w:space="0" w:color="auto"/>
            </w:tcBorders>
            <w:noWrap/>
            <w:hideMark/>
          </w:tcPr>
          <w:p w:rsidR="00D33562" w:rsidRPr="000C75D3" w:rsidRDefault="00D33562"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Cassava roots, cooked</w:t>
            </w:r>
          </w:p>
        </w:tc>
      </w:tr>
      <w:tr w:rsidR="00D33562" w:rsidRPr="000C75D3" w:rsidTr="007427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rsidR="00D33562" w:rsidRPr="00BC07CA" w:rsidRDefault="00D33562" w:rsidP="00823493">
            <w:pPr>
              <w:rPr>
                <w:rFonts w:cs="Arial"/>
                <w:b w:val="0"/>
                <w:color w:val="000000"/>
                <w:sz w:val="20"/>
                <w:szCs w:val="20"/>
                <w:lang w:eastAsia="en-GB"/>
              </w:rPr>
            </w:pPr>
            <w:r w:rsidRPr="00BC07CA">
              <w:rPr>
                <w:rFonts w:cs="Arial"/>
                <w:b w:val="0"/>
                <w:color w:val="000000"/>
                <w:sz w:val="20"/>
                <w:szCs w:val="20"/>
                <w:lang w:eastAsia="en-GB"/>
              </w:rPr>
              <w:t>Tapioca pearls, starch and flour; gluten free all purpose flour</w:t>
            </w:r>
          </w:p>
        </w:tc>
        <w:tc>
          <w:tcPr>
            <w:tcW w:w="3544" w:type="dxa"/>
            <w:tcBorders>
              <w:left w:val="none" w:sz="0" w:space="0" w:color="auto"/>
              <w:right w:val="none" w:sz="0" w:space="0" w:color="auto"/>
            </w:tcBorders>
            <w:noWrap/>
          </w:tcPr>
          <w:p w:rsidR="00D33562" w:rsidRPr="000C75D3" w:rsidRDefault="00D33562"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Tapioca pearls, tapioca starch, sago</w:t>
            </w:r>
          </w:p>
        </w:tc>
        <w:tc>
          <w:tcPr>
            <w:tcW w:w="2268" w:type="dxa"/>
            <w:tcBorders>
              <w:left w:val="none" w:sz="0" w:space="0" w:color="auto"/>
            </w:tcBorders>
            <w:noWrap/>
          </w:tcPr>
          <w:p w:rsidR="00D33562" w:rsidRPr="000C75D3" w:rsidRDefault="00D33562"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Cassava starch</w:t>
            </w:r>
          </w:p>
        </w:tc>
      </w:tr>
      <w:tr w:rsidR="00D33562" w:rsidRPr="000C75D3" w:rsidTr="007427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rsidR="00D33562" w:rsidRPr="00BC07CA" w:rsidRDefault="00D33562" w:rsidP="00823493">
            <w:pPr>
              <w:rPr>
                <w:rFonts w:cs="Arial"/>
                <w:b w:val="0"/>
                <w:color w:val="000000"/>
                <w:sz w:val="20"/>
                <w:szCs w:val="20"/>
                <w:lang w:eastAsia="en-GB"/>
              </w:rPr>
            </w:pPr>
            <w:r w:rsidRPr="00BC07CA">
              <w:rPr>
                <w:rFonts w:cs="Arial"/>
                <w:b w:val="0"/>
                <w:color w:val="000000"/>
                <w:sz w:val="20"/>
                <w:szCs w:val="20"/>
                <w:lang w:eastAsia="en-GB"/>
              </w:rPr>
              <w:t>Cherry brandy</w:t>
            </w:r>
          </w:p>
        </w:tc>
        <w:tc>
          <w:tcPr>
            <w:tcW w:w="3544" w:type="dxa"/>
            <w:tcBorders>
              <w:left w:val="none" w:sz="0" w:space="0" w:color="auto"/>
              <w:right w:val="none" w:sz="0" w:space="0" w:color="auto"/>
            </w:tcBorders>
            <w:noWrap/>
            <w:hideMark/>
          </w:tcPr>
          <w:p w:rsidR="00D33562" w:rsidRPr="000C75D3" w:rsidRDefault="00D33562"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Brandy and premixed drinks containing brandy</w:t>
            </w:r>
          </w:p>
        </w:tc>
        <w:tc>
          <w:tcPr>
            <w:tcW w:w="2268" w:type="dxa"/>
            <w:tcBorders>
              <w:left w:val="none" w:sz="0" w:space="0" w:color="auto"/>
            </w:tcBorders>
            <w:noWrap/>
            <w:hideMark/>
          </w:tcPr>
          <w:p w:rsidR="00D33562" w:rsidRPr="000C75D3" w:rsidRDefault="00D33562"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Cherry brandy</w:t>
            </w:r>
          </w:p>
        </w:tc>
      </w:tr>
      <w:tr w:rsidR="00D33562" w:rsidRPr="000C75D3" w:rsidTr="007427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rsidR="00D33562" w:rsidRPr="00BC07CA" w:rsidRDefault="00D33562" w:rsidP="00823493">
            <w:pPr>
              <w:rPr>
                <w:rFonts w:cs="Arial"/>
                <w:b w:val="0"/>
                <w:color w:val="000000"/>
                <w:sz w:val="20"/>
                <w:szCs w:val="20"/>
                <w:lang w:eastAsia="en-GB"/>
              </w:rPr>
            </w:pPr>
            <w:r w:rsidRPr="00BC07CA">
              <w:rPr>
                <w:rFonts w:cs="Arial"/>
                <w:b w:val="0"/>
                <w:color w:val="000000"/>
                <w:sz w:val="20"/>
                <w:szCs w:val="20"/>
                <w:lang w:eastAsia="en-GB"/>
              </w:rPr>
              <w:t>Infant apple puree</w:t>
            </w:r>
          </w:p>
        </w:tc>
        <w:tc>
          <w:tcPr>
            <w:tcW w:w="3544" w:type="dxa"/>
            <w:tcBorders>
              <w:left w:val="none" w:sz="0" w:space="0" w:color="auto"/>
              <w:right w:val="none" w:sz="0" w:space="0" w:color="auto"/>
            </w:tcBorders>
            <w:noWrap/>
            <w:hideMark/>
          </w:tcPr>
          <w:p w:rsidR="00D33562" w:rsidRPr="000C75D3" w:rsidRDefault="00D33562"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Infant apple puree, home stewed apples</w:t>
            </w:r>
          </w:p>
        </w:tc>
        <w:tc>
          <w:tcPr>
            <w:tcW w:w="2268" w:type="dxa"/>
            <w:tcBorders>
              <w:left w:val="none" w:sz="0" w:space="0" w:color="auto"/>
            </w:tcBorders>
            <w:noWrap/>
            <w:hideMark/>
          </w:tcPr>
          <w:p w:rsidR="00D33562" w:rsidRPr="000C75D3" w:rsidRDefault="00D33562"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Infant apple puree</w:t>
            </w:r>
          </w:p>
        </w:tc>
      </w:tr>
      <w:tr w:rsidR="00D33562" w:rsidRPr="000C75D3" w:rsidTr="007427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rsidR="00D33562" w:rsidRPr="00BC07CA" w:rsidRDefault="00D33562" w:rsidP="00823493">
            <w:pPr>
              <w:rPr>
                <w:rFonts w:cs="Arial"/>
                <w:b w:val="0"/>
                <w:color w:val="000000"/>
                <w:sz w:val="20"/>
                <w:szCs w:val="20"/>
                <w:lang w:eastAsia="en-GB"/>
              </w:rPr>
            </w:pPr>
            <w:r w:rsidRPr="00BC07CA">
              <w:rPr>
                <w:rFonts w:cs="Arial"/>
                <w:b w:val="0"/>
                <w:color w:val="000000"/>
                <w:sz w:val="20"/>
                <w:szCs w:val="20"/>
                <w:lang w:eastAsia="en-GB"/>
              </w:rPr>
              <w:t>Linseed, ground, powder and whole</w:t>
            </w:r>
          </w:p>
        </w:tc>
        <w:tc>
          <w:tcPr>
            <w:tcW w:w="3544" w:type="dxa"/>
            <w:tcBorders>
              <w:left w:val="none" w:sz="0" w:space="0" w:color="auto"/>
              <w:right w:val="none" w:sz="0" w:space="0" w:color="auto"/>
            </w:tcBorders>
            <w:noWrap/>
            <w:hideMark/>
          </w:tcPr>
          <w:p w:rsidR="00D33562" w:rsidRPr="000C75D3" w:rsidRDefault="00D33562"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Linseed (Flax-seed)</w:t>
            </w:r>
          </w:p>
        </w:tc>
        <w:tc>
          <w:tcPr>
            <w:tcW w:w="2268" w:type="dxa"/>
            <w:tcBorders>
              <w:left w:val="none" w:sz="0" w:space="0" w:color="auto"/>
            </w:tcBorders>
            <w:noWrap/>
            <w:hideMark/>
          </w:tcPr>
          <w:p w:rsidR="00D33562" w:rsidRPr="000C75D3" w:rsidRDefault="00D33562"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Linseed</w:t>
            </w:r>
          </w:p>
        </w:tc>
      </w:tr>
      <w:tr w:rsidR="00D33562" w:rsidRPr="000C75D3" w:rsidTr="007427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rsidR="00D33562" w:rsidRPr="00BC07CA" w:rsidRDefault="00D33562" w:rsidP="00823493">
            <w:pPr>
              <w:rPr>
                <w:rFonts w:cs="Arial"/>
                <w:b w:val="0"/>
                <w:color w:val="000000"/>
                <w:sz w:val="20"/>
                <w:szCs w:val="20"/>
                <w:lang w:eastAsia="en-GB"/>
              </w:rPr>
            </w:pPr>
            <w:r w:rsidRPr="00BC07CA">
              <w:rPr>
                <w:rFonts w:cs="Arial"/>
                <w:b w:val="0"/>
                <w:color w:val="000000"/>
                <w:sz w:val="20"/>
                <w:szCs w:val="20"/>
                <w:lang w:eastAsia="en-GB"/>
              </w:rPr>
              <w:t>Flaxseed oil, LSA oil</w:t>
            </w:r>
          </w:p>
        </w:tc>
        <w:tc>
          <w:tcPr>
            <w:tcW w:w="3544" w:type="dxa"/>
            <w:tcBorders>
              <w:left w:val="none" w:sz="0" w:space="0" w:color="auto"/>
              <w:right w:val="none" w:sz="0" w:space="0" w:color="auto"/>
            </w:tcBorders>
            <w:noWrap/>
            <w:hideMark/>
          </w:tcPr>
          <w:p w:rsidR="00D33562" w:rsidRPr="000C75D3" w:rsidRDefault="00D33562"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Linseed oil, linseed oil supplements</w:t>
            </w:r>
          </w:p>
        </w:tc>
        <w:tc>
          <w:tcPr>
            <w:tcW w:w="2268" w:type="dxa"/>
            <w:tcBorders>
              <w:left w:val="none" w:sz="0" w:space="0" w:color="auto"/>
            </w:tcBorders>
            <w:noWrap/>
            <w:hideMark/>
          </w:tcPr>
          <w:p w:rsidR="00D33562" w:rsidRPr="000C75D3" w:rsidRDefault="00D33562"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Linseed oil</w:t>
            </w:r>
          </w:p>
        </w:tc>
      </w:tr>
      <w:tr w:rsidR="00D33562" w:rsidRPr="000C75D3" w:rsidTr="007427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rsidR="00D33562" w:rsidRPr="00BC07CA" w:rsidRDefault="00D33562" w:rsidP="00823493">
            <w:pPr>
              <w:rPr>
                <w:rFonts w:cs="Arial"/>
                <w:b w:val="0"/>
                <w:color w:val="000000"/>
                <w:sz w:val="20"/>
                <w:szCs w:val="20"/>
                <w:lang w:eastAsia="en-GB"/>
              </w:rPr>
            </w:pPr>
            <w:r w:rsidRPr="00BC07CA">
              <w:rPr>
                <w:rFonts w:cs="Arial"/>
                <w:b w:val="0"/>
                <w:color w:val="000000"/>
                <w:sz w:val="20"/>
                <w:szCs w:val="20"/>
                <w:lang w:eastAsia="en-GB"/>
              </w:rPr>
              <w:t>Soy and linseed bread</w:t>
            </w:r>
          </w:p>
        </w:tc>
        <w:tc>
          <w:tcPr>
            <w:tcW w:w="3544" w:type="dxa"/>
            <w:tcBorders>
              <w:left w:val="none" w:sz="0" w:space="0" w:color="auto"/>
              <w:right w:val="none" w:sz="0" w:space="0" w:color="auto"/>
            </w:tcBorders>
            <w:noWrap/>
            <w:hideMark/>
          </w:tcPr>
          <w:p w:rsidR="00D33562" w:rsidRPr="000C75D3" w:rsidRDefault="00D33562" w:rsidP="00331559">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Linseed containing bread (</w:t>
            </w:r>
            <w:r w:rsidR="00331559">
              <w:rPr>
                <w:rFonts w:cs="Arial"/>
                <w:color w:val="000000"/>
                <w:sz w:val="20"/>
                <w:szCs w:val="20"/>
                <w:lang w:eastAsia="en-GB"/>
              </w:rPr>
              <w:t>w</w:t>
            </w:r>
            <w:r w:rsidR="00331559" w:rsidRPr="002778B9">
              <w:rPr>
                <w:rFonts w:cs="Arial"/>
                <w:color w:val="000000"/>
                <w:sz w:val="20"/>
                <w:szCs w:val="20"/>
                <w:lang w:eastAsia="en-GB"/>
              </w:rPr>
              <w:t>here</w:t>
            </w:r>
            <w:r w:rsidR="00331559">
              <w:rPr>
                <w:rFonts w:cs="Arial"/>
                <w:color w:val="000000"/>
                <w:sz w:val="20"/>
                <w:szCs w:val="20"/>
                <w:lang w:eastAsia="en-GB"/>
              </w:rPr>
              <w:t xml:space="preserve"> no linseed containing breads were consumed,</w:t>
            </w:r>
            <w:r w:rsidR="00331559" w:rsidRPr="002778B9">
              <w:rPr>
                <w:rFonts w:cs="Arial"/>
                <w:color w:val="000000"/>
                <w:sz w:val="20"/>
                <w:szCs w:val="20"/>
                <w:lang w:eastAsia="en-GB"/>
              </w:rPr>
              <w:t xml:space="preserve"> all grain and wholemeal breads were used as a proxy</w:t>
            </w:r>
            <w:r w:rsidR="00331559">
              <w:rPr>
                <w:rFonts w:cs="Arial"/>
                <w:color w:val="000000"/>
                <w:sz w:val="20"/>
                <w:szCs w:val="20"/>
                <w:lang w:eastAsia="en-GB"/>
              </w:rPr>
              <w:t>)</w:t>
            </w:r>
          </w:p>
        </w:tc>
        <w:tc>
          <w:tcPr>
            <w:tcW w:w="2268" w:type="dxa"/>
            <w:tcBorders>
              <w:left w:val="none" w:sz="0" w:space="0" w:color="auto"/>
            </w:tcBorders>
            <w:noWrap/>
            <w:hideMark/>
          </w:tcPr>
          <w:p w:rsidR="00D33562" w:rsidRPr="000C75D3" w:rsidRDefault="00D33562"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Bread containing linseed</w:t>
            </w:r>
          </w:p>
        </w:tc>
      </w:tr>
      <w:tr w:rsidR="00D33562" w:rsidRPr="000C75D3" w:rsidTr="007427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rsidR="00D33562" w:rsidRPr="00BC07CA" w:rsidRDefault="00D33562" w:rsidP="00823493">
            <w:pPr>
              <w:rPr>
                <w:rFonts w:cs="Arial"/>
                <w:b w:val="0"/>
                <w:color w:val="000000"/>
                <w:sz w:val="20"/>
                <w:szCs w:val="20"/>
                <w:lang w:eastAsia="en-GB"/>
              </w:rPr>
            </w:pPr>
            <w:r w:rsidRPr="00BC07CA">
              <w:rPr>
                <w:rFonts w:cs="Arial"/>
                <w:b w:val="0"/>
                <w:color w:val="000000"/>
                <w:sz w:val="20"/>
                <w:szCs w:val="20"/>
                <w:lang w:eastAsia="en-GB"/>
              </w:rPr>
              <w:t>LSA</w:t>
            </w:r>
          </w:p>
        </w:tc>
        <w:tc>
          <w:tcPr>
            <w:tcW w:w="3544" w:type="dxa"/>
            <w:tcBorders>
              <w:left w:val="none" w:sz="0" w:space="0" w:color="auto"/>
              <w:right w:val="none" w:sz="0" w:space="0" w:color="auto"/>
            </w:tcBorders>
            <w:noWrap/>
            <w:hideMark/>
          </w:tcPr>
          <w:p w:rsidR="00D33562" w:rsidRPr="000C75D3" w:rsidRDefault="00D33562"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LSA mix</w:t>
            </w:r>
          </w:p>
        </w:tc>
        <w:tc>
          <w:tcPr>
            <w:tcW w:w="2268" w:type="dxa"/>
            <w:tcBorders>
              <w:left w:val="none" w:sz="0" w:space="0" w:color="auto"/>
            </w:tcBorders>
            <w:noWrap/>
            <w:hideMark/>
          </w:tcPr>
          <w:p w:rsidR="00D33562" w:rsidRPr="000C75D3" w:rsidRDefault="00D33562"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LSA mix</w:t>
            </w:r>
          </w:p>
        </w:tc>
      </w:tr>
      <w:tr w:rsidR="00D33562" w:rsidRPr="000C75D3" w:rsidTr="007427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rsidR="00D33562" w:rsidRPr="00BC07CA" w:rsidRDefault="00D33562" w:rsidP="00823493">
            <w:pPr>
              <w:rPr>
                <w:rFonts w:cs="Arial"/>
                <w:b w:val="0"/>
                <w:color w:val="000000"/>
                <w:sz w:val="20"/>
                <w:szCs w:val="20"/>
                <w:lang w:eastAsia="en-GB"/>
              </w:rPr>
            </w:pPr>
            <w:r w:rsidRPr="00BC07CA">
              <w:rPr>
                <w:rFonts w:cs="Arial"/>
                <w:b w:val="0"/>
                <w:color w:val="000000"/>
                <w:sz w:val="20"/>
                <w:szCs w:val="20"/>
                <w:lang w:eastAsia="en-GB"/>
              </w:rPr>
              <w:t>Marzipan (including chocolate covered), almond flavoured icing</w:t>
            </w:r>
          </w:p>
        </w:tc>
        <w:tc>
          <w:tcPr>
            <w:tcW w:w="3544" w:type="dxa"/>
            <w:tcBorders>
              <w:left w:val="none" w:sz="0" w:space="0" w:color="auto"/>
              <w:right w:val="none" w:sz="0" w:space="0" w:color="auto"/>
            </w:tcBorders>
            <w:noWrap/>
            <w:hideMark/>
          </w:tcPr>
          <w:p w:rsidR="00D33562" w:rsidRPr="000C75D3" w:rsidRDefault="00D33562"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Marzipan, almond paste</w:t>
            </w:r>
          </w:p>
        </w:tc>
        <w:tc>
          <w:tcPr>
            <w:tcW w:w="2268" w:type="dxa"/>
            <w:tcBorders>
              <w:left w:val="none" w:sz="0" w:space="0" w:color="auto"/>
            </w:tcBorders>
            <w:noWrap/>
            <w:hideMark/>
          </w:tcPr>
          <w:p w:rsidR="00D33562" w:rsidRPr="000C75D3" w:rsidRDefault="00D33562"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Marzipan</w:t>
            </w:r>
          </w:p>
        </w:tc>
      </w:tr>
      <w:tr w:rsidR="00D33562" w:rsidRPr="000C75D3" w:rsidTr="007427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rsidR="00D33562" w:rsidRPr="00BC07CA" w:rsidRDefault="00D33562" w:rsidP="00823493">
            <w:pPr>
              <w:rPr>
                <w:rFonts w:cs="Arial"/>
                <w:b w:val="0"/>
                <w:color w:val="000000"/>
                <w:sz w:val="20"/>
                <w:szCs w:val="20"/>
                <w:lang w:eastAsia="en-GB"/>
              </w:rPr>
            </w:pPr>
            <w:r w:rsidRPr="00BC07CA">
              <w:rPr>
                <w:rFonts w:cs="Arial"/>
                <w:b w:val="0"/>
                <w:color w:val="000000"/>
                <w:sz w:val="20"/>
                <w:szCs w:val="20"/>
                <w:lang w:eastAsia="en-GB"/>
              </w:rPr>
              <w:lastRenderedPageBreak/>
              <w:t>Passionfruit pulp, passionfruit drink, passionfruit in sweetened syrup, passionfruit sauce</w:t>
            </w:r>
          </w:p>
        </w:tc>
        <w:tc>
          <w:tcPr>
            <w:tcW w:w="3544" w:type="dxa"/>
            <w:tcBorders>
              <w:left w:val="none" w:sz="0" w:space="0" w:color="auto"/>
              <w:right w:val="none" w:sz="0" w:space="0" w:color="auto"/>
            </w:tcBorders>
            <w:noWrap/>
            <w:hideMark/>
          </w:tcPr>
          <w:p w:rsidR="00D33562" w:rsidRPr="000C75D3" w:rsidRDefault="00D33562"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Passionfruit pulp and juice</w:t>
            </w:r>
          </w:p>
        </w:tc>
        <w:tc>
          <w:tcPr>
            <w:tcW w:w="2268" w:type="dxa"/>
            <w:tcBorders>
              <w:left w:val="none" w:sz="0" w:space="0" w:color="auto"/>
            </w:tcBorders>
            <w:noWrap/>
            <w:hideMark/>
          </w:tcPr>
          <w:p w:rsidR="00D33562" w:rsidRPr="000C75D3" w:rsidRDefault="00D33562"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Passionfruit</w:t>
            </w:r>
          </w:p>
        </w:tc>
      </w:tr>
      <w:tr w:rsidR="00D33562" w:rsidRPr="000C75D3" w:rsidTr="007427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rsidR="00D33562" w:rsidRPr="00BC07CA" w:rsidRDefault="00D33562" w:rsidP="00823493">
            <w:pPr>
              <w:rPr>
                <w:rFonts w:cs="Arial"/>
                <w:b w:val="0"/>
                <w:color w:val="000000"/>
                <w:sz w:val="20"/>
                <w:szCs w:val="20"/>
                <w:lang w:eastAsia="en-GB"/>
              </w:rPr>
            </w:pPr>
            <w:r w:rsidRPr="00BC07CA">
              <w:rPr>
                <w:rFonts w:cs="Arial"/>
                <w:b w:val="0"/>
                <w:color w:val="000000"/>
                <w:sz w:val="20"/>
                <w:szCs w:val="20"/>
                <w:lang w:eastAsia="en-GB"/>
              </w:rPr>
              <w:t>Prune juice, red cherry juice</w:t>
            </w:r>
          </w:p>
        </w:tc>
        <w:tc>
          <w:tcPr>
            <w:tcW w:w="3544" w:type="dxa"/>
            <w:tcBorders>
              <w:left w:val="none" w:sz="0" w:space="0" w:color="auto"/>
              <w:right w:val="none" w:sz="0" w:space="0" w:color="auto"/>
            </w:tcBorders>
            <w:noWrap/>
            <w:hideMark/>
          </w:tcPr>
          <w:p w:rsidR="00D33562" w:rsidRPr="000C75D3" w:rsidRDefault="00D33562"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Prune juice</w:t>
            </w:r>
          </w:p>
        </w:tc>
        <w:tc>
          <w:tcPr>
            <w:tcW w:w="2268" w:type="dxa"/>
            <w:tcBorders>
              <w:left w:val="none" w:sz="0" w:space="0" w:color="auto"/>
            </w:tcBorders>
            <w:noWrap/>
            <w:hideMark/>
          </w:tcPr>
          <w:p w:rsidR="00D33562" w:rsidRPr="000C75D3" w:rsidRDefault="00D33562"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Prune juice</w:t>
            </w:r>
          </w:p>
        </w:tc>
      </w:tr>
      <w:tr w:rsidR="00D33562" w:rsidRPr="000C75D3" w:rsidTr="007427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rsidR="00D33562" w:rsidRPr="00BC07CA" w:rsidRDefault="00D33562" w:rsidP="00823493">
            <w:pPr>
              <w:rPr>
                <w:rFonts w:cs="Arial"/>
                <w:b w:val="0"/>
                <w:color w:val="000000"/>
                <w:sz w:val="20"/>
                <w:szCs w:val="20"/>
                <w:lang w:eastAsia="en-GB"/>
              </w:rPr>
            </w:pPr>
            <w:r w:rsidRPr="00BC07CA">
              <w:rPr>
                <w:rFonts w:cs="Arial"/>
                <w:b w:val="0"/>
                <w:color w:val="000000"/>
                <w:sz w:val="20"/>
                <w:szCs w:val="20"/>
                <w:lang w:eastAsia="en-GB"/>
              </w:rPr>
              <w:t>Pumpkin seeds</w:t>
            </w:r>
          </w:p>
        </w:tc>
        <w:tc>
          <w:tcPr>
            <w:tcW w:w="3544" w:type="dxa"/>
            <w:tcBorders>
              <w:left w:val="none" w:sz="0" w:space="0" w:color="auto"/>
              <w:right w:val="none" w:sz="0" w:space="0" w:color="auto"/>
            </w:tcBorders>
            <w:noWrap/>
            <w:hideMark/>
          </w:tcPr>
          <w:p w:rsidR="00D33562" w:rsidRPr="000C75D3" w:rsidRDefault="00D33562"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Pumpkin seed</w:t>
            </w:r>
          </w:p>
        </w:tc>
        <w:tc>
          <w:tcPr>
            <w:tcW w:w="2268" w:type="dxa"/>
            <w:tcBorders>
              <w:left w:val="none" w:sz="0" w:space="0" w:color="auto"/>
            </w:tcBorders>
            <w:noWrap/>
            <w:hideMark/>
          </w:tcPr>
          <w:p w:rsidR="00D33562" w:rsidRPr="000C75D3" w:rsidRDefault="00D33562"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Pumpkin seed</w:t>
            </w:r>
          </w:p>
        </w:tc>
      </w:tr>
      <w:tr w:rsidR="00D33562" w:rsidRPr="000C75D3" w:rsidTr="007427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rsidR="00D33562" w:rsidRPr="00BC07CA" w:rsidRDefault="00D33562" w:rsidP="00823493">
            <w:pPr>
              <w:rPr>
                <w:rFonts w:cs="Arial"/>
                <w:b w:val="0"/>
                <w:color w:val="000000"/>
                <w:sz w:val="20"/>
                <w:szCs w:val="20"/>
                <w:lang w:eastAsia="en-GB"/>
              </w:rPr>
            </w:pPr>
            <w:r w:rsidRPr="00BC07CA">
              <w:rPr>
                <w:rFonts w:cs="Arial"/>
                <w:b w:val="0"/>
                <w:color w:val="000000"/>
                <w:sz w:val="20"/>
                <w:szCs w:val="20"/>
                <w:lang w:eastAsia="en-GB"/>
              </w:rPr>
              <w:t>Spinach</w:t>
            </w:r>
          </w:p>
        </w:tc>
        <w:tc>
          <w:tcPr>
            <w:tcW w:w="3544" w:type="dxa"/>
            <w:tcBorders>
              <w:left w:val="none" w:sz="0" w:space="0" w:color="auto"/>
              <w:right w:val="none" w:sz="0" w:space="0" w:color="auto"/>
            </w:tcBorders>
            <w:noWrap/>
            <w:hideMark/>
          </w:tcPr>
          <w:p w:rsidR="00D33562" w:rsidRPr="000C75D3" w:rsidRDefault="00D33562"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Spinach, English spinach</w:t>
            </w:r>
          </w:p>
        </w:tc>
        <w:tc>
          <w:tcPr>
            <w:tcW w:w="2268" w:type="dxa"/>
            <w:tcBorders>
              <w:left w:val="none" w:sz="0" w:space="0" w:color="auto"/>
            </w:tcBorders>
            <w:noWrap/>
            <w:hideMark/>
          </w:tcPr>
          <w:p w:rsidR="00D33562" w:rsidRPr="000C75D3" w:rsidRDefault="00D33562"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Spinach</w:t>
            </w:r>
          </w:p>
        </w:tc>
      </w:tr>
      <w:tr w:rsidR="00D33562" w:rsidRPr="000C75D3" w:rsidTr="007427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rsidR="00D33562" w:rsidRPr="00BC07CA" w:rsidRDefault="00D33562" w:rsidP="00823493">
            <w:pPr>
              <w:rPr>
                <w:rFonts w:cs="Arial"/>
                <w:b w:val="0"/>
                <w:color w:val="000000"/>
                <w:sz w:val="20"/>
                <w:szCs w:val="20"/>
                <w:lang w:eastAsia="en-GB"/>
              </w:rPr>
            </w:pPr>
            <w:r w:rsidRPr="00BC07CA">
              <w:rPr>
                <w:rFonts w:cs="Arial"/>
                <w:b w:val="0"/>
                <w:color w:val="000000"/>
                <w:sz w:val="20"/>
                <w:szCs w:val="20"/>
                <w:lang w:eastAsia="en-GB"/>
              </w:rPr>
              <w:t>Sunflower seeds</w:t>
            </w:r>
          </w:p>
        </w:tc>
        <w:tc>
          <w:tcPr>
            <w:tcW w:w="3544" w:type="dxa"/>
            <w:tcBorders>
              <w:left w:val="none" w:sz="0" w:space="0" w:color="auto"/>
              <w:right w:val="none" w:sz="0" w:space="0" w:color="auto"/>
            </w:tcBorders>
            <w:noWrap/>
            <w:hideMark/>
          </w:tcPr>
          <w:p w:rsidR="00D33562" w:rsidRPr="000C75D3" w:rsidRDefault="00D33562"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Sunflower seed</w:t>
            </w:r>
          </w:p>
        </w:tc>
        <w:tc>
          <w:tcPr>
            <w:tcW w:w="2268" w:type="dxa"/>
            <w:tcBorders>
              <w:left w:val="none" w:sz="0" w:space="0" w:color="auto"/>
            </w:tcBorders>
            <w:noWrap/>
            <w:hideMark/>
          </w:tcPr>
          <w:p w:rsidR="00D33562" w:rsidRPr="000C75D3" w:rsidRDefault="00D33562"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Sunflower seed</w:t>
            </w:r>
          </w:p>
        </w:tc>
      </w:tr>
      <w:tr w:rsidR="00D33562" w:rsidRPr="000C75D3" w:rsidTr="007427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rsidR="00D33562" w:rsidRPr="00BC07CA" w:rsidRDefault="00D33562" w:rsidP="00823493">
            <w:pPr>
              <w:rPr>
                <w:rFonts w:cs="Arial"/>
                <w:b w:val="0"/>
                <w:color w:val="000000"/>
                <w:sz w:val="20"/>
                <w:szCs w:val="20"/>
                <w:lang w:eastAsia="en-GB"/>
              </w:rPr>
            </w:pPr>
            <w:r w:rsidRPr="00BC07CA">
              <w:rPr>
                <w:rFonts w:cs="Arial"/>
                <w:b w:val="0"/>
                <w:color w:val="000000"/>
                <w:sz w:val="20"/>
                <w:szCs w:val="20"/>
                <w:lang w:eastAsia="en-GB"/>
              </w:rPr>
              <w:t>Taro root and leaves cooked, baked, etc</w:t>
            </w:r>
            <w:r w:rsidR="0036079D" w:rsidRPr="00BC07CA">
              <w:rPr>
                <w:rFonts w:cs="Arial"/>
                <w:b w:val="0"/>
                <w:color w:val="000000"/>
                <w:sz w:val="20"/>
                <w:szCs w:val="20"/>
                <w:lang w:eastAsia="en-GB"/>
              </w:rPr>
              <w:t>.</w:t>
            </w:r>
            <w:r w:rsidRPr="00BC07CA">
              <w:rPr>
                <w:rFonts w:cs="Arial"/>
                <w:b w:val="0"/>
                <w:color w:val="000000"/>
                <w:sz w:val="20"/>
                <w:szCs w:val="20"/>
                <w:lang w:eastAsia="en-GB"/>
              </w:rPr>
              <w:t xml:space="preserve"> in recipe foods e.g. with coconut, pawpaw and other ingredients</w:t>
            </w:r>
          </w:p>
        </w:tc>
        <w:tc>
          <w:tcPr>
            <w:tcW w:w="3544" w:type="dxa"/>
            <w:tcBorders>
              <w:left w:val="none" w:sz="0" w:space="0" w:color="auto"/>
              <w:right w:val="none" w:sz="0" w:space="0" w:color="auto"/>
            </w:tcBorders>
            <w:noWrap/>
            <w:hideMark/>
          </w:tcPr>
          <w:p w:rsidR="00D33562" w:rsidRPr="000C75D3" w:rsidRDefault="00D33562" w:rsidP="004F3CB6">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Taro in mixed dishe</w:t>
            </w:r>
            <w:r w:rsidR="004F3CB6">
              <w:rPr>
                <w:rFonts w:cs="Arial"/>
                <w:color w:val="000000"/>
                <w:sz w:val="20"/>
                <w:szCs w:val="20"/>
                <w:lang w:eastAsia="en-GB"/>
              </w:rPr>
              <w:t>s</w:t>
            </w:r>
            <w:r w:rsidRPr="000C75D3">
              <w:rPr>
                <w:rFonts w:cs="Arial"/>
                <w:color w:val="000000"/>
                <w:sz w:val="20"/>
                <w:szCs w:val="20"/>
                <w:lang w:eastAsia="en-GB"/>
              </w:rPr>
              <w:t xml:space="preserve"> such as when cooked with coconut or paw paw</w:t>
            </w:r>
          </w:p>
        </w:tc>
        <w:tc>
          <w:tcPr>
            <w:tcW w:w="2268" w:type="dxa"/>
            <w:tcBorders>
              <w:left w:val="none" w:sz="0" w:space="0" w:color="auto"/>
            </w:tcBorders>
            <w:noWrap/>
            <w:hideMark/>
          </w:tcPr>
          <w:p w:rsidR="00D33562" w:rsidRPr="000C75D3" w:rsidRDefault="00D33562"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Taro in mixed foods</w:t>
            </w:r>
          </w:p>
        </w:tc>
      </w:tr>
      <w:tr w:rsidR="00D33562" w:rsidRPr="000C75D3" w:rsidTr="007427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rsidR="00D33562" w:rsidRPr="00BC07CA" w:rsidRDefault="00D33562" w:rsidP="00823493">
            <w:pPr>
              <w:rPr>
                <w:rFonts w:cs="Arial"/>
                <w:b w:val="0"/>
                <w:color w:val="000000"/>
                <w:sz w:val="20"/>
                <w:szCs w:val="20"/>
                <w:lang w:eastAsia="en-GB"/>
              </w:rPr>
            </w:pPr>
            <w:r w:rsidRPr="00BC07CA">
              <w:rPr>
                <w:rFonts w:cs="Arial"/>
                <w:b w:val="0"/>
                <w:color w:val="000000"/>
                <w:sz w:val="20"/>
                <w:szCs w:val="20"/>
                <w:lang w:eastAsia="en-GB"/>
              </w:rPr>
              <w:t>Taro leaves</w:t>
            </w:r>
          </w:p>
        </w:tc>
        <w:tc>
          <w:tcPr>
            <w:tcW w:w="3544" w:type="dxa"/>
            <w:tcBorders>
              <w:left w:val="none" w:sz="0" w:space="0" w:color="auto"/>
              <w:right w:val="none" w:sz="0" w:space="0" w:color="auto"/>
            </w:tcBorders>
            <w:noWrap/>
            <w:hideMark/>
          </w:tcPr>
          <w:p w:rsidR="00D33562" w:rsidRPr="000C75D3" w:rsidRDefault="00D33562"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Taro leaves</w:t>
            </w:r>
          </w:p>
        </w:tc>
        <w:tc>
          <w:tcPr>
            <w:tcW w:w="2268" w:type="dxa"/>
            <w:tcBorders>
              <w:left w:val="none" w:sz="0" w:space="0" w:color="auto"/>
            </w:tcBorders>
            <w:noWrap/>
            <w:hideMark/>
          </w:tcPr>
          <w:p w:rsidR="00D33562" w:rsidRPr="000C75D3" w:rsidRDefault="00D33562" w:rsidP="00823493">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Taro leaves only</w:t>
            </w:r>
          </w:p>
        </w:tc>
      </w:tr>
      <w:tr w:rsidR="00D33562" w:rsidRPr="000C75D3" w:rsidTr="007427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rsidR="00D33562" w:rsidRPr="00BC07CA" w:rsidRDefault="00D33562" w:rsidP="00823493">
            <w:pPr>
              <w:rPr>
                <w:rFonts w:cs="Arial"/>
                <w:b w:val="0"/>
                <w:color w:val="000000"/>
                <w:sz w:val="20"/>
                <w:szCs w:val="20"/>
                <w:lang w:eastAsia="en-GB"/>
              </w:rPr>
            </w:pPr>
            <w:r w:rsidRPr="00BC07CA">
              <w:rPr>
                <w:rFonts w:cs="Arial"/>
                <w:b w:val="0"/>
                <w:color w:val="000000"/>
                <w:sz w:val="20"/>
                <w:szCs w:val="20"/>
                <w:lang w:eastAsia="en-GB"/>
              </w:rPr>
              <w:t>Canned stuffed vine leaves</w:t>
            </w:r>
          </w:p>
        </w:tc>
        <w:tc>
          <w:tcPr>
            <w:tcW w:w="3544" w:type="dxa"/>
            <w:tcBorders>
              <w:left w:val="none" w:sz="0" w:space="0" w:color="auto"/>
              <w:right w:val="none" w:sz="0" w:space="0" w:color="auto"/>
            </w:tcBorders>
            <w:noWrap/>
            <w:hideMark/>
          </w:tcPr>
          <w:p w:rsidR="00D33562" w:rsidRPr="000C75D3" w:rsidRDefault="00D33562"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Vine leaf stuffed with rice and/or lamb</w:t>
            </w:r>
          </w:p>
        </w:tc>
        <w:tc>
          <w:tcPr>
            <w:tcW w:w="2268" w:type="dxa"/>
            <w:tcBorders>
              <w:left w:val="none" w:sz="0" w:space="0" w:color="auto"/>
            </w:tcBorders>
            <w:noWrap/>
            <w:hideMark/>
          </w:tcPr>
          <w:p w:rsidR="00D33562" w:rsidRPr="000C75D3" w:rsidRDefault="00D33562" w:rsidP="00823493">
            <w:pPr>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GB"/>
              </w:rPr>
            </w:pPr>
            <w:r w:rsidRPr="000C75D3">
              <w:rPr>
                <w:rFonts w:cs="Arial"/>
                <w:color w:val="000000"/>
                <w:sz w:val="20"/>
                <w:szCs w:val="20"/>
                <w:lang w:eastAsia="en-GB"/>
              </w:rPr>
              <w:t>Vine leaves, canned, stuffed</w:t>
            </w:r>
          </w:p>
        </w:tc>
      </w:tr>
    </w:tbl>
    <w:p w:rsidR="00D33562" w:rsidRPr="002309E8" w:rsidRDefault="00D33562" w:rsidP="00D33562">
      <w:pPr>
        <w:rPr>
          <w:rFonts w:cs="Arial"/>
        </w:rPr>
      </w:pPr>
    </w:p>
    <w:p w:rsidR="00D33562" w:rsidRDefault="00D33562" w:rsidP="00D33562">
      <w:r>
        <w:br w:type="page"/>
      </w:r>
    </w:p>
    <w:p w:rsidR="00D33562" w:rsidRDefault="00D33562" w:rsidP="00D33562">
      <w:pPr>
        <w:pStyle w:val="Heading1"/>
      </w:pPr>
      <w:bookmarkStart w:id="222" w:name="_Appendix_6._Foods"/>
      <w:bookmarkStart w:id="223" w:name="_Ref338427601"/>
      <w:bookmarkStart w:id="224" w:name="_Toc360111857"/>
      <w:bookmarkStart w:id="225" w:name="_Toc367356307"/>
      <w:bookmarkStart w:id="226" w:name="_Toc367362496"/>
      <w:bookmarkStart w:id="227" w:name="_Toc367957668"/>
      <w:bookmarkStart w:id="228" w:name="_Toc367957767"/>
      <w:bookmarkStart w:id="229" w:name="_Toc384293545"/>
      <w:bookmarkEnd w:id="222"/>
      <w:r>
        <w:lastRenderedPageBreak/>
        <w:t xml:space="preserve">Appendix </w:t>
      </w:r>
      <w:bookmarkEnd w:id="223"/>
      <w:r w:rsidR="00860EF0">
        <w:t>9</w:t>
      </w:r>
      <w:r>
        <w:t>. Foods contributing to chronic dietary exposure</w:t>
      </w:r>
      <w:bookmarkEnd w:id="224"/>
      <w:bookmarkEnd w:id="225"/>
      <w:bookmarkEnd w:id="226"/>
      <w:bookmarkEnd w:id="227"/>
      <w:bookmarkEnd w:id="228"/>
      <w:bookmarkEnd w:id="229"/>
    </w:p>
    <w:p w:rsidR="00D33562" w:rsidRDefault="00D33562" w:rsidP="00D33562"/>
    <w:p w:rsidR="00D33562" w:rsidRPr="000C75D3" w:rsidRDefault="00D33562" w:rsidP="00D33562">
      <w:pPr>
        <w:rPr>
          <w:rFonts w:asciiTheme="minorHAnsi" w:hAnsiTheme="minorHAnsi"/>
          <w:b/>
        </w:rPr>
      </w:pPr>
      <w:r w:rsidRPr="000C75D3">
        <w:rPr>
          <w:rFonts w:asciiTheme="minorHAnsi" w:hAnsiTheme="minorHAnsi"/>
          <w:b/>
        </w:rPr>
        <w:t>Table A</w:t>
      </w:r>
      <w:r w:rsidR="00860EF0">
        <w:rPr>
          <w:rFonts w:asciiTheme="minorHAnsi" w:hAnsiTheme="minorHAnsi"/>
          <w:b/>
        </w:rPr>
        <w:t>9</w:t>
      </w:r>
      <w:r w:rsidRPr="000C75D3">
        <w:rPr>
          <w:rFonts w:asciiTheme="minorHAnsi" w:hAnsiTheme="minorHAnsi"/>
          <w:b/>
        </w:rPr>
        <w:t xml:space="preserve">.1. Contributions of each food group to chronic dietary exposure to total </w:t>
      </w:r>
      <w:r w:rsidR="00056F5C">
        <w:rPr>
          <w:rFonts w:asciiTheme="minorHAnsi" w:hAnsiTheme="minorHAnsi"/>
          <w:b/>
        </w:rPr>
        <w:t>HCN</w:t>
      </w:r>
    </w:p>
    <w:tbl>
      <w:tblPr>
        <w:tblStyle w:val="MediumShading1-Accent1"/>
        <w:tblW w:w="9229" w:type="dxa"/>
        <w:tblBorders>
          <w:insideV w:val="single" w:sz="8" w:space="0" w:color="7BA0CD" w:themeColor="accent1" w:themeTint="BF"/>
        </w:tblBorders>
        <w:tblLook w:val="04A0" w:firstRow="1" w:lastRow="0" w:firstColumn="1" w:lastColumn="0" w:noHBand="0" w:noVBand="1"/>
      </w:tblPr>
      <w:tblGrid>
        <w:gridCol w:w="4112"/>
        <w:gridCol w:w="1290"/>
        <w:gridCol w:w="1276"/>
        <w:gridCol w:w="1275"/>
        <w:gridCol w:w="1276"/>
      </w:tblGrid>
      <w:tr w:rsidR="00BC07CA" w:rsidRPr="00BC07CA" w:rsidTr="00BC07C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vMerge w:val="restart"/>
            <w:tcBorders>
              <w:right w:val="single" w:sz="8" w:space="0" w:color="7BA0CD" w:themeColor="accent1" w:themeTint="BF"/>
            </w:tcBorders>
            <w:noWrap/>
          </w:tcPr>
          <w:p w:rsidR="00D33562" w:rsidRPr="00BC07CA" w:rsidRDefault="00D33562" w:rsidP="00823493">
            <w:pPr>
              <w:rPr>
                <w:rFonts w:cs="Arial"/>
                <w:sz w:val="20"/>
                <w:szCs w:val="20"/>
                <w:lang w:eastAsia="en-GB"/>
              </w:rPr>
            </w:pPr>
            <w:r w:rsidRPr="00BC07CA">
              <w:rPr>
                <w:rFonts w:cs="Arial"/>
                <w:sz w:val="20"/>
                <w:szCs w:val="20"/>
                <w:lang w:eastAsia="en-GB"/>
              </w:rPr>
              <w:t>Food Name</w:t>
            </w:r>
          </w:p>
        </w:tc>
        <w:tc>
          <w:tcPr>
            <w:tcW w:w="5117" w:type="dxa"/>
            <w:gridSpan w:val="4"/>
            <w:tcBorders>
              <w:left w:val="single" w:sz="8" w:space="0" w:color="7BA0CD" w:themeColor="accent1" w:themeTint="BF"/>
            </w:tcBorders>
            <w:noWrap/>
          </w:tcPr>
          <w:p w:rsidR="00D33562" w:rsidRPr="00BC07CA" w:rsidRDefault="00D33562" w:rsidP="00E4090A">
            <w:pPr>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GB"/>
              </w:rPr>
            </w:pPr>
            <w:r w:rsidRPr="00BC07CA">
              <w:rPr>
                <w:rFonts w:cs="Arial"/>
                <w:sz w:val="20"/>
                <w:szCs w:val="20"/>
              </w:rPr>
              <w:t>Contribution</w:t>
            </w:r>
            <w:r w:rsidR="00E4090A">
              <w:rPr>
                <w:rFonts w:cs="Arial"/>
                <w:sz w:val="20"/>
                <w:szCs w:val="20"/>
              </w:rPr>
              <w:t>*</w:t>
            </w:r>
            <w:r w:rsidRPr="00BC07CA">
              <w:rPr>
                <w:rFonts w:cs="Arial"/>
                <w:sz w:val="20"/>
                <w:szCs w:val="20"/>
              </w:rPr>
              <w:t>(%)</w:t>
            </w:r>
          </w:p>
        </w:tc>
      </w:tr>
      <w:tr w:rsidR="00BC07CA" w:rsidRPr="00BC07CA" w:rsidTr="00BC07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vMerge/>
            <w:tcBorders>
              <w:right w:val="single" w:sz="8" w:space="0" w:color="7BA0CD" w:themeColor="accent1" w:themeTint="BF"/>
            </w:tcBorders>
            <w:noWrap/>
          </w:tcPr>
          <w:p w:rsidR="00D33562" w:rsidRPr="00BC07CA" w:rsidRDefault="00D33562" w:rsidP="00823493">
            <w:pPr>
              <w:rPr>
                <w:rFonts w:cs="Arial"/>
                <w:color w:val="FFFFFF" w:themeColor="background1"/>
                <w:sz w:val="20"/>
                <w:szCs w:val="20"/>
                <w:lang w:eastAsia="en-GB"/>
              </w:rPr>
            </w:pPr>
          </w:p>
        </w:tc>
        <w:tc>
          <w:tcPr>
            <w:tcW w:w="2566" w:type="dxa"/>
            <w:gridSpan w:val="2"/>
            <w:tcBorders>
              <w:left w:val="single" w:sz="8" w:space="0" w:color="7BA0CD" w:themeColor="accent1" w:themeTint="BF"/>
              <w:right w:val="single" w:sz="8" w:space="0" w:color="7BA0CD" w:themeColor="accent1" w:themeTint="BF"/>
            </w:tcBorders>
            <w:shd w:val="clear" w:color="auto" w:fill="4F81BD" w:themeFill="accent1"/>
            <w:noWrap/>
          </w:tcPr>
          <w:p w:rsidR="00D33562" w:rsidRPr="00BC07CA" w:rsidRDefault="00D33562" w:rsidP="00823493">
            <w:pPr>
              <w:jc w:val="center"/>
              <w:cnfStyle w:val="000000100000" w:firstRow="0" w:lastRow="0" w:firstColumn="0" w:lastColumn="0" w:oddVBand="0" w:evenVBand="0" w:oddHBand="1" w:evenHBand="0" w:firstRowFirstColumn="0" w:firstRowLastColumn="0" w:lastRowFirstColumn="0" w:lastRowLastColumn="0"/>
              <w:rPr>
                <w:rFonts w:cs="Arial"/>
                <w:b/>
                <w:color w:val="FFFFFF" w:themeColor="background1"/>
                <w:sz w:val="20"/>
                <w:szCs w:val="20"/>
              </w:rPr>
            </w:pPr>
            <w:r w:rsidRPr="00BC07CA">
              <w:rPr>
                <w:rFonts w:cs="Arial"/>
                <w:b/>
                <w:color w:val="FFFFFF" w:themeColor="background1"/>
                <w:sz w:val="20"/>
                <w:szCs w:val="20"/>
              </w:rPr>
              <w:t>Australia</w:t>
            </w:r>
          </w:p>
        </w:tc>
        <w:tc>
          <w:tcPr>
            <w:tcW w:w="2551" w:type="dxa"/>
            <w:gridSpan w:val="2"/>
            <w:tcBorders>
              <w:left w:val="single" w:sz="8" w:space="0" w:color="7BA0CD" w:themeColor="accent1" w:themeTint="BF"/>
            </w:tcBorders>
            <w:shd w:val="clear" w:color="auto" w:fill="4F81BD" w:themeFill="accent1"/>
            <w:noWrap/>
          </w:tcPr>
          <w:p w:rsidR="00D33562" w:rsidRPr="00BC07CA" w:rsidRDefault="00D33562" w:rsidP="00823493">
            <w:pPr>
              <w:jc w:val="center"/>
              <w:cnfStyle w:val="000000100000" w:firstRow="0" w:lastRow="0" w:firstColumn="0" w:lastColumn="0" w:oddVBand="0" w:evenVBand="0" w:oddHBand="1" w:evenHBand="0" w:firstRowFirstColumn="0" w:firstRowLastColumn="0" w:lastRowFirstColumn="0" w:lastRowLastColumn="0"/>
              <w:rPr>
                <w:rFonts w:cs="Arial"/>
                <w:b/>
                <w:color w:val="FFFFFF" w:themeColor="background1"/>
                <w:sz w:val="20"/>
                <w:szCs w:val="20"/>
              </w:rPr>
            </w:pPr>
            <w:r w:rsidRPr="00BC07CA">
              <w:rPr>
                <w:rFonts w:cs="Arial"/>
                <w:b/>
                <w:color w:val="FFFFFF" w:themeColor="background1"/>
                <w:sz w:val="20"/>
                <w:szCs w:val="20"/>
              </w:rPr>
              <w:t>New Zealand</w:t>
            </w:r>
          </w:p>
        </w:tc>
      </w:tr>
      <w:tr w:rsidR="00BC07CA" w:rsidRPr="00BC07CA" w:rsidTr="00BC07C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vMerge/>
            <w:tcBorders>
              <w:right w:val="single" w:sz="8" w:space="0" w:color="7BA0CD" w:themeColor="accent1" w:themeTint="BF"/>
            </w:tcBorders>
            <w:noWrap/>
            <w:hideMark/>
          </w:tcPr>
          <w:p w:rsidR="00D33562" w:rsidRPr="00BC07CA" w:rsidRDefault="00D33562" w:rsidP="00823493">
            <w:pPr>
              <w:rPr>
                <w:rFonts w:cs="Arial"/>
                <w:color w:val="FFFFFF" w:themeColor="background1"/>
                <w:sz w:val="20"/>
                <w:szCs w:val="20"/>
                <w:lang w:eastAsia="en-GB"/>
              </w:rPr>
            </w:pPr>
          </w:p>
        </w:tc>
        <w:tc>
          <w:tcPr>
            <w:tcW w:w="1290" w:type="dxa"/>
            <w:tcBorders>
              <w:left w:val="single" w:sz="8" w:space="0" w:color="7BA0CD" w:themeColor="accent1" w:themeTint="BF"/>
              <w:right w:val="single" w:sz="8" w:space="0" w:color="7BA0CD" w:themeColor="accent1" w:themeTint="BF"/>
            </w:tcBorders>
            <w:shd w:val="clear" w:color="auto" w:fill="4F81BD" w:themeFill="accent1"/>
            <w:noWrap/>
            <w:vAlign w:val="bottom"/>
            <w:hideMark/>
          </w:tcPr>
          <w:p w:rsidR="00D33562" w:rsidRPr="00BC07CA" w:rsidRDefault="00D33562" w:rsidP="00BC07CA">
            <w:pPr>
              <w:jc w:val="right"/>
              <w:cnfStyle w:val="000000010000" w:firstRow="0" w:lastRow="0" w:firstColumn="0" w:lastColumn="0" w:oddVBand="0" w:evenVBand="0" w:oddHBand="0" w:evenHBand="1" w:firstRowFirstColumn="0" w:firstRowLastColumn="0" w:lastRowFirstColumn="0" w:lastRowLastColumn="0"/>
              <w:rPr>
                <w:rFonts w:cs="Arial"/>
                <w:b/>
                <w:color w:val="FFFFFF" w:themeColor="background1"/>
                <w:sz w:val="20"/>
                <w:szCs w:val="20"/>
              </w:rPr>
            </w:pPr>
            <w:r w:rsidRPr="00BC07CA">
              <w:rPr>
                <w:rFonts w:cs="Arial"/>
                <w:b/>
                <w:color w:val="FFFFFF" w:themeColor="background1"/>
                <w:sz w:val="20"/>
                <w:szCs w:val="20"/>
              </w:rPr>
              <w:t>2-16 years</w:t>
            </w:r>
          </w:p>
        </w:tc>
        <w:tc>
          <w:tcPr>
            <w:tcW w:w="1276" w:type="dxa"/>
            <w:tcBorders>
              <w:left w:val="single" w:sz="8" w:space="0" w:color="7BA0CD" w:themeColor="accent1" w:themeTint="BF"/>
              <w:right w:val="single" w:sz="8" w:space="0" w:color="7BA0CD" w:themeColor="accent1" w:themeTint="BF"/>
            </w:tcBorders>
            <w:shd w:val="clear" w:color="auto" w:fill="4F81BD" w:themeFill="accent1"/>
            <w:noWrap/>
            <w:vAlign w:val="bottom"/>
            <w:hideMark/>
          </w:tcPr>
          <w:p w:rsidR="00D33562" w:rsidRPr="00BC07CA" w:rsidRDefault="00D33562" w:rsidP="00BC07CA">
            <w:pPr>
              <w:jc w:val="right"/>
              <w:cnfStyle w:val="000000010000" w:firstRow="0" w:lastRow="0" w:firstColumn="0" w:lastColumn="0" w:oddVBand="0" w:evenVBand="0" w:oddHBand="0" w:evenHBand="1" w:firstRowFirstColumn="0" w:firstRowLastColumn="0" w:lastRowFirstColumn="0" w:lastRowLastColumn="0"/>
              <w:rPr>
                <w:rFonts w:cs="Arial"/>
                <w:b/>
                <w:color w:val="FFFFFF" w:themeColor="background1"/>
                <w:sz w:val="20"/>
                <w:szCs w:val="20"/>
              </w:rPr>
            </w:pPr>
            <w:r w:rsidRPr="00BC07CA">
              <w:rPr>
                <w:rFonts w:cs="Arial"/>
                <w:b/>
                <w:color w:val="FFFFFF" w:themeColor="background1"/>
                <w:sz w:val="20"/>
                <w:szCs w:val="20"/>
              </w:rPr>
              <w:t>17 years and above</w:t>
            </w:r>
          </w:p>
        </w:tc>
        <w:tc>
          <w:tcPr>
            <w:tcW w:w="1275" w:type="dxa"/>
            <w:tcBorders>
              <w:left w:val="single" w:sz="8" w:space="0" w:color="7BA0CD" w:themeColor="accent1" w:themeTint="BF"/>
              <w:right w:val="single" w:sz="8" w:space="0" w:color="7BA0CD" w:themeColor="accent1" w:themeTint="BF"/>
            </w:tcBorders>
            <w:shd w:val="clear" w:color="auto" w:fill="4F81BD" w:themeFill="accent1"/>
            <w:noWrap/>
            <w:vAlign w:val="bottom"/>
            <w:hideMark/>
          </w:tcPr>
          <w:p w:rsidR="00D33562" w:rsidRPr="00BC07CA" w:rsidRDefault="00D33562" w:rsidP="00BC07CA">
            <w:pPr>
              <w:jc w:val="right"/>
              <w:cnfStyle w:val="000000010000" w:firstRow="0" w:lastRow="0" w:firstColumn="0" w:lastColumn="0" w:oddVBand="0" w:evenVBand="0" w:oddHBand="0" w:evenHBand="1" w:firstRowFirstColumn="0" w:firstRowLastColumn="0" w:lastRowFirstColumn="0" w:lastRowLastColumn="0"/>
              <w:rPr>
                <w:rFonts w:cs="Arial"/>
                <w:b/>
                <w:color w:val="FFFFFF" w:themeColor="background1"/>
                <w:sz w:val="20"/>
                <w:szCs w:val="20"/>
              </w:rPr>
            </w:pPr>
            <w:r w:rsidRPr="00BC07CA">
              <w:rPr>
                <w:rFonts w:cs="Arial"/>
                <w:b/>
                <w:color w:val="FFFFFF" w:themeColor="background1"/>
                <w:sz w:val="20"/>
                <w:szCs w:val="20"/>
              </w:rPr>
              <w:t>5-14 years</w:t>
            </w:r>
          </w:p>
        </w:tc>
        <w:tc>
          <w:tcPr>
            <w:tcW w:w="1276" w:type="dxa"/>
            <w:tcBorders>
              <w:left w:val="single" w:sz="8" w:space="0" w:color="7BA0CD" w:themeColor="accent1" w:themeTint="BF"/>
            </w:tcBorders>
            <w:shd w:val="clear" w:color="auto" w:fill="4F81BD" w:themeFill="accent1"/>
            <w:noWrap/>
            <w:vAlign w:val="bottom"/>
            <w:hideMark/>
          </w:tcPr>
          <w:p w:rsidR="00D33562" w:rsidRPr="00BC07CA" w:rsidRDefault="00D33562" w:rsidP="00BC07CA">
            <w:pPr>
              <w:jc w:val="right"/>
              <w:cnfStyle w:val="000000010000" w:firstRow="0" w:lastRow="0" w:firstColumn="0" w:lastColumn="0" w:oddVBand="0" w:evenVBand="0" w:oddHBand="0" w:evenHBand="1" w:firstRowFirstColumn="0" w:firstRowLastColumn="0" w:lastRowFirstColumn="0" w:lastRowLastColumn="0"/>
              <w:rPr>
                <w:rFonts w:cs="Arial"/>
                <w:b/>
                <w:color w:val="FFFFFF" w:themeColor="background1"/>
                <w:sz w:val="20"/>
                <w:szCs w:val="20"/>
              </w:rPr>
            </w:pPr>
            <w:r w:rsidRPr="00BC07CA">
              <w:rPr>
                <w:rFonts w:cs="Arial"/>
                <w:b/>
                <w:color w:val="FFFFFF" w:themeColor="background1"/>
                <w:sz w:val="20"/>
                <w:szCs w:val="20"/>
              </w:rPr>
              <w:t>15 years and above</w:t>
            </w:r>
          </w:p>
        </w:tc>
      </w:tr>
      <w:tr w:rsidR="00D15B48" w:rsidRPr="00BC07CA" w:rsidTr="00BC07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tcBorders>
              <w:right w:val="none" w:sz="0" w:space="0" w:color="auto"/>
            </w:tcBorders>
            <w:noWrap/>
            <w:hideMark/>
          </w:tcPr>
          <w:p w:rsidR="00D15B48" w:rsidRPr="00BC07CA" w:rsidRDefault="00D15B48" w:rsidP="00C71CCF">
            <w:pPr>
              <w:rPr>
                <w:rFonts w:cs="Arial"/>
                <w:sz w:val="20"/>
                <w:szCs w:val="20"/>
              </w:rPr>
            </w:pPr>
            <w:r w:rsidRPr="00BC07CA">
              <w:rPr>
                <w:rFonts w:cs="Arial"/>
                <w:sz w:val="20"/>
                <w:szCs w:val="20"/>
              </w:rPr>
              <w:t>Almonds</w:t>
            </w:r>
          </w:p>
        </w:tc>
        <w:tc>
          <w:tcPr>
            <w:tcW w:w="1290"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2</w:t>
            </w:r>
          </w:p>
        </w:tc>
        <w:tc>
          <w:tcPr>
            <w:tcW w:w="1276"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8</w:t>
            </w:r>
          </w:p>
        </w:tc>
        <w:tc>
          <w:tcPr>
            <w:tcW w:w="1275"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1</w:t>
            </w:r>
          </w:p>
        </w:tc>
        <w:tc>
          <w:tcPr>
            <w:tcW w:w="1276" w:type="dxa"/>
            <w:tcBorders>
              <w:lef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3</w:t>
            </w:r>
          </w:p>
        </w:tc>
      </w:tr>
      <w:tr w:rsidR="00551B9C" w:rsidRPr="00BC07CA" w:rsidTr="00FF4FB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tcBorders>
              <w:bottom w:val="single" w:sz="8" w:space="0" w:color="7BA0CD" w:themeColor="accent1" w:themeTint="BF"/>
              <w:right w:val="none" w:sz="0" w:space="0" w:color="auto"/>
            </w:tcBorders>
            <w:noWrap/>
            <w:hideMark/>
          </w:tcPr>
          <w:p w:rsidR="00551B9C" w:rsidRPr="00BC07CA" w:rsidRDefault="00551B9C" w:rsidP="0076787E">
            <w:pPr>
              <w:rPr>
                <w:rFonts w:cs="Arial"/>
                <w:sz w:val="20"/>
                <w:szCs w:val="20"/>
              </w:rPr>
            </w:pPr>
            <w:r w:rsidRPr="00BC07CA">
              <w:rPr>
                <w:rFonts w:cs="Arial"/>
                <w:sz w:val="20"/>
                <w:szCs w:val="20"/>
              </w:rPr>
              <w:t>Almond oil</w:t>
            </w:r>
          </w:p>
        </w:tc>
        <w:tc>
          <w:tcPr>
            <w:tcW w:w="1290" w:type="dxa"/>
            <w:tcBorders>
              <w:left w:val="none" w:sz="0" w:space="0" w:color="auto"/>
              <w:bottom w:val="single" w:sz="8" w:space="0" w:color="7BA0CD" w:themeColor="accent1" w:themeTint="BF"/>
              <w:right w:val="none" w:sz="0" w:space="0" w:color="auto"/>
            </w:tcBorders>
            <w:noWrap/>
            <w:hideMark/>
          </w:tcPr>
          <w:p w:rsidR="00551B9C" w:rsidRPr="00BC07CA" w:rsidRDefault="00551B9C" w:rsidP="0076787E">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NC</w:t>
            </w:r>
          </w:p>
        </w:tc>
        <w:tc>
          <w:tcPr>
            <w:tcW w:w="1276" w:type="dxa"/>
            <w:tcBorders>
              <w:left w:val="none" w:sz="0" w:space="0" w:color="auto"/>
              <w:bottom w:val="single" w:sz="8" w:space="0" w:color="7BA0CD" w:themeColor="accent1" w:themeTint="BF"/>
              <w:right w:val="none" w:sz="0" w:space="0" w:color="auto"/>
            </w:tcBorders>
            <w:noWrap/>
            <w:hideMark/>
          </w:tcPr>
          <w:p w:rsidR="00551B9C" w:rsidRPr="00BC07CA" w:rsidRDefault="00551B9C" w:rsidP="0076787E">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NC</w:t>
            </w:r>
          </w:p>
        </w:tc>
        <w:tc>
          <w:tcPr>
            <w:tcW w:w="1275" w:type="dxa"/>
            <w:tcBorders>
              <w:left w:val="none" w:sz="0" w:space="0" w:color="auto"/>
              <w:bottom w:val="single" w:sz="8" w:space="0" w:color="7BA0CD" w:themeColor="accent1" w:themeTint="BF"/>
              <w:right w:val="none" w:sz="0" w:space="0" w:color="auto"/>
            </w:tcBorders>
            <w:noWrap/>
            <w:hideMark/>
          </w:tcPr>
          <w:p w:rsidR="00551B9C" w:rsidRPr="00BC07CA" w:rsidRDefault="00551B9C" w:rsidP="0076787E">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NC</w:t>
            </w:r>
          </w:p>
        </w:tc>
        <w:tc>
          <w:tcPr>
            <w:tcW w:w="1276" w:type="dxa"/>
            <w:tcBorders>
              <w:left w:val="none" w:sz="0" w:space="0" w:color="auto"/>
              <w:bottom w:val="single" w:sz="8" w:space="0" w:color="7BA0CD" w:themeColor="accent1" w:themeTint="BF"/>
            </w:tcBorders>
            <w:noWrap/>
            <w:hideMark/>
          </w:tcPr>
          <w:p w:rsidR="00551B9C" w:rsidRPr="00BC07CA" w:rsidRDefault="00551B9C" w:rsidP="0076787E">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NC</w:t>
            </w:r>
          </w:p>
        </w:tc>
      </w:tr>
      <w:tr w:rsidR="00551B9C" w:rsidRPr="00BC07CA" w:rsidTr="0076787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tcBorders>
              <w:right w:val="none" w:sz="0" w:space="0" w:color="auto"/>
            </w:tcBorders>
            <w:noWrap/>
            <w:hideMark/>
          </w:tcPr>
          <w:p w:rsidR="00551B9C" w:rsidRPr="00BC07CA" w:rsidRDefault="00551B9C" w:rsidP="0076787E">
            <w:pPr>
              <w:rPr>
                <w:rFonts w:cs="Arial"/>
                <w:sz w:val="20"/>
                <w:szCs w:val="20"/>
              </w:rPr>
            </w:pPr>
            <w:r w:rsidRPr="00BC07CA">
              <w:rPr>
                <w:rFonts w:cs="Arial"/>
                <w:sz w:val="20"/>
                <w:szCs w:val="20"/>
              </w:rPr>
              <w:t>Apple juice</w:t>
            </w:r>
          </w:p>
        </w:tc>
        <w:tc>
          <w:tcPr>
            <w:tcW w:w="1290" w:type="dxa"/>
            <w:tcBorders>
              <w:left w:val="none" w:sz="0" w:space="0" w:color="auto"/>
              <w:right w:val="none" w:sz="0" w:space="0" w:color="auto"/>
            </w:tcBorders>
            <w:noWrap/>
            <w:hideMark/>
          </w:tcPr>
          <w:p w:rsidR="00551B9C" w:rsidRPr="00BC07CA" w:rsidRDefault="00551B9C" w:rsidP="0076787E">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6</w:t>
            </w:r>
          </w:p>
        </w:tc>
        <w:tc>
          <w:tcPr>
            <w:tcW w:w="1276" w:type="dxa"/>
            <w:tcBorders>
              <w:left w:val="none" w:sz="0" w:space="0" w:color="auto"/>
              <w:right w:val="none" w:sz="0" w:space="0" w:color="auto"/>
            </w:tcBorders>
            <w:noWrap/>
            <w:hideMark/>
          </w:tcPr>
          <w:p w:rsidR="00551B9C" w:rsidRPr="00BC07CA" w:rsidRDefault="00551B9C" w:rsidP="0076787E">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1</w:t>
            </w:r>
          </w:p>
        </w:tc>
        <w:tc>
          <w:tcPr>
            <w:tcW w:w="1275" w:type="dxa"/>
            <w:tcBorders>
              <w:left w:val="none" w:sz="0" w:space="0" w:color="auto"/>
              <w:right w:val="none" w:sz="0" w:space="0" w:color="auto"/>
            </w:tcBorders>
            <w:noWrap/>
            <w:hideMark/>
          </w:tcPr>
          <w:p w:rsidR="00551B9C" w:rsidRPr="00BC07CA" w:rsidRDefault="00551B9C" w:rsidP="0076787E">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3</w:t>
            </w:r>
          </w:p>
        </w:tc>
        <w:tc>
          <w:tcPr>
            <w:tcW w:w="1276" w:type="dxa"/>
            <w:tcBorders>
              <w:left w:val="none" w:sz="0" w:space="0" w:color="auto"/>
            </w:tcBorders>
            <w:noWrap/>
            <w:hideMark/>
          </w:tcPr>
          <w:p w:rsidR="00551B9C" w:rsidRPr="00BC07CA" w:rsidRDefault="00551B9C" w:rsidP="0076787E">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1</w:t>
            </w:r>
          </w:p>
        </w:tc>
      </w:tr>
      <w:tr w:rsidR="00FF4FBE" w:rsidRPr="00BC07CA" w:rsidTr="00FF4FB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tcBorders>
              <w:right w:val="single" w:sz="8" w:space="0" w:color="7BA0CD" w:themeColor="accent1" w:themeTint="BF"/>
            </w:tcBorders>
            <w:noWrap/>
            <w:hideMark/>
          </w:tcPr>
          <w:p w:rsidR="00FF4FBE" w:rsidRPr="00BC07CA" w:rsidRDefault="00FF4FBE" w:rsidP="0076787E">
            <w:pPr>
              <w:rPr>
                <w:rFonts w:cs="Arial"/>
                <w:sz w:val="20"/>
                <w:szCs w:val="20"/>
              </w:rPr>
            </w:pPr>
            <w:r w:rsidRPr="00BC07CA">
              <w:rPr>
                <w:rFonts w:cs="Arial"/>
                <w:sz w:val="20"/>
                <w:szCs w:val="20"/>
              </w:rPr>
              <w:t>Apple puree, infant food</w:t>
            </w:r>
          </w:p>
        </w:tc>
        <w:tc>
          <w:tcPr>
            <w:tcW w:w="1290" w:type="dxa"/>
            <w:tcBorders>
              <w:left w:val="single" w:sz="8" w:space="0" w:color="7BA0CD" w:themeColor="accent1" w:themeTint="BF"/>
              <w:right w:val="single" w:sz="8" w:space="0" w:color="7BA0CD" w:themeColor="accent1" w:themeTint="BF"/>
            </w:tcBorders>
            <w:noWrap/>
            <w:hideMark/>
          </w:tcPr>
          <w:p w:rsidR="00FF4FBE" w:rsidRPr="00BC07CA" w:rsidRDefault="00FF4FBE" w:rsidP="0076787E">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&lt;1</w:t>
            </w:r>
          </w:p>
        </w:tc>
        <w:tc>
          <w:tcPr>
            <w:tcW w:w="1276" w:type="dxa"/>
            <w:tcBorders>
              <w:left w:val="single" w:sz="8" w:space="0" w:color="7BA0CD" w:themeColor="accent1" w:themeTint="BF"/>
              <w:right w:val="single" w:sz="8" w:space="0" w:color="7BA0CD" w:themeColor="accent1" w:themeTint="BF"/>
            </w:tcBorders>
            <w:noWrap/>
            <w:hideMark/>
          </w:tcPr>
          <w:p w:rsidR="00FF4FBE" w:rsidRPr="00BC07CA" w:rsidRDefault="00FF4FBE" w:rsidP="0076787E">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&lt;1</w:t>
            </w:r>
          </w:p>
        </w:tc>
        <w:tc>
          <w:tcPr>
            <w:tcW w:w="1275" w:type="dxa"/>
            <w:tcBorders>
              <w:left w:val="single" w:sz="8" w:space="0" w:color="7BA0CD" w:themeColor="accent1" w:themeTint="BF"/>
              <w:right w:val="single" w:sz="8" w:space="0" w:color="7BA0CD" w:themeColor="accent1" w:themeTint="BF"/>
            </w:tcBorders>
            <w:noWrap/>
            <w:hideMark/>
          </w:tcPr>
          <w:p w:rsidR="00FF4FBE" w:rsidRPr="00BC07CA" w:rsidRDefault="00FF4FBE" w:rsidP="0076787E">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NC</w:t>
            </w:r>
          </w:p>
        </w:tc>
        <w:tc>
          <w:tcPr>
            <w:tcW w:w="1276" w:type="dxa"/>
            <w:tcBorders>
              <w:left w:val="single" w:sz="8" w:space="0" w:color="7BA0CD" w:themeColor="accent1" w:themeTint="BF"/>
            </w:tcBorders>
            <w:noWrap/>
            <w:hideMark/>
          </w:tcPr>
          <w:p w:rsidR="00FF4FBE" w:rsidRPr="00BC07CA" w:rsidRDefault="00FF4FBE" w:rsidP="0076787E">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&lt;1</w:t>
            </w:r>
          </w:p>
        </w:tc>
      </w:tr>
      <w:tr w:rsidR="00551B9C" w:rsidRPr="00BC07CA" w:rsidTr="0076787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tcBorders>
              <w:right w:val="none" w:sz="0" w:space="0" w:color="auto"/>
            </w:tcBorders>
            <w:noWrap/>
            <w:hideMark/>
          </w:tcPr>
          <w:p w:rsidR="00551B9C" w:rsidRPr="00BC07CA" w:rsidRDefault="00551B9C" w:rsidP="0076787E">
            <w:pPr>
              <w:rPr>
                <w:rFonts w:cs="Arial"/>
                <w:sz w:val="20"/>
                <w:szCs w:val="20"/>
              </w:rPr>
            </w:pPr>
            <w:r w:rsidRPr="00BC07CA">
              <w:rPr>
                <w:rFonts w:cs="Arial"/>
                <w:sz w:val="20"/>
                <w:szCs w:val="20"/>
              </w:rPr>
              <w:t>Apple sauce</w:t>
            </w:r>
          </w:p>
        </w:tc>
        <w:tc>
          <w:tcPr>
            <w:tcW w:w="1290" w:type="dxa"/>
            <w:tcBorders>
              <w:left w:val="none" w:sz="0" w:space="0" w:color="auto"/>
              <w:right w:val="none" w:sz="0" w:space="0" w:color="auto"/>
            </w:tcBorders>
            <w:noWrap/>
            <w:hideMark/>
          </w:tcPr>
          <w:p w:rsidR="00551B9C" w:rsidRPr="00BC07CA" w:rsidRDefault="00551B9C" w:rsidP="0076787E">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NC</w:t>
            </w:r>
          </w:p>
        </w:tc>
        <w:tc>
          <w:tcPr>
            <w:tcW w:w="1276" w:type="dxa"/>
            <w:tcBorders>
              <w:left w:val="none" w:sz="0" w:space="0" w:color="auto"/>
              <w:right w:val="none" w:sz="0" w:space="0" w:color="auto"/>
            </w:tcBorders>
            <w:noWrap/>
            <w:hideMark/>
          </w:tcPr>
          <w:p w:rsidR="00551B9C" w:rsidRPr="00BC07CA" w:rsidRDefault="00551B9C" w:rsidP="0076787E">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&lt;1</w:t>
            </w:r>
          </w:p>
        </w:tc>
        <w:tc>
          <w:tcPr>
            <w:tcW w:w="1275" w:type="dxa"/>
            <w:tcBorders>
              <w:left w:val="none" w:sz="0" w:space="0" w:color="auto"/>
              <w:right w:val="none" w:sz="0" w:space="0" w:color="auto"/>
            </w:tcBorders>
            <w:noWrap/>
            <w:hideMark/>
          </w:tcPr>
          <w:p w:rsidR="00551B9C" w:rsidRPr="00BC07CA" w:rsidRDefault="00551B9C" w:rsidP="0076787E">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&lt;1</w:t>
            </w:r>
          </w:p>
        </w:tc>
        <w:tc>
          <w:tcPr>
            <w:tcW w:w="1276" w:type="dxa"/>
            <w:tcBorders>
              <w:left w:val="none" w:sz="0" w:space="0" w:color="auto"/>
            </w:tcBorders>
            <w:noWrap/>
            <w:hideMark/>
          </w:tcPr>
          <w:p w:rsidR="00551B9C" w:rsidRPr="00BC07CA" w:rsidRDefault="00551B9C" w:rsidP="0076787E">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2</w:t>
            </w:r>
          </w:p>
        </w:tc>
      </w:tr>
      <w:tr w:rsidR="00D15B48" w:rsidRPr="00BC07CA" w:rsidTr="00BC07C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tcBorders>
              <w:right w:val="none" w:sz="0" w:space="0" w:color="auto"/>
            </w:tcBorders>
            <w:noWrap/>
            <w:hideMark/>
          </w:tcPr>
          <w:p w:rsidR="00D15B48" w:rsidRPr="00BC07CA" w:rsidRDefault="00D15B48" w:rsidP="00C71CCF">
            <w:pPr>
              <w:rPr>
                <w:rFonts w:cs="Arial"/>
                <w:sz w:val="20"/>
                <w:szCs w:val="20"/>
              </w:rPr>
            </w:pPr>
            <w:r w:rsidRPr="00BC07CA">
              <w:rPr>
                <w:rFonts w:cs="Arial"/>
                <w:sz w:val="20"/>
                <w:szCs w:val="20"/>
              </w:rPr>
              <w:t>Apple cider vinegar</w:t>
            </w:r>
          </w:p>
        </w:tc>
        <w:tc>
          <w:tcPr>
            <w:tcW w:w="1290"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&lt;1</w:t>
            </w:r>
          </w:p>
        </w:tc>
        <w:tc>
          <w:tcPr>
            <w:tcW w:w="1276"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&lt;1</w:t>
            </w:r>
          </w:p>
        </w:tc>
        <w:tc>
          <w:tcPr>
            <w:tcW w:w="1275"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&lt;1</w:t>
            </w:r>
          </w:p>
        </w:tc>
        <w:tc>
          <w:tcPr>
            <w:tcW w:w="1276" w:type="dxa"/>
            <w:tcBorders>
              <w:lef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&lt;1</w:t>
            </w:r>
          </w:p>
        </w:tc>
      </w:tr>
      <w:tr w:rsidR="00551B9C" w:rsidRPr="00BC07CA" w:rsidTr="0076787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tcBorders>
              <w:right w:val="none" w:sz="0" w:space="0" w:color="auto"/>
            </w:tcBorders>
            <w:noWrap/>
            <w:hideMark/>
          </w:tcPr>
          <w:p w:rsidR="00551B9C" w:rsidRPr="00BC07CA" w:rsidRDefault="00551B9C" w:rsidP="0076787E">
            <w:pPr>
              <w:rPr>
                <w:rFonts w:cs="Arial"/>
                <w:sz w:val="20"/>
                <w:szCs w:val="20"/>
              </w:rPr>
            </w:pPr>
            <w:r w:rsidRPr="00BC07CA">
              <w:rPr>
                <w:rFonts w:cs="Arial"/>
                <w:sz w:val="20"/>
                <w:szCs w:val="20"/>
              </w:rPr>
              <w:t>Apricots, canned</w:t>
            </w:r>
          </w:p>
        </w:tc>
        <w:tc>
          <w:tcPr>
            <w:tcW w:w="1290" w:type="dxa"/>
            <w:tcBorders>
              <w:left w:val="none" w:sz="0" w:space="0" w:color="auto"/>
              <w:right w:val="none" w:sz="0" w:space="0" w:color="auto"/>
            </w:tcBorders>
            <w:noWrap/>
            <w:hideMark/>
          </w:tcPr>
          <w:p w:rsidR="00551B9C" w:rsidRPr="00BC07CA" w:rsidRDefault="00551B9C" w:rsidP="0076787E">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&lt;1</w:t>
            </w:r>
          </w:p>
        </w:tc>
        <w:tc>
          <w:tcPr>
            <w:tcW w:w="1276" w:type="dxa"/>
            <w:tcBorders>
              <w:left w:val="none" w:sz="0" w:space="0" w:color="auto"/>
              <w:right w:val="none" w:sz="0" w:space="0" w:color="auto"/>
            </w:tcBorders>
            <w:noWrap/>
            <w:hideMark/>
          </w:tcPr>
          <w:p w:rsidR="00551B9C" w:rsidRPr="00BC07CA" w:rsidRDefault="00551B9C" w:rsidP="0076787E">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&lt;1</w:t>
            </w:r>
          </w:p>
        </w:tc>
        <w:tc>
          <w:tcPr>
            <w:tcW w:w="1275" w:type="dxa"/>
            <w:tcBorders>
              <w:left w:val="none" w:sz="0" w:space="0" w:color="auto"/>
              <w:right w:val="none" w:sz="0" w:space="0" w:color="auto"/>
            </w:tcBorders>
            <w:noWrap/>
            <w:hideMark/>
          </w:tcPr>
          <w:p w:rsidR="00551B9C" w:rsidRPr="00BC07CA" w:rsidRDefault="00551B9C" w:rsidP="0076787E">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&lt;1</w:t>
            </w:r>
          </w:p>
        </w:tc>
        <w:tc>
          <w:tcPr>
            <w:tcW w:w="1276" w:type="dxa"/>
            <w:tcBorders>
              <w:left w:val="none" w:sz="0" w:space="0" w:color="auto"/>
            </w:tcBorders>
            <w:noWrap/>
            <w:hideMark/>
          </w:tcPr>
          <w:p w:rsidR="00551B9C" w:rsidRPr="00BC07CA" w:rsidRDefault="00551B9C" w:rsidP="0076787E">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&lt;1</w:t>
            </w:r>
          </w:p>
        </w:tc>
      </w:tr>
      <w:tr w:rsidR="00551B9C" w:rsidRPr="00BC07CA" w:rsidTr="0076787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tcBorders>
              <w:right w:val="none" w:sz="0" w:space="0" w:color="auto"/>
            </w:tcBorders>
            <w:noWrap/>
            <w:hideMark/>
          </w:tcPr>
          <w:p w:rsidR="00551B9C" w:rsidRPr="00BC07CA" w:rsidRDefault="00551B9C" w:rsidP="0076787E">
            <w:pPr>
              <w:rPr>
                <w:rFonts w:cs="Arial"/>
                <w:sz w:val="20"/>
                <w:szCs w:val="20"/>
              </w:rPr>
            </w:pPr>
            <w:r w:rsidRPr="00BC07CA">
              <w:rPr>
                <w:rFonts w:cs="Arial"/>
                <w:sz w:val="20"/>
                <w:szCs w:val="20"/>
              </w:rPr>
              <w:t>Apricot jam</w:t>
            </w:r>
          </w:p>
        </w:tc>
        <w:tc>
          <w:tcPr>
            <w:tcW w:w="1290" w:type="dxa"/>
            <w:tcBorders>
              <w:left w:val="none" w:sz="0" w:space="0" w:color="auto"/>
              <w:right w:val="none" w:sz="0" w:space="0" w:color="auto"/>
            </w:tcBorders>
            <w:noWrap/>
            <w:hideMark/>
          </w:tcPr>
          <w:p w:rsidR="00551B9C" w:rsidRPr="00BC07CA" w:rsidRDefault="00551B9C" w:rsidP="0076787E">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&lt;1</w:t>
            </w:r>
          </w:p>
        </w:tc>
        <w:tc>
          <w:tcPr>
            <w:tcW w:w="1276" w:type="dxa"/>
            <w:tcBorders>
              <w:left w:val="none" w:sz="0" w:space="0" w:color="auto"/>
              <w:right w:val="none" w:sz="0" w:space="0" w:color="auto"/>
            </w:tcBorders>
            <w:noWrap/>
            <w:hideMark/>
          </w:tcPr>
          <w:p w:rsidR="00551B9C" w:rsidRPr="00BC07CA" w:rsidRDefault="00551B9C" w:rsidP="0076787E">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&lt;1</w:t>
            </w:r>
          </w:p>
        </w:tc>
        <w:tc>
          <w:tcPr>
            <w:tcW w:w="1275" w:type="dxa"/>
            <w:tcBorders>
              <w:left w:val="none" w:sz="0" w:space="0" w:color="auto"/>
              <w:right w:val="none" w:sz="0" w:space="0" w:color="auto"/>
            </w:tcBorders>
            <w:noWrap/>
            <w:hideMark/>
          </w:tcPr>
          <w:p w:rsidR="00551B9C" w:rsidRPr="00BC07CA" w:rsidRDefault="00551B9C" w:rsidP="0076787E">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&lt;1</w:t>
            </w:r>
          </w:p>
        </w:tc>
        <w:tc>
          <w:tcPr>
            <w:tcW w:w="1276" w:type="dxa"/>
            <w:tcBorders>
              <w:left w:val="none" w:sz="0" w:space="0" w:color="auto"/>
            </w:tcBorders>
            <w:noWrap/>
            <w:hideMark/>
          </w:tcPr>
          <w:p w:rsidR="00551B9C" w:rsidRPr="00BC07CA" w:rsidRDefault="00551B9C" w:rsidP="0076787E">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&lt;1</w:t>
            </w:r>
          </w:p>
        </w:tc>
      </w:tr>
      <w:tr w:rsidR="00FF4FBE" w:rsidRPr="00BC07CA" w:rsidTr="0076787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tcBorders>
              <w:right w:val="none" w:sz="0" w:space="0" w:color="auto"/>
            </w:tcBorders>
            <w:noWrap/>
            <w:hideMark/>
          </w:tcPr>
          <w:p w:rsidR="00FF4FBE" w:rsidRPr="00BC07CA" w:rsidRDefault="00FF4FBE" w:rsidP="0076787E">
            <w:pPr>
              <w:rPr>
                <w:rFonts w:cs="Arial"/>
                <w:sz w:val="20"/>
                <w:szCs w:val="20"/>
              </w:rPr>
            </w:pPr>
            <w:r w:rsidRPr="00BC07CA">
              <w:rPr>
                <w:rFonts w:cs="Arial"/>
                <w:sz w:val="20"/>
                <w:szCs w:val="20"/>
              </w:rPr>
              <w:t>Apricot nectar</w:t>
            </w:r>
          </w:p>
        </w:tc>
        <w:tc>
          <w:tcPr>
            <w:tcW w:w="1290" w:type="dxa"/>
            <w:tcBorders>
              <w:left w:val="none" w:sz="0" w:space="0" w:color="auto"/>
              <w:right w:val="none" w:sz="0" w:space="0" w:color="auto"/>
            </w:tcBorders>
            <w:noWrap/>
            <w:hideMark/>
          </w:tcPr>
          <w:p w:rsidR="00FF4FBE" w:rsidRPr="00BC07CA" w:rsidRDefault="00FF4FBE" w:rsidP="0076787E">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1</w:t>
            </w:r>
          </w:p>
        </w:tc>
        <w:tc>
          <w:tcPr>
            <w:tcW w:w="1276" w:type="dxa"/>
            <w:tcBorders>
              <w:left w:val="none" w:sz="0" w:space="0" w:color="auto"/>
              <w:right w:val="none" w:sz="0" w:space="0" w:color="auto"/>
            </w:tcBorders>
            <w:noWrap/>
            <w:hideMark/>
          </w:tcPr>
          <w:p w:rsidR="00FF4FBE" w:rsidRPr="00BC07CA" w:rsidRDefault="00FF4FBE" w:rsidP="0076787E">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2</w:t>
            </w:r>
          </w:p>
        </w:tc>
        <w:tc>
          <w:tcPr>
            <w:tcW w:w="1275" w:type="dxa"/>
            <w:tcBorders>
              <w:left w:val="none" w:sz="0" w:space="0" w:color="auto"/>
              <w:right w:val="none" w:sz="0" w:space="0" w:color="auto"/>
            </w:tcBorders>
            <w:noWrap/>
            <w:hideMark/>
          </w:tcPr>
          <w:p w:rsidR="00FF4FBE" w:rsidRPr="00BC07CA" w:rsidRDefault="00FF4FBE" w:rsidP="0076787E">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NC</w:t>
            </w:r>
          </w:p>
        </w:tc>
        <w:tc>
          <w:tcPr>
            <w:tcW w:w="1276" w:type="dxa"/>
            <w:tcBorders>
              <w:left w:val="none" w:sz="0" w:space="0" w:color="auto"/>
            </w:tcBorders>
            <w:noWrap/>
            <w:hideMark/>
          </w:tcPr>
          <w:p w:rsidR="00FF4FBE" w:rsidRPr="00BC07CA" w:rsidRDefault="00FF4FBE" w:rsidP="0076787E">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NC</w:t>
            </w:r>
          </w:p>
        </w:tc>
      </w:tr>
      <w:tr w:rsidR="00D15B48" w:rsidRPr="00BC07CA" w:rsidTr="00BC07C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tcBorders>
              <w:right w:val="none" w:sz="0" w:space="0" w:color="auto"/>
            </w:tcBorders>
            <w:noWrap/>
            <w:hideMark/>
          </w:tcPr>
          <w:p w:rsidR="00D15B48" w:rsidRPr="00BC07CA" w:rsidRDefault="00D15B48" w:rsidP="00C71CCF">
            <w:pPr>
              <w:rPr>
                <w:rFonts w:cs="Arial"/>
                <w:sz w:val="20"/>
                <w:szCs w:val="20"/>
              </w:rPr>
            </w:pPr>
            <w:r w:rsidRPr="00BC07CA">
              <w:rPr>
                <w:rFonts w:cs="Arial"/>
                <w:sz w:val="20"/>
                <w:szCs w:val="20"/>
              </w:rPr>
              <w:t>Bamboo shoots</w:t>
            </w:r>
          </w:p>
        </w:tc>
        <w:tc>
          <w:tcPr>
            <w:tcW w:w="1290"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4</w:t>
            </w:r>
          </w:p>
        </w:tc>
        <w:tc>
          <w:tcPr>
            <w:tcW w:w="1276"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3</w:t>
            </w:r>
          </w:p>
        </w:tc>
        <w:tc>
          <w:tcPr>
            <w:tcW w:w="1275"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5</w:t>
            </w:r>
          </w:p>
        </w:tc>
        <w:tc>
          <w:tcPr>
            <w:tcW w:w="1276" w:type="dxa"/>
            <w:tcBorders>
              <w:lef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&lt;1</w:t>
            </w:r>
          </w:p>
        </w:tc>
      </w:tr>
      <w:tr w:rsidR="00D15B48" w:rsidRPr="00BC07CA" w:rsidTr="00BC07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tcBorders>
              <w:right w:val="none" w:sz="0" w:space="0" w:color="auto"/>
            </w:tcBorders>
            <w:noWrap/>
            <w:hideMark/>
          </w:tcPr>
          <w:p w:rsidR="00D15B48" w:rsidRPr="00BC07CA" w:rsidRDefault="00D15B48" w:rsidP="00D357B1">
            <w:pPr>
              <w:rPr>
                <w:rFonts w:cs="Arial"/>
                <w:sz w:val="20"/>
                <w:szCs w:val="20"/>
              </w:rPr>
            </w:pPr>
            <w:r w:rsidRPr="00BC07CA">
              <w:rPr>
                <w:rFonts w:cs="Arial"/>
                <w:sz w:val="20"/>
                <w:szCs w:val="20"/>
              </w:rPr>
              <w:t>Biscuits (am</w:t>
            </w:r>
            <w:r w:rsidR="00D357B1" w:rsidRPr="00BC07CA">
              <w:rPr>
                <w:rFonts w:cs="Arial"/>
                <w:sz w:val="20"/>
                <w:szCs w:val="20"/>
              </w:rPr>
              <w:t>a</w:t>
            </w:r>
            <w:r w:rsidRPr="00BC07CA">
              <w:rPr>
                <w:rFonts w:cs="Arial"/>
                <w:sz w:val="20"/>
                <w:szCs w:val="20"/>
              </w:rPr>
              <w:t>retti and apple/apricot fingers)</w:t>
            </w:r>
          </w:p>
        </w:tc>
        <w:tc>
          <w:tcPr>
            <w:tcW w:w="1290"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&lt;1</w:t>
            </w:r>
          </w:p>
        </w:tc>
        <w:tc>
          <w:tcPr>
            <w:tcW w:w="1276"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&lt;1</w:t>
            </w:r>
          </w:p>
        </w:tc>
        <w:tc>
          <w:tcPr>
            <w:tcW w:w="1275"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&lt;1</w:t>
            </w:r>
          </w:p>
        </w:tc>
        <w:tc>
          <w:tcPr>
            <w:tcW w:w="1276" w:type="dxa"/>
            <w:tcBorders>
              <w:lef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&lt;1</w:t>
            </w:r>
          </w:p>
        </w:tc>
      </w:tr>
      <w:tr w:rsidR="00D15B48" w:rsidRPr="00BC07CA" w:rsidTr="00BC07C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tcBorders>
              <w:right w:val="none" w:sz="0" w:space="0" w:color="auto"/>
            </w:tcBorders>
            <w:noWrap/>
            <w:hideMark/>
          </w:tcPr>
          <w:p w:rsidR="00D15B48" w:rsidRPr="00BC07CA" w:rsidRDefault="00D15B48" w:rsidP="00C71CCF">
            <w:pPr>
              <w:rPr>
                <w:rFonts w:cs="Arial"/>
                <w:sz w:val="20"/>
                <w:szCs w:val="20"/>
              </w:rPr>
            </w:pPr>
            <w:r w:rsidRPr="00BC07CA">
              <w:rPr>
                <w:rFonts w:cs="Arial"/>
                <w:sz w:val="20"/>
                <w:szCs w:val="20"/>
              </w:rPr>
              <w:t>Bread containing linseed</w:t>
            </w:r>
          </w:p>
        </w:tc>
        <w:tc>
          <w:tcPr>
            <w:tcW w:w="1290"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37</w:t>
            </w:r>
          </w:p>
        </w:tc>
        <w:tc>
          <w:tcPr>
            <w:tcW w:w="1276"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75</w:t>
            </w:r>
          </w:p>
        </w:tc>
        <w:tc>
          <w:tcPr>
            <w:tcW w:w="1275"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24</w:t>
            </w:r>
          </w:p>
        </w:tc>
        <w:tc>
          <w:tcPr>
            <w:tcW w:w="1276" w:type="dxa"/>
            <w:tcBorders>
              <w:lef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75</w:t>
            </w:r>
          </w:p>
        </w:tc>
      </w:tr>
      <w:tr w:rsidR="00D15B48" w:rsidRPr="00BC07CA" w:rsidTr="00BC07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tcBorders>
              <w:right w:val="none" w:sz="0" w:space="0" w:color="auto"/>
            </w:tcBorders>
            <w:noWrap/>
            <w:hideMark/>
          </w:tcPr>
          <w:p w:rsidR="00D15B48" w:rsidRPr="00BC07CA" w:rsidRDefault="00D15B48" w:rsidP="00C71CCF">
            <w:pPr>
              <w:rPr>
                <w:rFonts w:cs="Arial"/>
                <w:sz w:val="20"/>
                <w:szCs w:val="20"/>
              </w:rPr>
            </w:pPr>
            <w:r w:rsidRPr="00BC07CA">
              <w:rPr>
                <w:rFonts w:cs="Arial"/>
                <w:sz w:val="20"/>
                <w:szCs w:val="20"/>
              </w:rPr>
              <w:t>Butter beans</w:t>
            </w:r>
          </w:p>
        </w:tc>
        <w:tc>
          <w:tcPr>
            <w:tcW w:w="1290"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&lt;1</w:t>
            </w:r>
          </w:p>
        </w:tc>
        <w:tc>
          <w:tcPr>
            <w:tcW w:w="1276"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&lt;1</w:t>
            </w:r>
          </w:p>
        </w:tc>
        <w:tc>
          <w:tcPr>
            <w:tcW w:w="1275"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&lt;1</w:t>
            </w:r>
          </w:p>
        </w:tc>
        <w:tc>
          <w:tcPr>
            <w:tcW w:w="1276" w:type="dxa"/>
            <w:tcBorders>
              <w:lef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NC</w:t>
            </w:r>
          </w:p>
        </w:tc>
      </w:tr>
      <w:tr w:rsidR="00D15B48" w:rsidRPr="00BC07CA" w:rsidTr="00BC07C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tcBorders>
              <w:right w:val="none" w:sz="0" w:space="0" w:color="auto"/>
            </w:tcBorders>
            <w:noWrap/>
            <w:hideMark/>
          </w:tcPr>
          <w:p w:rsidR="00D15B48" w:rsidRPr="00BC07CA" w:rsidRDefault="00D15B48" w:rsidP="00C71CCF">
            <w:pPr>
              <w:rPr>
                <w:rFonts w:cs="Arial"/>
                <w:sz w:val="20"/>
                <w:szCs w:val="20"/>
              </w:rPr>
            </w:pPr>
            <w:r w:rsidRPr="00BC07CA">
              <w:rPr>
                <w:rFonts w:cs="Arial"/>
                <w:sz w:val="20"/>
                <w:szCs w:val="20"/>
              </w:rPr>
              <w:t>Cassava chips</w:t>
            </w:r>
          </w:p>
        </w:tc>
        <w:tc>
          <w:tcPr>
            <w:tcW w:w="1290"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15</w:t>
            </w:r>
          </w:p>
        </w:tc>
        <w:tc>
          <w:tcPr>
            <w:tcW w:w="1276"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5</w:t>
            </w:r>
          </w:p>
        </w:tc>
        <w:tc>
          <w:tcPr>
            <w:tcW w:w="1275"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22</w:t>
            </w:r>
          </w:p>
        </w:tc>
        <w:tc>
          <w:tcPr>
            <w:tcW w:w="1276" w:type="dxa"/>
            <w:tcBorders>
              <w:lef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5</w:t>
            </w:r>
          </w:p>
        </w:tc>
      </w:tr>
      <w:tr w:rsidR="00D15B48" w:rsidRPr="00BC07CA" w:rsidTr="00BC07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tcBorders>
              <w:right w:val="none" w:sz="0" w:space="0" w:color="auto"/>
            </w:tcBorders>
            <w:noWrap/>
            <w:hideMark/>
          </w:tcPr>
          <w:p w:rsidR="00D15B48" w:rsidRPr="00BC07CA" w:rsidRDefault="00D15B48" w:rsidP="00FF4FBE">
            <w:pPr>
              <w:rPr>
                <w:rFonts w:cs="Arial"/>
                <w:sz w:val="20"/>
                <w:szCs w:val="20"/>
              </w:rPr>
            </w:pPr>
            <w:r w:rsidRPr="00BC07CA">
              <w:rPr>
                <w:rFonts w:cs="Arial"/>
                <w:sz w:val="20"/>
                <w:szCs w:val="20"/>
              </w:rPr>
              <w:t>Cassava roots</w:t>
            </w:r>
            <w:r w:rsidR="00FF4FBE">
              <w:rPr>
                <w:rFonts w:cs="Arial"/>
                <w:sz w:val="20"/>
                <w:szCs w:val="20"/>
              </w:rPr>
              <w:t>, cooked</w:t>
            </w:r>
          </w:p>
        </w:tc>
        <w:tc>
          <w:tcPr>
            <w:tcW w:w="1290"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&lt;1</w:t>
            </w:r>
          </w:p>
        </w:tc>
        <w:tc>
          <w:tcPr>
            <w:tcW w:w="1276"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&lt;1</w:t>
            </w:r>
          </w:p>
        </w:tc>
        <w:tc>
          <w:tcPr>
            <w:tcW w:w="1275"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7</w:t>
            </w:r>
          </w:p>
        </w:tc>
        <w:tc>
          <w:tcPr>
            <w:tcW w:w="1276" w:type="dxa"/>
            <w:tcBorders>
              <w:lef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13</w:t>
            </w:r>
          </w:p>
        </w:tc>
      </w:tr>
      <w:tr w:rsidR="00D15B48" w:rsidRPr="00BC07CA" w:rsidTr="00BC07C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tcBorders>
              <w:right w:val="none" w:sz="0" w:space="0" w:color="auto"/>
            </w:tcBorders>
            <w:noWrap/>
            <w:hideMark/>
          </w:tcPr>
          <w:p w:rsidR="00D15B48" w:rsidRPr="00BC07CA" w:rsidRDefault="00D15B48" w:rsidP="00FF4FBE">
            <w:pPr>
              <w:rPr>
                <w:rFonts w:cs="Arial"/>
                <w:sz w:val="20"/>
                <w:szCs w:val="20"/>
              </w:rPr>
            </w:pPr>
            <w:r w:rsidRPr="00BC07CA">
              <w:rPr>
                <w:rFonts w:cs="Arial"/>
                <w:sz w:val="20"/>
                <w:szCs w:val="20"/>
              </w:rPr>
              <w:t>Cassava starch</w:t>
            </w:r>
          </w:p>
        </w:tc>
        <w:tc>
          <w:tcPr>
            <w:tcW w:w="1290"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&lt;1</w:t>
            </w:r>
          </w:p>
        </w:tc>
        <w:tc>
          <w:tcPr>
            <w:tcW w:w="1276"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&lt;1</w:t>
            </w:r>
          </w:p>
        </w:tc>
        <w:tc>
          <w:tcPr>
            <w:tcW w:w="1275"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&lt;1</w:t>
            </w:r>
          </w:p>
        </w:tc>
        <w:tc>
          <w:tcPr>
            <w:tcW w:w="1276" w:type="dxa"/>
            <w:tcBorders>
              <w:lef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&lt;1</w:t>
            </w:r>
          </w:p>
        </w:tc>
      </w:tr>
      <w:tr w:rsidR="00D15B48" w:rsidRPr="00BC07CA" w:rsidTr="00BC07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tcBorders>
              <w:right w:val="none" w:sz="0" w:space="0" w:color="auto"/>
            </w:tcBorders>
            <w:noWrap/>
            <w:hideMark/>
          </w:tcPr>
          <w:p w:rsidR="00D15B48" w:rsidRPr="00BC07CA" w:rsidRDefault="00D15B48" w:rsidP="00FF4FBE">
            <w:pPr>
              <w:rPr>
                <w:rFonts w:cs="Arial"/>
                <w:sz w:val="20"/>
                <w:szCs w:val="20"/>
              </w:rPr>
            </w:pPr>
            <w:r w:rsidRPr="00BC07CA">
              <w:rPr>
                <w:rFonts w:cs="Arial"/>
                <w:sz w:val="20"/>
                <w:szCs w:val="20"/>
              </w:rPr>
              <w:t xml:space="preserve">Cherry </w:t>
            </w:r>
            <w:r w:rsidR="00FF4FBE">
              <w:rPr>
                <w:rFonts w:cs="Arial"/>
                <w:sz w:val="20"/>
                <w:szCs w:val="20"/>
              </w:rPr>
              <w:t>b</w:t>
            </w:r>
            <w:r w:rsidRPr="00BC07CA">
              <w:rPr>
                <w:rFonts w:cs="Arial"/>
                <w:sz w:val="20"/>
                <w:szCs w:val="20"/>
              </w:rPr>
              <w:t>randy</w:t>
            </w:r>
          </w:p>
        </w:tc>
        <w:tc>
          <w:tcPr>
            <w:tcW w:w="1290"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&lt;1</w:t>
            </w:r>
          </w:p>
        </w:tc>
        <w:tc>
          <w:tcPr>
            <w:tcW w:w="1276"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&lt;1</w:t>
            </w:r>
          </w:p>
        </w:tc>
        <w:tc>
          <w:tcPr>
            <w:tcW w:w="1275"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&lt;1</w:t>
            </w:r>
          </w:p>
        </w:tc>
        <w:tc>
          <w:tcPr>
            <w:tcW w:w="1276" w:type="dxa"/>
            <w:tcBorders>
              <w:lef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&lt;1</w:t>
            </w:r>
          </w:p>
        </w:tc>
      </w:tr>
      <w:tr w:rsidR="00D15B48" w:rsidRPr="00BC07CA" w:rsidTr="00BC07C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tcBorders>
              <w:right w:val="none" w:sz="0" w:space="0" w:color="auto"/>
            </w:tcBorders>
            <w:noWrap/>
            <w:hideMark/>
          </w:tcPr>
          <w:p w:rsidR="00D15B48" w:rsidRPr="00BC07CA" w:rsidRDefault="00D15B48" w:rsidP="00C71CCF">
            <w:pPr>
              <w:rPr>
                <w:rFonts w:cs="Arial"/>
                <w:sz w:val="20"/>
                <w:szCs w:val="20"/>
              </w:rPr>
            </w:pPr>
            <w:r w:rsidRPr="00BC07CA">
              <w:rPr>
                <w:rFonts w:cs="Arial"/>
                <w:sz w:val="20"/>
                <w:szCs w:val="20"/>
              </w:rPr>
              <w:t>Lima beans</w:t>
            </w:r>
          </w:p>
        </w:tc>
        <w:tc>
          <w:tcPr>
            <w:tcW w:w="1290"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&lt;1</w:t>
            </w:r>
          </w:p>
        </w:tc>
        <w:tc>
          <w:tcPr>
            <w:tcW w:w="1276"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2</w:t>
            </w:r>
          </w:p>
        </w:tc>
        <w:tc>
          <w:tcPr>
            <w:tcW w:w="1275"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NC</w:t>
            </w:r>
          </w:p>
        </w:tc>
        <w:tc>
          <w:tcPr>
            <w:tcW w:w="1276" w:type="dxa"/>
            <w:tcBorders>
              <w:lef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&lt;1</w:t>
            </w:r>
          </w:p>
        </w:tc>
      </w:tr>
      <w:tr w:rsidR="00D15B48" w:rsidRPr="00BC07CA" w:rsidTr="00BC07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tcBorders>
              <w:right w:val="none" w:sz="0" w:space="0" w:color="auto"/>
            </w:tcBorders>
            <w:noWrap/>
            <w:hideMark/>
          </w:tcPr>
          <w:p w:rsidR="00D15B48" w:rsidRPr="00BC07CA" w:rsidRDefault="00D15B48" w:rsidP="00FF4FBE">
            <w:pPr>
              <w:rPr>
                <w:rFonts w:cs="Arial"/>
                <w:sz w:val="20"/>
                <w:szCs w:val="20"/>
              </w:rPr>
            </w:pPr>
            <w:r w:rsidRPr="00BC07CA">
              <w:rPr>
                <w:rFonts w:cs="Arial"/>
                <w:sz w:val="20"/>
                <w:szCs w:val="20"/>
              </w:rPr>
              <w:t>Linseed</w:t>
            </w:r>
            <w:r w:rsidR="00FF4FBE">
              <w:rPr>
                <w:rFonts w:cs="Arial"/>
                <w:sz w:val="20"/>
                <w:szCs w:val="20"/>
              </w:rPr>
              <w:t>s</w:t>
            </w:r>
          </w:p>
        </w:tc>
        <w:tc>
          <w:tcPr>
            <w:tcW w:w="1290"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26</w:t>
            </w:r>
          </w:p>
        </w:tc>
        <w:tc>
          <w:tcPr>
            <w:tcW w:w="1276"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NC</w:t>
            </w:r>
          </w:p>
        </w:tc>
        <w:tc>
          <w:tcPr>
            <w:tcW w:w="1275"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32</w:t>
            </w:r>
          </w:p>
        </w:tc>
        <w:tc>
          <w:tcPr>
            <w:tcW w:w="1276" w:type="dxa"/>
            <w:tcBorders>
              <w:lef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NC</w:t>
            </w:r>
          </w:p>
        </w:tc>
      </w:tr>
      <w:tr w:rsidR="00D15B48" w:rsidRPr="00BC07CA" w:rsidTr="00BC07C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tcBorders>
              <w:right w:val="none" w:sz="0" w:space="0" w:color="auto"/>
            </w:tcBorders>
            <w:noWrap/>
            <w:hideMark/>
          </w:tcPr>
          <w:p w:rsidR="00D15B48" w:rsidRPr="00BC07CA" w:rsidRDefault="00D15B48" w:rsidP="00C71CCF">
            <w:pPr>
              <w:rPr>
                <w:rFonts w:cs="Arial"/>
                <w:sz w:val="20"/>
                <w:szCs w:val="20"/>
              </w:rPr>
            </w:pPr>
            <w:r w:rsidRPr="00BC07CA">
              <w:rPr>
                <w:rFonts w:cs="Arial"/>
                <w:sz w:val="20"/>
                <w:szCs w:val="20"/>
              </w:rPr>
              <w:t>Linseed oil</w:t>
            </w:r>
          </w:p>
        </w:tc>
        <w:tc>
          <w:tcPr>
            <w:tcW w:w="1290"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&lt;1</w:t>
            </w:r>
          </w:p>
        </w:tc>
        <w:tc>
          <w:tcPr>
            <w:tcW w:w="1276" w:type="dxa"/>
            <w:tcBorders>
              <w:left w:val="none" w:sz="0" w:space="0" w:color="auto"/>
              <w:right w:val="none" w:sz="0" w:space="0" w:color="auto"/>
            </w:tcBorders>
            <w:noWrap/>
            <w:hideMark/>
          </w:tcPr>
          <w:p w:rsidR="00D15B48" w:rsidRPr="00BC07CA" w:rsidRDefault="00D15B48">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NC</w:t>
            </w:r>
          </w:p>
        </w:tc>
        <w:tc>
          <w:tcPr>
            <w:tcW w:w="1275" w:type="dxa"/>
            <w:tcBorders>
              <w:left w:val="none" w:sz="0" w:space="0" w:color="auto"/>
              <w:right w:val="none" w:sz="0" w:space="0" w:color="auto"/>
            </w:tcBorders>
            <w:noWrap/>
            <w:hideMark/>
          </w:tcPr>
          <w:p w:rsidR="00D15B48" w:rsidRPr="00BC07CA" w:rsidRDefault="00D15B48">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NC</w:t>
            </w:r>
          </w:p>
        </w:tc>
        <w:tc>
          <w:tcPr>
            <w:tcW w:w="1276" w:type="dxa"/>
            <w:tcBorders>
              <w:left w:val="none" w:sz="0" w:space="0" w:color="auto"/>
            </w:tcBorders>
            <w:noWrap/>
            <w:hideMark/>
          </w:tcPr>
          <w:p w:rsidR="00D15B48" w:rsidRPr="00BC07CA" w:rsidRDefault="00D15B48">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NC</w:t>
            </w:r>
          </w:p>
        </w:tc>
      </w:tr>
      <w:tr w:rsidR="00D15B48" w:rsidRPr="00BC07CA" w:rsidTr="00BC07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tcBorders>
              <w:right w:val="none" w:sz="0" w:space="0" w:color="auto"/>
            </w:tcBorders>
            <w:noWrap/>
            <w:hideMark/>
          </w:tcPr>
          <w:p w:rsidR="00D15B48" w:rsidRPr="00BC07CA" w:rsidRDefault="00D15B48" w:rsidP="00C71CCF">
            <w:pPr>
              <w:rPr>
                <w:rFonts w:cs="Arial"/>
                <w:sz w:val="20"/>
                <w:szCs w:val="20"/>
              </w:rPr>
            </w:pPr>
            <w:r w:rsidRPr="00BC07CA">
              <w:rPr>
                <w:rFonts w:cs="Arial"/>
                <w:sz w:val="20"/>
                <w:szCs w:val="20"/>
              </w:rPr>
              <w:t>LSA mix</w:t>
            </w:r>
          </w:p>
        </w:tc>
        <w:tc>
          <w:tcPr>
            <w:tcW w:w="1290"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&lt;1</w:t>
            </w:r>
          </w:p>
        </w:tc>
        <w:tc>
          <w:tcPr>
            <w:tcW w:w="1276"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NC</w:t>
            </w:r>
          </w:p>
        </w:tc>
        <w:tc>
          <w:tcPr>
            <w:tcW w:w="1275"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NC</w:t>
            </w:r>
          </w:p>
        </w:tc>
        <w:tc>
          <w:tcPr>
            <w:tcW w:w="1276" w:type="dxa"/>
            <w:tcBorders>
              <w:lef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NC</w:t>
            </w:r>
          </w:p>
        </w:tc>
      </w:tr>
      <w:tr w:rsidR="00D15B48" w:rsidRPr="00BC07CA" w:rsidTr="00BC07C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tcBorders>
              <w:right w:val="none" w:sz="0" w:space="0" w:color="auto"/>
            </w:tcBorders>
            <w:noWrap/>
            <w:hideMark/>
          </w:tcPr>
          <w:p w:rsidR="00D15B48" w:rsidRPr="00BC07CA" w:rsidRDefault="00D15B48" w:rsidP="00C71CCF">
            <w:pPr>
              <w:rPr>
                <w:rFonts w:cs="Arial"/>
                <w:sz w:val="20"/>
                <w:szCs w:val="20"/>
              </w:rPr>
            </w:pPr>
            <w:r w:rsidRPr="00BC07CA">
              <w:rPr>
                <w:rFonts w:cs="Arial"/>
                <w:sz w:val="20"/>
                <w:szCs w:val="20"/>
              </w:rPr>
              <w:t>Marzipan</w:t>
            </w:r>
          </w:p>
        </w:tc>
        <w:tc>
          <w:tcPr>
            <w:tcW w:w="1290"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&lt;1</w:t>
            </w:r>
          </w:p>
        </w:tc>
        <w:tc>
          <w:tcPr>
            <w:tcW w:w="1276"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&lt;1</w:t>
            </w:r>
          </w:p>
        </w:tc>
        <w:tc>
          <w:tcPr>
            <w:tcW w:w="1275"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NC</w:t>
            </w:r>
          </w:p>
        </w:tc>
        <w:tc>
          <w:tcPr>
            <w:tcW w:w="1276" w:type="dxa"/>
            <w:tcBorders>
              <w:lef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NC</w:t>
            </w:r>
          </w:p>
        </w:tc>
      </w:tr>
      <w:tr w:rsidR="00D15B48" w:rsidRPr="00BC07CA" w:rsidTr="00BC07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tcBorders>
              <w:right w:val="none" w:sz="0" w:space="0" w:color="auto"/>
            </w:tcBorders>
            <w:noWrap/>
            <w:hideMark/>
          </w:tcPr>
          <w:p w:rsidR="00D15B48" w:rsidRPr="00BC07CA" w:rsidRDefault="00D15B48" w:rsidP="00C71CCF">
            <w:pPr>
              <w:rPr>
                <w:rFonts w:cs="Arial"/>
                <w:sz w:val="20"/>
                <w:szCs w:val="20"/>
              </w:rPr>
            </w:pPr>
            <w:r w:rsidRPr="00BC07CA">
              <w:rPr>
                <w:rFonts w:cs="Arial"/>
                <w:sz w:val="20"/>
                <w:szCs w:val="20"/>
              </w:rPr>
              <w:t>Passionfruit</w:t>
            </w:r>
          </w:p>
        </w:tc>
        <w:tc>
          <w:tcPr>
            <w:tcW w:w="1290"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6</w:t>
            </w:r>
          </w:p>
        </w:tc>
        <w:tc>
          <w:tcPr>
            <w:tcW w:w="1276"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2</w:t>
            </w:r>
          </w:p>
        </w:tc>
        <w:tc>
          <w:tcPr>
            <w:tcW w:w="1275"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3</w:t>
            </w:r>
          </w:p>
        </w:tc>
        <w:tc>
          <w:tcPr>
            <w:tcW w:w="1276" w:type="dxa"/>
            <w:tcBorders>
              <w:lef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&lt;1</w:t>
            </w:r>
          </w:p>
        </w:tc>
      </w:tr>
      <w:tr w:rsidR="00D15B48" w:rsidRPr="00BC07CA" w:rsidTr="00BC07C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tcBorders>
              <w:right w:val="none" w:sz="0" w:space="0" w:color="auto"/>
            </w:tcBorders>
            <w:noWrap/>
            <w:hideMark/>
          </w:tcPr>
          <w:p w:rsidR="00D15B48" w:rsidRPr="00BC07CA" w:rsidRDefault="00D15B48" w:rsidP="00C71CCF">
            <w:pPr>
              <w:rPr>
                <w:rFonts w:cs="Arial"/>
                <w:sz w:val="20"/>
                <w:szCs w:val="20"/>
              </w:rPr>
            </w:pPr>
            <w:r w:rsidRPr="00BC07CA">
              <w:rPr>
                <w:rFonts w:cs="Arial"/>
                <w:sz w:val="20"/>
                <w:szCs w:val="20"/>
              </w:rPr>
              <w:t>Prune juice</w:t>
            </w:r>
          </w:p>
        </w:tc>
        <w:tc>
          <w:tcPr>
            <w:tcW w:w="1290"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&lt;1</w:t>
            </w:r>
          </w:p>
        </w:tc>
        <w:tc>
          <w:tcPr>
            <w:tcW w:w="1276"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&lt;1</w:t>
            </w:r>
          </w:p>
        </w:tc>
        <w:tc>
          <w:tcPr>
            <w:tcW w:w="1275"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NC</w:t>
            </w:r>
          </w:p>
        </w:tc>
        <w:tc>
          <w:tcPr>
            <w:tcW w:w="1276" w:type="dxa"/>
            <w:tcBorders>
              <w:lef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&lt;1</w:t>
            </w:r>
          </w:p>
        </w:tc>
      </w:tr>
      <w:tr w:rsidR="00D15B48" w:rsidRPr="00BC07CA" w:rsidTr="00BC07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tcBorders>
              <w:right w:val="none" w:sz="0" w:space="0" w:color="auto"/>
            </w:tcBorders>
            <w:noWrap/>
            <w:hideMark/>
          </w:tcPr>
          <w:p w:rsidR="00D15B48" w:rsidRPr="00BC07CA" w:rsidRDefault="00D15B48" w:rsidP="00C71CCF">
            <w:pPr>
              <w:rPr>
                <w:rFonts w:cs="Arial"/>
                <w:sz w:val="20"/>
                <w:szCs w:val="20"/>
              </w:rPr>
            </w:pPr>
            <w:r w:rsidRPr="00BC07CA">
              <w:rPr>
                <w:rFonts w:cs="Arial"/>
                <w:sz w:val="20"/>
                <w:szCs w:val="20"/>
              </w:rPr>
              <w:t>Pumpkin seed</w:t>
            </w:r>
            <w:r w:rsidR="00FF4FBE">
              <w:rPr>
                <w:rFonts w:cs="Arial"/>
                <w:sz w:val="20"/>
                <w:szCs w:val="20"/>
              </w:rPr>
              <w:t>s</w:t>
            </w:r>
          </w:p>
        </w:tc>
        <w:tc>
          <w:tcPr>
            <w:tcW w:w="1290"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&lt;1</w:t>
            </w:r>
          </w:p>
        </w:tc>
        <w:tc>
          <w:tcPr>
            <w:tcW w:w="1276"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NC</w:t>
            </w:r>
          </w:p>
        </w:tc>
        <w:tc>
          <w:tcPr>
            <w:tcW w:w="1275"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&lt;1</w:t>
            </w:r>
          </w:p>
        </w:tc>
        <w:tc>
          <w:tcPr>
            <w:tcW w:w="1276" w:type="dxa"/>
            <w:tcBorders>
              <w:lef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NC</w:t>
            </w:r>
          </w:p>
        </w:tc>
      </w:tr>
      <w:tr w:rsidR="00D15B48" w:rsidRPr="00BC07CA" w:rsidTr="00BC07C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tcBorders>
              <w:right w:val="none" w:sz="0" w:space="0" w:color="auto"/>
            </w:tcBorders>
            <w:noWrap/>
            <w:hideMark/>
          </w:tcPr>
          <w:p w:rsidR="00D15B48" w:rsidRPr="00BC07CA" w:rsidRDefault="00D15B48" w:rsidP="00C71CCF">
            <w:pPr>
              <w:rPr>
                <w:rFonts w:cs="Arial"/>
                <w:sz w:val="20"/>
                <w:szCs w:val="20"/>
              </w:rPr>
            </w:pPr>
            <w:r w:rsidRPr="00BC07CA">
              <w:rPr>
                <w:rFonts w:cs="Arial"/>
                <w:sz w:val="20"/>
                <w:szCs w:val="20"/>
              </w:rPr>
              <w:t>Spinach</w:t>
            </w:r>
          </w:p>
        </w:tc>
        <w:tc>
          <w:tcPr>
            <w:tcW w:w="1290"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&lt;1</w:t>
            </w:r>
          </w:p>
        </w:tc>
        <w:tc>
          <w:tcPr>
            <w:tcW w:w="1276"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&lt;1</w:t>
            </w:r>
          </w:p>
        </w:tc>
        <w:tc>
          <w:tcPr>
            <w:tcW w:w="1275"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&lt;1</w:t>
            </w:r>
          </w:p>
        </w:tc>
        <w:tc>
          <w:tcPr>
            <w:tcW w:w="1276" w:type="dxa"/>
            <w:tcBorders>
              <w:lef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&lt;1</w:t>
            </w:r>
          </w:p>
        </w:tc>
      </w:tr>
      <w:tr w:rsidR="00D15B48" w:rsidRPr="00BC07CA" w:rsidTr="00BC07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tcBorders>
              <w:right w:val="none" w:sz="0" w:space="0" w:color="auto"/>
            </w:tcBorders>
            <w:noWrap/>
            <w:hideMark/>
          </w:tcPr>
          <w:p w:rsidR="00D15B48" w:rsidRPr="00BC07CA" w:rsidRDefault="00D15B48" w:rsidP="00C71CCF">
            <w:pPr>
              <w:rPr>
                <w:rFonts w:cs="Arial"/>
                <w:sz w:val="20"/>
                <w:szCs w:val="20"/>
              </w:rPr>
            </w:pPr>
            <w:r w:rsidRPr="00BC07CA">
              <w:rPr>
                <w:rFonts w:cs="Arial"/>
                <w:sz w:val="20"/>
                <w:szCs w:val="20"/>
              </w:rPr>
              <w:t>Sunflower seed</w:t>
            </w:r>
            <w:r w:rsidR="00FF4FBE">
              <w:rPr>
                <w:rFonts w:cs="Arial"/>
                <w:sz w:val="20"/>
                <w:szCs w:val="20"/>
              </w:rPr>
              <w:t>s</w:t>
            </w:r>
          </w:p>
        </w:tc>
        <w:tc>
          <w:tcPr>
            <w:tcW w:w="1290"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&lt;1</w:t>
            </w:r>
          </w:p>
        </w:tc>
        <w:tc>
          <w:tcPr>
            <w:tcW w:w="1276"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&lt;1</w:t>
            </w:r>
          </w:p>
        </w:tc>
        <w:tc>
          <w:tcPr>
            <w:tcW w:w="1275"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&lt;1</w:t>
            </w:r>
          </w:p>
        </w:tc>
        <w:tc>
          <w:tcPr>
            <w:tcW w:w="1276" w:type="dxa"/>
            <w:tcBorders>
              <w:lef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&lt;1</w:t>
            </w:r>
          </w:p>
        </w:tc>
      </w:tr>
      <w:tr w:rsidR="00D15B48" w:rsidRPr="00BC07CA" w:rsidTr="00BC07C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tcBorders>
              <w:right w:val="none" w:sz="0" w:space="0" w:color="auto"/>
            </w:tcBorders>
            <w:noWrap/>
            <w:hideMark/>
          </w:tcPr>
          <w:p w:rsidR="00D15B48" w:rsidRPr="00BC07CA" w:rsidRDefault="00D15B48" w:rsidP="00C71CCF">
            <w:pPr>
              <w:rPr>
                <w:rFonts w:cs="Arial"/>
                <w:sz w:val="20"/>
                <w:szCs w:val="20"/>
              </w:rPr>
            </w:pPr>
            <w:r w:rsidRPr="00BC07CA">
              <w:rPr>
                <w:rFonts w:cs="Arial"/>
                <w:sz w:val="20"/>
                <w:szCs w:val="20"/>
              </w:rPr>
              <w:t>Taro</w:t>
            </w:r>
            <w:r w:rsidR="00FF4FBE">
              <w:rPr>
                <w:rFonts w:cs="Arial"/>
                <w:sz w:val="20"/>
                <w:szCs w:val="20"/>
              </w:rPr>
              <w:t>,</w:t>
            </w:r>
            <w:r w:rsidRPr="00BC07CA">
              <w:rPr>
                <w:rFonts w:cs="Arial"/>
                <w:sz w:val="20"/>
                <w:szCs w:val="20"/>
              </w:rPr>
              <w:t xml:space="preserve"> in mixed foods</w:t>
            </w:r>
          </w:p>
        </w:tc>
        <w:tc>
          <w:tcPr>
            <w:tcW w:w="1290"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NC</w:t>
            </w:r>
          </w:p>
        </w:tc>
        <w:tc>
          <w:tcPr>
            <w:tcW w:w="1276"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NC</w:t>
            </w:r>
          </w:p>
        </w:tc>
        <w:tc>
          <w:tcPr>
            <w:tcW w:w="1275"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&lt;1</w:t>
            </w:r>
          </w:p>
        </w:tc>
        <w:tc>
          <w:tcPr>
            <w:tcW w:w="1276" w:type="dxa"/>
            <w:tcBorders>
              <w:lef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&lt;1</w:t>
            </w:r>
          </w:p>
        </w:tc>
      </w:tr>
      <w:tr w:rsidR="00D15B48" w:rsidRPr="00BC07CA" w:rsidTr="00BC07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tcBorders>
              <w:right w:val="none" w:sz="0" w:space="0" w:color="auto"/>
            </w:tcBorders>
            <w:noWrap/>
            <w:hideMark/>
          </w:tcPr>
          <w:p w:rsidR="00D15B48" w:rsidRPr="00BC07CA" w:rsidRDefault="00D15B48" w:rsidP="00C71CCF">
            <w:pPr>
              <w:rPr>
                <w:rFonts w:cs="Arial"/>
                <w:sz w:val="20"/>
                <w:szCs w:val="20"/>
              </w:rPr>
            </w:pPr>
            <w:r w:rsidRPr="00BC07CA">
              <w:rPr>
                <w:rFonts w:cs="Arial"/>
                <w:sz w:val="20"/>
                <w:szCs w:val="20"/>
              </w:rPr>
              <w:t>Taro</w:t>
            </w:r>
            <w:r w:rsidR="00FF4FBE">
              <w:rPr>
                <w:rFonts w:cs="Arial"/>
                <w:sz w:val="20"/>
                <w:szCs w:val="20"/>
              </w:rPr>
              <w:t>,</w:t>
            </w:r>
            <w:r w:rsidRPr="00BC07CA">
              <w:rPr>
                <w:rFonts w:cs="Arial"/>
                <w:sz w:val="20"/>
                <w:szCs w:val="20"/>
              </w:rPr>
              <w:t xml:space="preserve"> leaves</w:t>
            </w:r>
            <w:r w:rsidR="00FF4FBE">
              <w:rPr>
                <w:rFonts w:cs="Arial"/>
                <w:sz w:val="20"/>
                <w:szCs w:val="20"/>
              </w:rPr>
              <w:t xml:space="preserve"> only</w:t>
            </w:r>
          </w:p>
        </w:tc>
        <w:tc>
          <w:tcPr>
            <w:tcW w:w="1290"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NC</w:t>
            </w:r>
          </w:p>
        </w:tc>
        <w:tc>
          <w:tcPr>
            <w:tcW w:w="1276"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NC</w:t>
            </w:r>
          </w:p>
        </w:tc>
        <w:tc>
          <w:tcPr>
            <w:tcW w:w="1275" w:type="dxa"/>
            <w:tcBorders>
              <w:left w:val="none" w:sz="0" w:space="0" w:color="auto"/>
              <w:righ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&lt;1</w:t>
            </w:r>
          </w:p>
        </w:tc>
        <w:tc>
          <w:tcPr>
            <w:tcW w:w="1276" w:type="dxa"/>
            <w:tcBorders>
              <w:left w:val="none" w:sz="0" w:space="0" w:color="auto"/>
            </w:tcBorders>
            <w:noWrap/>
            <w:hideMark/>
          </w:tcPr>
          <w:p w:rsidR="00D15B48" w:rsidRPr="00BC07CA" w:rsidRDefault="00D15B48" w:rsidP="00C71CC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7CA">
              <w:rPr>
                <w:rFonts w:cs="Arial"/>
                <w:sz w:val="20"/>
                <w:szCs w:val="20"/>
              </w:rPr>
              <w:t>&lt;1</w:t>
            </w:r>
          </w:p>
        </w:tc>
      </w:tr>
      <w:tr w:rsidR="00D15B48" w:rsidRPr="00BC07CA" w:rsidTr="00BC07C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12" w:type="dxa"/>
            <w:tcBorders>
              <w:right w:val="none" w:sz="0" w:space="0" w:color="auto"/>
            </w:tcBorders>
            <w:noWrap/>
            <w:hideMark/>
          </w:tcPr>
          <w:p w:rsidR="00D15B48" w:rsidRPr="00BC07CA" w:rsidRDefault="00D15B48" w:rsidP="00FF4FBE">
            <w:pPr>
              <w:rPr>
                <w:rFonts w:cs="Arial"/>
                <w:sz w:val="20"/>
                <w:szCs w:val="20"/>
              </w:rPr>
            </w:pPr>
            <w:r w:rsidRPr="00BC07CA">
              <w:rPr>
                <w:rFonts w:cs="Arial"/>
                <w:sz w:val="20"/>
                <w:szCs w:val="20"/>
              </w:rPr>
              <w:t>Vine leaves, stuffed</w:t>
            </w:r>
            <w:r w:rsidR="00FF4FBE">
              <w:rPr>
                <w:rFonts w:cs="Arial"/>
                <w:sz w:val="20"/>
                <w:szCs w:val="20"/>
              </w:rPr>
              <w:t>, canned</w:t>
            </w:r>
          </w:p>
        </w:tc>
        <w:tc>
          <w:tcPr>
            <w:tcW w:w="1290"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&lt;1</w:t>
            </w:r>
          </w:p>
        </w:tc>
        <w:tc>
          <w:tcPr>
            <w:tcW w:w="1276"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&lt;1</w:t>
            </w:r>
          </w:p>
        </w:tc>
        <w:tc>
          <w:tcPr>
            <w:tcW w:w="1275" w:type="dxa"/>
            <w:tcBorders>
              <w:left w:val="none" w:sz="0" w:space="0" w:color="auto"/>
              <w:righ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NC</w:t>
            </w:r>
          </w:p>
        </w:tc>
        <w:tc>
          <w:tcPr>
            <w:tcW w:w="1276" w:type="dxa"/>
            <w:tcBorders>
              <w:left w:val="none" w:sz="0" w:space="0" w:color="auto"/>
            </w:tcBorders>
            <w:noWrap/>
            <w:hideMark/>
          </w:tcPr>
          <w:p w:rsidR="00D15B48" w:rsidRPr="00BC07CA" w:rsidRDefault="00D15B48" w:rsidP="00C71CC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C07CA">
              <w:rPr>
                <w:rFonts w:cs="Arial"/>
                <w:sz w:val="20"/>
                <w:szCs w:val="20"/>
              </w:rPr>
              <w:t>NC</w:t>
            </w:r>
          </w:p>
        </w:tc>
      </w:tr>
    </w:tbl>
    <w:p w:rsidR="00D33562" w:rsidRPr="000C75D3" w:rsidRDefault="00D33562" w:rsidP="00D33562">
      <w:pPr>
        <w:rPr>
          <w:rFonts w:cs="Arial"/>
          <w:sz w:val="18"/>
        </w:rPr>
      </w:pPr>
      <w:r w:rsidRPr="000C75D3">
        <w:rPr>
          <w:rFonts w:cs="Arial"/>
          <w:sz w:val="18"/>
        </w:rPr>
        <w:t>* Based on lower bound (LB) scenario where not detected results were assigned a zero concentration of HCN.</w:t>
      </w:r>
    </w:p>
    <w:p w:rsidR="00D33562" w:rsidRPr="000C75D3" w:rsidRDefault="00D33562" w:rsidP="00D33562">
      <w:pPr>
        <w:rPr>
          <w:rFonts w:cs="Arial"/>
          <w:sz w:val="18"/>
        </w:rPr>
      </w:pPr>
      <w:r w:rsidRPr="000C75D3">
        <w:rPr>
          <w:rFonts w:cs="Arial"/>
          <w:sz w:val="18"/>
        </w:rPr>
        <w:t>NC = not consumed.</w:t>
      </w:r>
    </w:p>
    <w:p w:rsidR="00391A6C" w:rsidRDefault="00391A6C">
      <w:pPr>
        <w:spacing w:after="200" w:line="276" w:lineRule="auto"/>
      </w:pPr>
      <w:r>
        <w:br w:type="page"/>
      </w:r>
    </w:p>
    <w:p w:rsidR="00391A6C" w:rsidRDefault="00391A6C" w:rsidP="00391A6C">
      <w:pPr>
        <w:pStyle w:val="Heading1"/>
      </w:pPr>
      <w:bookmarkStart w:id="230" w:name="_Toc384293546"/>
      <w:bookmarkStart w:id="231" w:name="_Ref338424684"/>
      <w:bookmarkStart w:id="232" w:name="Table14"/>
      <w:r>
        <w:lastRenderedPageBreak/>
        <w:t>Appendix 10. Estimated acute dietary exposures to HCN</w:t>
      </w:r>
      <w:bookmarkEnd w:id="230"/>
    </w:p>
    <w:p w:rsidR="00391A6C" w:rsidRDefault="00391A6C" w:rsidP="00391A6C"/>
    <w:p w:rsidR="00391A6C" w:rsidRPr="000C75D3" w:rsidRDefault="00391A6C" w:rsidP="00391A6C">
      <w:pPr>
        <w:rPr>
          <w:rFonts w:asciiTheme="minorHAnsi" w:hAnsiTheme="minorHAnsi"/>
          <w:b/>
        </w:rPr>
      </w:pPr>
      <w:r w:rsidRPr="000C75D3">
        <w:rPr>
          <w:rFonts w:asciiTheme="minorHAnsi" w:hAnsiTheme="minorHAnsi"/>
          <w:b/>
        </w:rPr>
        <w:t>Table A</w:t>
      </w:r>
      <w:r>
        <w:rPr>
          <w:rFonts w:asciiTheme="minorHAnsi" w:hAnsiTheme="minorHAnsi"/>
          <w:b/>
        </w:rPr>
        <w:t>10</w:t>
      </w:r>
      <w:r w:rsidRPr="000C75D3">
        <w:rPr>
          <w:rFonts w:asciiTheme="minorHAnsi" w:hAnsiTheme="minorHAnsi"/>
          <w:b/>
        </w:rPr>
        <w:t xml:space="preserve">.1. </w:t>
      </w:r>
      <w:r w:rsidRPr="00391A6C">
        <w:rPr>
          <w:rFonts w:asciiTheme="minorHAnsi" w:hAnsiTheme="minorHAnsi"/>
          <w:b/>
        </w:rPr>
        <w:t>Estimated dietary exposures to total HCN for infants (</w:t>
      </w:r>
      <w:r w:rsidR="006778E6">
        <w:rPr>
          <w:rFonts w:asciiTheme="minorHAnsi" w:hAnsiTheme="minorHAnsi"/>
          <w:b/>
        </w:rPr>
        <w:t>2-11</w:t>
      </w:r>
      <w:r w:rsidRPr="00391A6C">
        <w:rPr>
          <w:rFonts w:asciiTheme="minorHAnsi" w:hAnsiTheme="minorHAnsi"/>
          <w:b/>
        </w:rPr>
        <w:t xml:space="preserve"> months old) for selected apple based foods</w:t>
      </w:r>
    </w:p>
    <w:tbl>
      <w:tblPr>
        <w:tblStyle w:val="MediumShading1-Accent1"/>
        <w:tblW w:w="9639" w:type="dxa"/>
        <w:tblBorders>
          <w:insideV w:val="single" w:sz="8" w:space="0" w:color="7BA0CD" w:themeColor="accent1" w:themeTint="BF"/>
        </w:tblBorders>
        <w:tblLayout w:type="fixed"/>
        <w:tblLook w:val="04A0" w:firstRow="1" w:lastRow="0" w:firstColumn="1" w:lastColumn="0" w:noHBand="0" w:noVBand="1"/>
      </w:tblPr>
      <w:tblGrid>
        <w:gridCol w:w="3261"/>
        <w:gridCol w:w="1275"/>
        <w:gridCol w:w="1418"/>
        <w:gridCol w:w="1559"/>
        <w:gridCol w:w="2126"/>
      </w:tblGrid>
      <w:tr w:rsidR="00391A6C" w:rsidRPr="00A552F0" w:rsidTr="00A40AE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tcBorders>
              <w:top w:val="none" w:sz="0" w:space="0" w:color="auto"/>
              <w:left w:val="none" w:sz="0" w:space="0" w:color="auto"/>
              <w:bottom w:val="none" w:sz="0" w:space="0" w:color="auto"/>
              <w:right w:val="none" w:sz="0" w:space="0" w:color="auto"/>
            </w:tcBorders>
          </w:tcPr>
          <w:bookmarkEnd w:id="231"/>
          <w:bookmarkEnd w:id="232"/>
          <w:p w:rsidR="00391A6C" w:rsidRPr="00A552F0" w:rsidRDefault="00391A6C" w:rsidP="00A40AEA">
            <w:pPr>
              <w:rPr>
                <w:rFonts w:cs="Arial"/>
                <w:sz w:val="20"/>
                <w:szCs w:val="20"/>
              </w:rPr>
            </w:pPr>
            <w:r w:rsidRPr="00A552F0">
              <w:rPr>
                <w:rFonts w:cs="Arial"/>
                <w:sz w:val="20"/>
                <w:szCs w:val="20"/>
              </w:rPr>
              <w:t>Food</w:t>
            </w:r>
          </w:p>
        </w:tc>
        <w:tc>
          <w:tcPr>
            <w:tcW w:w="1275" w:type="dxa"/>
            <w:tcBorders>
              <w:top w:val="none" w:sz="0" w:space="0" w:color="auto"/>
              <w:left w:val="none" w:sz="0" w:space="0" w:color="auto"/>
              <w:bottom w:val="none" w:sz="0" w:space="0" w:color="auto"/>
              <w:right w:val="none" w:sz="0" w:space="0" w:color="auto"/>
            </w:tcBorders>
          </w:tcPr>
          <w:p w:rsidR="00391A6C" w:rsidRPr="00A552F0" w:rsidRDefault="00391A6C" w:rsidP="00A40AEA">
            <w:pPr>
              <w:ind w:left="-108"/>
              <w:cnfStyle w:val="100000000000" w:firstRow="1" w:lastRow="0" w:firstColumn="0" w:lastColumn="0" w:oddVBand="0" w:evenVBand="0" w:oddHBand="0" w:evenHBand="0" w:firstRowFirstColumn="0" w:firstRowLastColumn="0" w:lastRowFirstColumn="0" w:lastRowLastColumn="0"/>
              <w:rPr>
                <w:rFonts w:cs="Arial"/>
                <w:sz w:val="20"/>
                <w:szCs w:val="20"/>
              </w:rPr>
            </w:pPr>
            <w:r w:rsidRPr="00A552F0">
              <w:rPr>
                <w:rFonts w:cs="Arial"/>
                <w:sz w:val="20"/>
                <w:szCs w:val="20"/>
              </w:rPr>
              <w:t>Number eating occasions</w:t>
            </w:r>
          </w:p>
        </w:tc>
        <w:tc>
          <w:tcPr>
            <w:tcW w:w="1418" w:type="dxa"/>
            <w:tcBorders>
              <w:top w:val="none" w:sz="0" w:space="0" w:color="auto"/>
              <w:left w:val="none" w:sz="0" w:space="0" w:color="auto"/>
              <w:bottom w:val="none" w:sz="0" w:space="0" w:color="auto"/>
              <w:right w:val="none" w:sz="0" w:space="0" w:color="auto"/>
            </w:tcBorders>
          </w:tcPr>
          <w:p w:rsidR="00391A6C" w:rsidRPr="00A552F0" w:rsidRDefault="00391A6C" w:rsidP="00A40AEA">
            <w:pPr>
              <w:ind w:left="-108"/>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A552F0">
              <w:rPr>
                <w:rFonts w:cs="Arial"/>
                <w:bCs w:val="0"/>
                <w:sz w:val="20"/>
                <w:szCs w:val="20"/>
              </w:rPr>
              <w:t>Consumption level used</w:t>
            </w:r>
          </w:p>
        </w:tc>
        <w:tc>
          <w:tcPr>
            <w:tcW w:w="1559" w:type="dxa"/>
            <w:tcBorders>
              <w:top w:val="none" w:sz="0" w:space="0" w:color="auto"/>
              <w:left w:val="none" w:sz="0" w:space="0" w:color="auto"/>
              <w:bottom w:val="none" w:sz="0" w:space="0" w:color="auto"/>
              <w:right w:val="none" w:sz="0" w:space="0" w:color="auto"/>
            </w:tcBorders>
          </w:tcPr>
          <w:p w:rsidR="00391A6C" w:rsidRPr="00A552F0" w:rsidRDefault="00391A6C" w:rsidP="00A40AEA">
            <w:pPr>
              <w:ind w:left="-108"/>
              <w:cnfStyle w:val="100000000000" w:firstRow="1" w:lastRow="0" w:firstColumn="0" w:lastColumn="0" w:oddVBand="0" w:evenVBand="0" w:oddHBand="0" w:evenHBand="0" w:firstRowFirstColumn="0" w:firstRowLastColumn="0" w:lastRowFirstColumn="0" w:lastRowLastColumn="0"/>
              <w:rPr>
                <w:rFonts w:cs="Arial"/>
                <w:sz w:val="20"/>
                <w:szCs w:val="20"/>
              </w:rPr>
            </w:pPr>
            <w:r w:rsidRPr="00A552F0">
              <w:rPr>
                <w:rFonts w:cs="Arial"/>
                <w:sz w:val="20"/>
                <w:szCs w:val="20"/>
              </w:rPr>
              <w:t>Consumption (g/eating occasion)*</w:t>
            </w:r>
          </w:p>
        </w:tc>
        <w:tc>
          <w:tcPr>
            <w:tcW w:w="2126" w:type="dxa"/>
            <w:tcBorders>
              <w:top w:val="none" w:sz="0" w:space="0" w:color="auto"/>
              <w:left w:val="none" w:sz="0" w:space="0" w:color="auto"/>
              <w:bottom w:val="none" w:sz="0" w:space="0" w:color="auto"/>
              <w:right w:val="none" w:sz="0" w:space="0" w:color="auto"/>
            </w:tcBorders>
            <w:noWrap/>
          </w:tcPr>
          <w:p w:rsidR="00391A6C" w:rsidRPr="00A552F0"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cs="Arial"/>
                <w:sz w:val="20"/>
                <w:szCs w:val="20"/>
              </w:rPr>
            </w:pPr>
            <w:r w:rsidRPr="00A552F0">
              <w:rPr>
                <w:rFonts w:cs="Arial"/>
                <w:bCs w:val="0"/>
                <w:sz w:val="20"/>
                <w:szCs w:val="20"/>
                <w:lang w:eastAsia="en-GB"/>
              </w:rPr>
              <w:t xml:space="preserve">Estimated exposure to total </w:t>
            </w:r>
            <w:r w:rsidRPr="00A552F0">
              <w:rPr>
                <w:rFonts w:cs="Arial"/>
                <w:sz w:val="20"/>
                <w:szCs w:val="20"/>
              </w:rPr>
              <w:t>HCN</w:t>
            </w:r>
          </w:p>
          <w:p w:rsidR="00391A6C" w:rsidRPr="00A552F0"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cs="Arial"/>
                <w:sz w:val="20"/>
                <w:szCs w:val="20"/>
              </w:rPr>
            </w:pPr>
            <w:r w:rsidRPr="00A552F0">
              <w:rPr>
                <w:rFonts w:cs="Arial"/>
                <w:sz w:val="20"/>
                <w:szCs w:val="20"/>
              </w:rPr>
              <w:t>(µg/kg bw/</w:t>
            </w:r>
            <w:r>
              <w:rPr>
                <w:rFonts w:cs="Arial"/>
                <w:sz w:val="20"/>
                <w:szCs w:val="20"/>
              </w:rPr>
              <w:t>eating occasion</w:t>
            </w:r>
            <w:r w:rsidRPr="00A552F0">
              <w:rPr>
                <w:rFonts w:cs="Arial"/>
                <w:sz w:val="20"/>
                <w:szCs w:val="20"/>
              </w:rPr>
              <w:t>)</w:t>
            </w:r>
          </w:p>
        </w:tc>
      </w:tr>
      <w:tr w:rsidR="00391A6C" w:rsidRPr="00A552F0" w:rsidTr="00A40A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tcBorders>
              <w:right w:val="none" w:sz="0" w:space="0" w:color="auto"/>
            </w:tcBorders>
          </w:tcPr>
          <w:p w:rsidR="00391A6C" w:rsidRPr="00A552F0" w:rsidRDefault="00391A6C" w:rsidP="00A40AEA">
            <w:pPr>
              <w:rPr>
                <w:rFonts w:cs="Arial"/>
                <w:color w:val="000000"/>
                <w:sz w:val="20"/>
                <w:szCs w:val="20"/>
              </w:rPr>
            </w:pPr>
            <w:r w:rsidRPr="00A552F0">
              <w:rPr>
                <w:rFonts w:cs="Arial"/>
                <w:color w:val="000000"/>
                <w:sz w:val="20"/>
                <w:szCs w:val="20"/>
              </w:rPr>
              <w:t xml:space="preserve">Apple juice </w:t>
            </w:r>
            <w:r>
              <w:rPr>
                <w:rFonts w:cs="Arial"/>
                <w:color w:val="000000"/>
                <w:sz w:val="20"/>
                <w:szCs w:val="20"/>
                <w:vertAlign w:val="superscript"/>
              </w:rPr>
              <w:t>a</w:t>
            </w:r>
          </w:p>
        </w:tc>
        <w:tc>
          <w:tcPr>
            <w:tcW w:w="1275" w:type="dxa"/>
            <w:tcBorders>
              <w:left w:val="none" w:sz="0" w:space="0" w:color="auto"/>
              <w:right w:val="none" w:sz="0" w:space="0" w:color="auto"/>
            </w:tcBorders>
          </w:tcPr>
          <w:p w:rsidR="00391A6C" w:rsidRPr="00A552F0" w:rsidRDefault="00391A6C" w:rsidP="00A40AEA">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552F0">
              <w:rPr>
                <w:rFonts w:cs="Arial"/>
                <w:color w:val="000000"/>
                <w:sz w:val="20"/>
                <w:szCs w:val="20"/>
              </w:rPr>
              <w:t>78</w:t>
            </w:r>
          </w:p>
        </w:tc>
        <w:tc>
          <w:tcPr>
            <w:tcW w:w="1418" w:type="dxa"/>
            <w:tcBorders>
              <w:left w:val="none" w:sz="0" w:space="0" w:color="auto"/>
              <w:right w:val="none" w:sz="0" w:space="0" w:color="auto"/>
            </w:tcBorders>
          </w:tcPr>
          <w:p w:rsidR="00391A6C" w:rsidRPr="00A552F0" w:rsidRDefault="00391A6C" w:rsidP="00A40AEA">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552F0">
              <w:rPr>
                <w:rFonts w:cs="Arial"/>
                <w:color w:val="000000"/>
                <w:sz w:val="20"/>
                <w:szCs w:val="20"/>
              </w:rPr>
              <w:t>P97.5</w:t>
            </w:r>
          </w:p>
        </w:tc>
        <w:tc>
          <w:tcPr>
            <w:tcW w:w="1559" w:type="dxa"/>
            <w:tcBorders>
              <w:left w:val="none" w:sz="0" w:space="0" w:color="auto"/>
              <w:right w:val="none" w:sz="0" w:space="0" w:color="auto"/>
            </w:tcBorders>
          </w:tcPr>
          <w:p w:rsidR="00391A6C" w:rsidRPr="00A552F0" w:rsidRDefault="00391A6C" w:rsidP="00A40AEA">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552F0">
              <w:rPr>
                <w:rFonts w:cs="Arial"/>
                <w:color w:val="000000"/>
                <w:sz w:val="20"/>
                <w:szCs w:val="20"/>
              </w:rPr>
              <w:t>110</w:t>
            </w:r>
          </w:p>
        </w:tc>
        <w:tc>
          <w:tcPr>
            <w:tcW w:w="2126" w:type="dxa"/>
            <w:tcBorders>
              <w:left w:val="none" w:sz="0" w:space="0" w:color="auto"/>
            </w:tcBorders>
            <w:noWrap/>
          </w:tcPr>
          <w:p w:rsidR="00391A6C" w:rsidRPr="00A552F0" w:rsidRDefault="00391A6C" w:rsidP="00A40AEA">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552F0">
              <w:rPr>
                <w:rFonts w:cs="Arial"/>
                <w:color w:val="000000"/>
                <w:sz w:val="20"/>
                <w:szCs w:val="20"/>
              </w:rPr>
              <w:t>3</w:t>
            </w:r>
          </w:p>
        </w:tc>
      </w:tr>
      <w:tr w:rsidR="00391A6C" w:rsidRPr="00A552F0" w:rsidTr="00A40AE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tcBorders>
              <w:right w:val="none" w:sz="0" w:space="0" w:color="auto"/>
            </w:tcBorders>
          </w:tcPr>
          <w:p w:rsidR="00391A6C" w:rsidRPr="00A552F0" w:rsidRDefault="00391A6C" w:rsidP="00A40AEA">
            <w:pPr>
              <w:rPr>
                <w:rFonts w:cs="Arial"/>
                <w:color w:val="000000"/>
                <w:sz w:val="20"/>
                <w:szCs w:val="20"/>
              </w:rPr>
            </w:pPr>
            <w:r w:rsidRPr="00DC4047">
              <w:rPr>
                <w:rFonts w:cs="Arial"/>
                <w:color w:val="000000"/>
                <w:sz w:val="20"/>
                <w:szCs w:val="20"/>
              </w:rPr>
              <w:t>Apple puree, infant food</w:t>
            </w:r>
            <w:r>
              <w:rPr>
                <w:rFonts w:cs="Arial"/>
                <w:color w:val="000000"/>
                <w:sz w:val="20"/>
                <w:szCs w:val="20"/>
                <w:vertAlign w:val="superscript"/>
              </w:rPr>
              <w:t>b</w:t>
            </w:r>
            <w:r w:rsidRPr="00DC4047" w:rsidDel="00DC4047">
              <w:rPr>
                <w:rFonts w:cs="Arial"/>
                <w:color w:val="000000"/>
                <w:sz w:val="20"/>
                <w:szCs w:val="20"/>
              </w:rPr>
              <w:t xml:space="preserve"> </w:t>
            </w:r>
          </w:p>
        </w:tc>
        <w:tc>
          <w:tcPr>
            <w:tcW w:w="1275" w:type="dxa"/>
            <w:tcBorders>
              <w:left w:val="none" w:sz="0" w:space="0" w:color="auto"/>
              <w:right w:val="none" w:sz="0" w:space="0" w:color="auto"/>
            </w:tcBorders>
          </w:tcPr>
          <w:p w:rsidR="00391A6C" w:rsidRPr="00581AB9" w:rsidRDefault="00391A6C" w:rsidP="00A40AEA">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81AB9">
              <w:rPr>
                <w:rFonts w:cs="Arial"/>
                <w:color w:val="000000"/>
                <w:sz w:val="20"/>
                <w:szCs w:val="20"/>
              </w:rPr>
              <w:t>687</w:t>
            </w:r>
          </w:p>
        </w:tc>
        <w:tc>
          <w:tcPr>
            <w:tcW w:w="1418" w:type="dxa"/>
            <w:tcBorders>
              <w:left w:val="none" w:sz="0" w:space="0" w:color="auto"/>
              <w:right w:val="none" w:sz="0" w:space="0" w:color="auto"/>
            </w:tcBorders>
          </w:tcPr>
          <w:p w:rsidR="00391A6C" w:rsidRPr="00581AB9" w:rsidRDefault="00391A6C" w:rsidP="00A40AEA">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81AB9">
              <w:rPr>
                <w:rFonts w:cs="Arial"/>
                <w:color w:val="000000"/>
                <w:sz w:val="20"/>
                <w:szCs w:val="20"/>
              </w:rPr>
              <w:t>P97.5</w:t>
            </w:r>
          </w:p>
        </w:tc>
        <w:tc>
          <w:tcPr>
            <w:tcW w:w="1559" w:type="dxa"/>
            <w:tcBorders>
              <w:left w:val="none" w:sz="0" w:space="0" w:color="auto"/>
              <w:right w:val="none" w:sz="0" w:space="0" w:color="auto"/>
            </w:tcBorders>
          </w:tcPr>
          <w:p w:rsidR="00391A6C" w:rsidRPr="00581AB9" w:rsidRDefault="00391A6C" w:rsidP="00A40AEA">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81AB9">
              <w:rPr>
                <w:rFonts w:cs="Arial"/>
                <w:color w:val="000000"/>
                <w:sz w:val="20"/>
                <w:szCs w:val="20"/>
              </w:rPr>
              <w:t>120</w:t>
            </w:r>
          </w:p>
        </w:tc>
        <w:tc>
          <w:tcPr>
            <w:tcW w:w="2126" w:type="dxa"/>
            <w:tcBorders>
              <w:left w:val="none" w:sz="0" w:space="0" w:color="auto"/>
            </w:tcBorders>
            <w:noWrap/>
          </w:tcPr>
          <w:p w:rsidR="00391A6C" w:rsidRPr="00581AB9" w:rsidRDefault="00391A6C" w:rsidP="00A40AEA">
            <w:pPr>
              <w:jc w:val="cente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81AB9">
              <w:rPr>
                <w:rFonts w:cs="Arial"/>
                <w:color w:val="000000"/>
                <w:sz w:val="20"/>
                <w:szCs w:val="20"/>
              </w:rPr>
              <w:t>22</w:t>
            </w:r>
          </w:p>
        </w:tc>
      </w:tr>
    </w:tbl>
    <w:p w:rsidR="00391A6C" w:rsidRPr="009B67DE" w:rsidRDefault="00391A6C" w:rsidP="00391A6C">
      <w:pPr>
        <w:rPr>
          <w:rFonts w:cs="Arial"/>
          <w:sz w:val="18"/>
          <w:szCs w:val="18"/>
        </w:rPr>
      </w:pPr>
      <w:r w:rsidRPr="009B67DE">
        <w:rPr>
          <w:rFonts w:cs="Arial"/>
          <w:sz w:val="18"/>
          <w:szCs w:val="18"/>
        </w:rPr>
        <w:t>* For reference, a small can contains 120 grams, a juice popper 150 ml</w:t>
      </w:r>
      <w:r>
        <w:rPr>
          <w:rFonts w:cs="Arial"/>
          <w:sz w:val="18"/>
          <w:szCs w:val="18"/>
        </w:rPr>
        <w:t xml:space="preserve"> and a small juice bottle 250 mL.</w:t>
      </w:r>
    </w:p>
    <w:p w:rsidR="00391A6C" w:rsidRPr="009B67DE" w:rsidRDefault="00391A6C" w:rsidP="00391A6C">
      <w:pPr>
        <w:rPr>
          <w:rFonts w:cs="Arial"/>
          <w:sz w:val="18"/>
          <w:szCs w:val="18"/>
          <w:vertAlign w:val="superscript"/>
        </w:rPr>
      </w:pPr>
      <w:r w:rsidRPr="009B67DE">
        <w:rPr>
          <w:rFonts w:cs="Arial"/>
          <w:sz w:val="18"/>
          <w:szCs w:val="18"/>
          <w:vertAlign w:val="superscript"/>
        </w:rPr>
        <w:t>a</w:t>
      </w:r>
      <w:r w:rsidRPr="009B67DE">
        <w:rPr>
          <w:rFonts w:cs="Arial"/>
          <w:color w:val="000000"/>
          <w:sz w:val="18"/>
          <w:szCs w:val="18"/>
        </w:rPr>
        <w:t xml:space="preserve"> Survey 2, EU method.</w:t>
      </w:r>
    </w:p>
    <w:p w:rsidR="00F23DB7" w:rsidRDefault="00391A6C" w:rsidP="00391A6C">
      <w:pPr>
        <w:rPr>
          <w:rFonts w:cs="Arial"/>
          <w:color w:val="000000"/>
          <w:sz w:val="18"/>
          <w:szCs w:val="18"/>
        </w:rPr>
      </w:pPr>
      <w:r w:rsidRPr="009B67DE">
        <w:rPr>
          <w:rFonts w:cs="Arial"/>
          <w:sz w:val="18"/>
          <w:szCs w:val="18"/>
          <w:vertAlign w:val="superscript"/>
        </w:rPr>
        <w:t xml:space="preserve">b </w:t>
      </w:r>
      <w:r w:rsidRPr="009B67DE">
        <w:rPr>
          <w:rFonts w:cs="Arial"/>
          <w:color w:val="000000"/>
          <w:sz w:val="18"/>
          <w:szCs w:val="18"/>
        </w:rPr>
        <w:t>Survey 3, EU method.</w:t>
      </w:r>
    </w:p>
    <w:p w:rsidR="00F23DB7" w:rsidRDefault="00F23DB7">
      <w:pPr>
        <w:spacing w:after="200" w:line="276" w:lineRule="auto"/>
        <w:rPr>
          <w:rFonts w:cs="Arial"/>
          <w:color w:val="000000"/>
          <w:sz w:val="18"/>
          <w:szCs w:val="18"/>
        </w:rPr>
      </w:pPr>
      <w:r>
        <w:rPr>
          <w:rFonts w:cs="Arial"/>
          <w:color w:val="000000"/>
          <w:sz w:val="18"/>
          <w:szCs w:val="18"/>
        </w:rPr>
        <w:br w:type="page"/>
      </w:r>
    </w:p>
    <w:p w:rsidR="00391A6C" w:rsidRDefault="00391A6C" w:rsidP="00391A6C">
      <w:pPr>
        <w:rPr>
          <w:rFonts w:cs="Arial"/>
          <w:color w:val="000000"/>
          <w:sz w:val="18"/>
          <w:szCs w:val="18"/>
        </w:rPr>
      </w:pPr>
    </w:p>
    <w:p w:rsidR="009504DD" w:rsidRPr="009B67DE" w:rsidRDefault="009504DD" w:rsidP="00391A6C">
      <w:pPr>
        <w:rPr>
          <w:rFonts w:cs="Arial"/>
          <w:sz w:val="18"/>
          <w:szCs w:val="18"/>
        </w:rPr>
      </w:pPr>
    </w:p>
    <w:p w:rsidR="00391A6C" w:rsidRDefault="00391A6C" w:rsidP="00F57293">
      <w:bookmarkStart w:id="233" w:name="_Ref338424641"/>
      <w:r w:rsidRPr="000C75D3">
        <w:rPr>
          <w:rFonts w:asciiTheme="minorHAnsi" w:hAnsiTheme="minorHAnsi"/>
          <w:b/>
        </w:rPr>
        <w:t>Table A</w:t>
      </w:r>
      <w:r>
        <w:rPr>
          <w:rFonts w:asciiTheme="minorHAnsi" w:hAnsiTheme="minorHAnsi"/>
          <w:b/>
        </w:rPr>
        <w:t>10</w:t>
      </w:r>
      <w:r w:rsidRPr="000C75D3">
        <w:rPr>
          <w:rFonts w:asciiTheme="minorHAnsi" w:hAnsiTheme="minorHAnsi"/>
          <w:b/>
        </w:rPr>
        <w:t>.</w:t>
      </w:r>
      <w:r>
        <w:rPr>
          <w:rFonts w:asciiTheme="minorHAnsi" w:hAnsiTheme="minorHAnsi"/>
          <w:b/>
        </w:rPr>
        <w:t>2</w:t>
      </w:r>
      <w:r w:rsidRPr="000C75D3">
        <w:rPr>
          <w:rFonts w:asciiTheme="minorHAnsi" w:hAnsiTheme="minorHAnsi"/>
          <w:b/>
        </w:rPr>
        <w:t xml:space="preserve">. </w:t>
      </w:r>
      <w:r w:rsidRPr="00391A6C">
        <w:rPr>
          <w:rFonts w:asciiTheme="minorHAnsi" w:hAnsiTheme="minorHAnsi"/>
          <w:b/>
        </w:rPr>
        <w:t xml:space="preserve">Estimated </w:t>
      </w:r>
      <w:r w:rsidR="00FD6D0D">
        <w:rPr>
          <w:rFonts w:asciiTheme="minorHAnsi" w:hAnsiTheme="minorHAnsi"/>
          <w:b/>
        </w:rPr>
        <w:t xml:space="preserve">acute </w:t>
      </w:r>
      <w:r w:rsidRPr="00391A6C">
        <w:rPr>
          <w:rFonts w:asciiTheme="minorHAnsi" w:hAnsiTheme="minorHAnsi"/>
          <w:b/>
        </w:rPr>
        <w:t xml:space="preserve">dietary exposures to total HCN for </w:t>
      </w:r>
      <w:r w:rsidR="00F57293" w:rsidRPr="00F57293">
        <w:rPr>
          <w:rFonts w:asciiTheme="minorHAnsi" w:hAnsiTheme="minorHAnsi"/>
          <w:b/>
        </w:rPr>
        <w:t>young Australian children aged 2-6 years</w:t>
      </w:r>
      <w:bookmarkEnd w:id="233"/>
    </w:p>
    <w:tbl>
      <w:tblPr>
        <w:tblStyle w:val="MediumShading1-Accent1"/>
        <w:tblW w:w="4658" w:type="pct"/>
        <w:tblBorders>
          <w:insideV w:val="single" w:sz="8" w:space="0" w:color="7BA0CD" w:themeColor="accent1" w:themeTint="BF"/>
        </w:tblBorders>
        <w:tblLayout w:type="fixed"/>
        <w:tblLook w:val="04A0" w:firstRow="1" w:lastRow="0" w:firstColumn="1" w:lastColumn="0" w:noHBand="0" w:noVBand="1"/>
      </w:tblPr>
      <w:tblGrid>
        <w:gridCol w:w="3369"/>
        <w:gridCol w:w="1276"/>
        <w:gridCol w:w="1401"/>
        <w:gridCol w:w="1575"/>
        <w:gridCol w:w="1559"/>
      </w:tblGrid>
      <w:tr w:rsidR="00391A6C" w:rsidRPr="00442360" w:rsidTr="00A40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tcBorders>
              <w:top w:val="none" w:sz="0" w:space="0" w:color="auto"/>
              <w:left w:val="none" w:sz="0" w:space="0" w:color="auto"/>
              <w:bottom w:val="none" w:sz="0" w:space="0" w:color="auto"/>
              <w:right w:val="none" w:sz="0" w:space="0" w:color="auto"/>
            </w:tcBorders>
            <w:noWrap/>
            <w:hideMark/>
          </w:tcPr>
          <w:p w:rsidR="00391A6C" w:rsidRPr="00442360"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442360">
              <w:rPr>
                <w:rFonts w:cs="Arial"/>
                <w:bCs w:val="0"/>
                <w:sz w:val="20"/>
                <w:szCs w:val="20"/>
                <w:lang w:eastAsia="en-GB"/>
              </w:rPr>
              <w:t>Food</w:t>
            </w:r>
          </w:p>
        </w:tc>
        <w:tc>
          <w:tcPr>
            <w:tcW w:w="695" w:type="pct"/>
            <w:tcBorders>
              <w:top w:val="none" w:sz="0" w:space="0" w:color="auto"/>
              <w:left w:val="none" w:sz="0" w:space="0" w:color="auto"/>
              <w:bottom w:val="none" w:sz="0" w:space="0" w:color="auto"/>
              <w:right w:val="none" w:sz="0" w:space="0" w:color="auto"/>
            </w:tcBorders>
            <w:hideMark/>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A93CEE">
              <w:rPr>
                <w:rFonts w:cs="Arial"/>
                <w:sz w:val="20"/>
                <w:szCs w:val="20"/>
              </w:rPr>
              <w:t>Number of consumers</w:t>
            </w:r>
          </w:p>
        </w:tc>
        <w:tc>
          <w:tcPr>
            <w:tcW w:w="763" w:type="pct"/>
            <w:tcBorders>
              <w:top w:val="none" w:sz="0" w:space="0" w:color="auto"/>
              <w:left w:val="none" w:sz="0" w:space="0" w:color="auto"/>
              <w:bottom w:val="none" w:sz="0" w:space="0" w:color="auto"/>
              <w:right w:val="none" w:sz="0" w:space="0" w:color="auto"/>
            </w:tcBorders>
            <w:hideMark/>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A93CEE">
              <w:rPr>
                <w:rFonts w:cs="Arial"/>
                <w:sz w:val="20"/>
                <w:szCs w:val="20"/>
              </w:rPr>
              <w:t>Consumption level used</w:t>
            </w:r>
          </w:p>
        </w:tc>
        <w:tc>
          <w:tcPr>
            <w:tcW w:w="858" w:type="pct"/>
            <w:tcBorders>
              <w:top w:val="none" w:sz="0" w:space="0" w:color="auto"/>
              <w:left w:val="none" w:sz="0" w:space="0" w:color="auto"/>
              <w:bottom w:val="none" w:sz="0" w:space="0" w:color="auto"/>
              <w:right w:val="none" w:sz="0" w:space="0" w:color="auto"/>
            </w:tcBorders>
            <w:hideMark/>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A93CEE">
              <w:rPr>
                <w:rFonts w:cs="Arial"/>
                <w:sz w:val="20"/>
                <w:szCs w:val="20"/>
              </w:rPr>
              <w:t>Consumption amount</w:t>
            </w:r>
          </w:p>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A93CEE">
              <w:rPr>
                <w:rFonts w:cs="Arial"/>
                <w:sz w:val="20"/>
                <w:szCs w:val="20"/>
              </w:rPr>
              <w:t>(g/day)</w:t>
            </w:r>
          </w:p>
        </w:tc>
        <w:tc>
          <w:tcPr>
            <w:tcW w:w="849" w:type="pct"/>
            <w:tcBorders>
              <w:top w:val="none" w:sz="0" w:space="0" w:color="auto"/>
              <w:left w:val="none" w:sz="0" w:space="0" w:color="auto"/>
              <w:bottom w:val="none" w:sz="0" w:space="0" w:color="auto"/>
              <w:right w:val="none" w:sz="0" w:space="0" w:color="auto"/>
            </w:tcBorders>
            <w:hideMark/>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A93CEE">
              <w:rPr>
                <w:rFonts w:cs="Arial"/>
                <w:bCs w:val="0"/>
                <w:sz w:val="20"/>
                <w:szCs w:val="20"/>
                <w:lang w:eastAsia="en-GB"/>
              </w:rPr>
              <w:t xml:space="preserve">Estimated </w:t>
            </w:r>
            <w:r>
              <w:rPr>
                <w:rFonts w:cs="Arial"/>
                <w:bCs w:val="0"/>
                <w:sz w:val="20"/>
                <w:szCs w:val="20"/>
                <w:lang w:eastAsia="en-GB"/>
              </w:rPr>
              <w:t xml:space="preserve">acute </w:t>
            </w:r>
            <w:r w:rsidRPr="00A93CEE">
              <w:rPr>
                <w:rFonts w:cs="Arial"/>
                <w:bCs w:val="0"/>
                <w:sz w:val="20"/>
                <w:szCs w:val="20"/>
                <w:lang w:eastAsia="en-GB"/>
              </w:rPr>
              <w:t xml:space="preserve">exposure to total </w:t>
            </w:r>
            <w:r w:rsidRPr="00A93CEE">
              <w:rPr>
                <w:rFonts w:cs="Arial"/>
                <w:sz w:val="20"/>
                <w:szCs w:val="20"/>
              </w:rPr>
              <w:t>HCN</w:t>
            </w:r>
          </w:p>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A93CEE">
              <w:rPr>
                <w:rFonts w:cs="Arial"/>
                <w:sz w:val="20"/>
                <w:szCs w:val="20"/>
              </w:rPr>
              <w:t>(µg/kg bw/day)</w:t>
            </w:r>
          </w:p>
        </w:tc>
      </w:tr>
      <w:tr w:rsidR="00391A6C" w:rsidRPr="00442360"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tcBorders>
              <w:right w:val="none" w:sz="0" w:space="0" w:color="auto"/>
            </w:tcBorders>
            <w:noWrap/>
            <w:hideMark/>
          </w:tcPr>
          <w:p w:rsidR="00391A6C" w:rsidRPr="00442360" w:rsidRDefault="00391A6C" w:rsidP="00A40AEA">
            <w:pPr>
              <w:rPr>
                <w:rFonts w:cs="Arial"/>
                <w:sz w:val="20"/>
                <w:szCs w:val="20"/>
              </w:rPr>
            </w:pPr>
            <w:r w:rsidRPr="00442360">
              <w:rPr>
                <w:rFonts w:cs="Arial"/>
                <w:sz w:val="20"/>
                <w:szCs w:val="20"/>
              </w:rPr>
              <w:t>Almonds</w:t>
            </w:r>
          </w:p>
        </w:tc>
        <w:tc>
          <w:tcPr>
            <w:tcW w:w="695" w:type="pct"/>
            <w:tcBorders>
              <w:left w:val="none" w:sz="0" w:space="0" w:color="auto"/>
              <w:right w:val="none" w:sz="0" w:space="0" w:color="auto"/>
            </w:tcBorders>
            <w:noWrap/>
            <w:hideMark/>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362</w:t>
            </w:r>
          </w:p>
        </w:tc>
        <w:tc>
          <w:tcPr>
            <w:tcW w:w="763" w:type="pct"/>
            <w:tcBorders>
              <w:left w:val="none" w:sz="0" w:space="0" w:color="auto"/>
              <w:right w:val="none" w:sz="0" w:space="0" w:color="auto"/>
            </w:tcBorders>
            <w:noWrap/>
            <w:hideMark/>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P97.5</w:t>
            </w:r>
          </w:p>
        </w:tc>
        <w:tc>
          <w:tcPr>
            <w:tcW w:w="858" w:type="pct"/>
            <w:tcBorders>
              <w:left w:val="none" w:sz="0" w:space="0" w:color="auto"/>
              <w:right w:val="none" w:sz="0" w:space="0" w:color="auto"/>
            </w:tcBorders>
            <w:noWrap/>
            <w:hideMark/>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12</w:t>
            </w:r>
          </w:p>
        </w:tc>
        <w:tc>
          <w:tcPr>
            <w:tcW w:w="849" w:type="pct"/>
            <w:tcBorders>
              <w:left w:val="none" w:sz="0" w:space="0" w:color="auto"/>
            </w:tcBorders>
            <w:noWrap/>
            <w:hideMark/>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8</w:t>
            </w:r>
          </w:p>
        </w:tc>
      </w:tr>
      <w:tr w:rsidR="00391A6C" w:rsidRPr="00442360"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tcBorders>
              <w:right w:val="none" w:sz="0" w:space="0" w:color="auto"/>
            </w:tcBorders>
            <w:noWrap/>
            <w:hideMark/>
          </w:tcPr>
          <w:p w:rsidR="00391A6C" w:rsidRPr="00442360" w:rsidRDefault="00391A6C" w:rsidP="00A40AEA">
            <w:pPr>
              <w:rPr>
                <w:rFonts w:cs="Arial"/>
                <w:sz w:val="20"/>
                <w:szCs w:val="20"/>
              </w:rPr>
            </w:pPr>
            <w:r w:rsidRPr="00442360">
              <w:rPr>
                <w:rFonts w:cs="Arial"/>
                <w:sz w:val="20"/>
                <w:szCs w:val="20"/>
              </w:rPr>
              <w:t>Almond oil</w:t>
            </w:r>
          </w:p>
        </w:tc>
        <w:tc>
          <w:tcPr>
            <w:tcW w:w="695" w:type="pct"/>
            <w:tcBorders>
              <w:left w:val="none" w:sz="0" w:space="0" w:color="auto"/>
              <w:right w:val="none" w:sz="0" w:space="0" w:color="auto"/>
            </w:tcBorders>
            <w:noWrap/>
            <w:hideMark/>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NC</w:t>
            </w:r>
          </w:p>
        </w:tc>
        <w:tc>
          <w:tcPr>
            <w:tcW w:w="763" w:type="pct"/>
            <w:tcBorders>
              <w:left w:val="none" w:sz="0" w:space="0" w:color="auto"/>
              <w:right w:val="none" w:sz="0" w:space="0" w:color="auto"/>
            </w:tcBorders>
            <w:noWrap/>
            <w:hideMark/>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NC</w:t>
            </w:r>
          </w:p>
        </w:tc>
        <w:tc>
          <w:tcPr>
            <w:tcW w:w="858" w:type="pct"/>
            <w:tcBorders>
              <w:left w:val="none" w:sz="0" w:space="0" w:color="auto"/>
              <w:right w:val="none" w:sz="0" w:space="0" w:color="auto"/>
            </w:tcBorders>
            <w:noWrap/>
            <w:hideMark/>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NC</w:t>
            </w:r>
          </w:p>
        </w:tc>
        <w:tc>
          <w:tcPr>
            <w:tcW w:w="849" w:type="pct"/>
            <w:tcBorders>
              <w:left w:val="none" w:sz="0" w:space="0" w:color="auto"/>
            </w:tcBorders>
            <w:noWrap/>
            <w:hideMark/>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NC</w:t>
            </w:r>
          </w:p>
        </w:tc>
      </w:tr>
      <w:tr w:rsidR="00391A6C" w:rsidRPr="00442360"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tcBorders>
              <w:right w:val="none" w:sz="0" w:space="0" w:color="auto"/>
            </w:tcBorders>
            <w:noWrap/>
          </w:tcPr>
          <w:p w:rsidR="00391A6C" w:rsidRPr="00442360" w:rsidRDefault="00391A6C" w:rsidP="00A40AEA">
            <w:pPr>
              <w:rPr>
                <w:rFonts w:cs="Arial"/>
                <w:sz w:val="20"/>
                <w:szCs w:val="20"/>
              </w:rPr>
            </w:pPr>
            <w:r w:rsidRPr="00442360">
              <w:rPr>
                <w:rFonts w:cs="Arial"/>
                <w:sz w:val="20"/>
                <w:szCs w:val="20"/>
              </w:rPr>
              <w:t>Apple juice</w:t>
            </w:r>
            <w:r w:rsidRPr="00966234">
              <w:rPr>
                <w:rFonts w:cs="Arial"/>
                <w:color w:val="000000"/>
                <w:sz w:val="20"/>
                <w:szCs w:val="20"/>
                <w:vertAlign w:val="superscript"/>
              </w:rPr>
              <w:t>a</w:t>
            </w:r>
            <w:r w:rsidRPr="00442360">
              <w:rPr>
                <w:rFonts w:cs="Arial"/>
                <w:sz w:val="20"/>
                <w:szCs w:val="20"/>
              </w:rPr>
              <w:t xml:space="preserve"> </w:t>
            </w:r>
          </w:p>
        </w:tc>
        <w:tc>
          <w:tcPr>
            <w:tcW w:w="695" w:type="pct"/>
            <w:tcBorders>
              <w:left w:val="none" w:sz="0" w:space="0" w:color="auto"/>
              <w:righ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981</w:t>
            </w:r>
          </w:p>
        </w:tc>
        <w:tc>
          <w:tcPr>
            <w:tcW w:w="763" w:type="pct"/>
            <w:tcBorders>
              <w:left w:val="none" w:sz="0" w:space="0" w:color="auto"/>
              <w:righ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P97.5</w:t>
            </w:r>
          </w:p>
        </w:tc>
        <w:tc>
          <w:tcPr>
            <w:tcW w:w="858" w:type="pct"/>
            <w:tcBorders>
              <w:left w:val="none" w:sz="0" w:space="0" w:color="auto"/>
              <w:righ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524</w:t>
            </w:r>
          </w:p>
        </w:tc>
        <w:tc>
          <w:tcPr>
            <w:tcW w:w="849" w:type="pct"/>
            <w:tcBorders>
              <w:lef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5</w:t>
            </w:r>
          </w:p>
        </w:tc>
      </w:tr>
      <w:tr w:rsidR="00391A6C" w:rsidRPr="00442360"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tcBorders>
              <w:right w:val="none" w:sz="0" w:space="0" w:color="auto"/>
            </w:tcBorders>
            <w:noWrap/>
          </w:tcPr>
          <w:p w:rsidR="00391A6C" w:rsidRPr="00442360" w:rsidRDefault="00391A6C" w:rsidP="00A40AEA">
            <w:pPr>
              <w:rPr>
                <w:rFonts w:cs="Arial"/>
                <w:sz w:val="20"/>
                <w:szCs w:val="20"/>
              </w:rPr>
            </w:pPr>
            <w:r w:rsidRPr="00442360">
              <w:rPr>
                <w:rFonts w:cs="Arial"/>
                <w:sz w:val="20"/>
                <w:szCs w:val="20"/>
              </w:rPr>
              <w:t>Apple sauce</w:t>
            </w:r>
          </w:p>
        </w:tc>
        <w:tc>
          <w:tcPr>
            <w:tcW w:w="695" w:type="pct"/>
            <w:tcBorders>
              <w:left w:val="none" w:sz="0" w:space="0" w:color="auto"/>
              <w:right w:val="none" w:sz="0" w:space="0" w:color="auto"/>
            </w:tcBorders>
            <w:noWrap/>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NC</w:t>
            </w:r>
          </w:p>
        </w:tc>
        <w:tc>
          <w:tcPr>
            <w:tcW w:w="763" w:type="pct"/>
            <w:tcBorders>
              <w:left w:val="none" w:sz="0" w:space="0" w:color="auto"/>
              <w:right w:val="none" w:sz="0" w:space="0" w:color="auto"/>
            </w:tcBorders>
            <w:noWrap/>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NC</w:t>
            </w:r>
          </w:p>
        </w:tc>
        <w:tc>
          <w:tcPr>
            <w:tcW w:w="858" w:type="pct"/>
            <w:tcBorders>
              <w:left w:val="none" w:sz="0" w:space="0" w:color="auto"/>
              <w:right w:val="none" w:sz="0" w:space="0" w:color="auto"/>
            </w:tcBorders>
            <w:noWrap/>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NC</w:t>
            </w:r>
          </w:p>
        </w:tc>
        <w:tc>
          <w:tcPr>
            <w:tcW w:w="849" w:type="pct"/>
            <w:tcBorders>
              <w:left w:val="none" w:sz="0" w:space="0" w:color="auto"/>
            </w:tcBorders>
            <w:noWrap/>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NC</w:t>
            </w:r>
          </w:p>
        </w:tc>
      </w:tr>
      <w:tr w:rsidR="00391A6C" w:rsidRPr="00442360"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tcBorders>
              <w:right w:val="none" w:sz="0" w:space="0" w:color="auto"/>
            </w:tcBorders>
            <w:noWrap/>
          </w:tcPr>
          <w:p w:rsidR="00391A6C" w:rsidRPr="00442360" w:rsidRDefault="00391A6C" w:rsidP="00A40AEA">
            <w:pPr>
              <w:rPr>
                <w:rFonts w:cs="Arial"/>
                <w:sz w:val="20"/>
                <w:szCs w:val="20"/>
              </w:rPr>
            </w:pPr>
            <w:r w:rsidRPr="00442360">
              <w:rPr>
                <w:rFonts w:cs="Arial"/>
                <w:sz w:val="20"/>
                <w:szCs w:val="20"/>
              </w:rPr>
              <w:t>Apple cider vinegar</w:t>
            </w:r>
          </w:p>
        </w:tc>
        <w:tc>
          <w:tcPr>
            <w:tcW w:w="695" w:type="pct"/>
            <w:tcBorders>
              <w:left w:val="none" w:sz="0" w:space="0" w:color="auto"/>
              <w:righ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2406</w:t>
            </w:r>
          </w:p>
        </w:tc>
        <w:tc>
          <w:tcPr>
            <w:tcW w:w="763" w:type="pct"/>
            <w:tcBorders>
              <w:left w:val="none" w:sz="0" w:space="0" w:color="auto"/>
              <w:righ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P97.5</w:t>
            </w:r>
          </w:p>
        </w:tc>
        <w:tc>
          <w:tcPr>
            <w:tcW w:w="858" w:type="pct"/>
            <w:tcBorders>
              <w:left w:val="none" w:sz="0" w:space="0" w:color="auto"/>
              <w:righ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15</w:t>
            </w:r>
          </w:p>
        </w:tc>
        <w:tc>
          <w:tcPr>
            <w:tcW w:w="849" w:type="pct"/>
            <w:tcBorders>
              <w:lef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3</w:t>
            </w:r>
          </w:p>
        </w:tc>
      </w:tr>
      <w:tr w:rsidR="00391A6C" w:rsidRPr="00442360"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tcBorders>
              <w:right w:val="none" w:sz="0" w:space="0" w:color="auto"/>
            </w:tcBorders>
            <w:noWrap/>
          </w:tcPr>
          <w:p w:rsidR="00391A6C" w:rsidRPr="00442360" w:rsidRDefault="00391A6C" w:rsidP="00A40AEA">
            <w:pPr>
              <w:rPr>
                <w:rFonts w:cs="Arial"/>
                <w:sz w:val="20"/>
                <w:szCs w:val="20"/>
              </w:rPr>
            </w:pPr>
            <w:r w:rsidRPr="00442360">
              <w:rPr>
                <w:rFonts w:cs="Arial"/>
                <w:sz w:val="20"/>
                <w:szCs w:val="20"/>
              </w:rPr>
              <w:t>Apricots, canned</w:t>
            </w:r>
          </w:p>
        </w:tc>
        <w:tc>
          <w:tcPr>
            <w:tcW w:w="695" w:type="pct"/>
            <w:tcBorders>
              <w:left w:val="none" w:sz="0" w:space="0" w:color="auto"/>
              <w:right w:val="none" w:sz="0" w:space="0" w:color="auto"/>
            </w:tcBorders>
            <w:noWrap/>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49</w:t>
            </w:r>
          </w:p>
        </w:tc>
        <w:tc>
          <w:tcPr>
            <w:tcW w:w="763" w:type="pct"/>
            <w:tcBorders>
              <w:left w:val="none" w:sz="0" w:space="0" w:color="auto"/>
              <w:right w:val="none" w:sz="0" w:space="0" w:color="auto"/>
            </w:tcBorders>
            <w:noWrap/>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P97.5</w:t>
            </w:r>
          </w:p>
        </w:tc>
        <w:tc>
          <w:tcPr>
            <w:tcW w:w="858" w:type="pct"/>
            <w:tcBorders>
              <w:left w:val="none" w:sz="0" w:space="0" w:color="auto"/>
              <w:right w:val="none" w:sz="0" w:space="0" w:color="auto"/>
            </w:tcBorders>
            <w:noWrap/>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108</w:t>
            </w:r>
          </w:p>
        </w:tc>
        <w:tc>
          <w:tcPr>
            <w:tcW w:w="849" w:type="pct"/>
            <w:tcBorders>
              <w:left w:val="none" w:sz="0" w:space="0" w:color="auto"/>
            </w:tcBorders>
            <w:noWrap/>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23</w:t>
            </w:r>
          </w:p>
        </w:tc>
      </w:tr>
      <w:tr w:rsidR="00391A6C" w:rsidRPr="00442360"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tcBorders>
              <w:right w:val="none" w:sz="0" w:space="0" w:color="auto"/>
            </w:tcBorders>
            <w:noWrap/>
          </w:tcPr>
          <w:p w:rsidR="00391A6C" w:rsidRPr="00442360" w:rsidRDefault="00391A6C" w:rsidP="00A40AEA">
            <w:pPr>
              <w:rPr>
                <w:rFonts w:cs="Arial"/>
                <w:sz w:val="20"/>
                <w:szCs w:val="20"/>
              </w:rPr>
            </w:pPr>
            <w:r w:rsidRPr="00442360">
              <w:rPr>
                <w:rFonts w:cs="Arial"/>
                <w:sz w:val="20"/>
                <w:szCs w:val="20"/>
              </w:rPr>
              <w:t>Apricot jam</w:t>
            </w:r>
          </w:p>
        </w:tc>
        <w:tc>
          <w:tcPr>
            <w:tcW w:w="695" w:type="pct"/>
            <w:tcBorders>
              <w:left w:val="none" w:sz="0" w:space="0" w:color="auto"/>
              <w:righ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58</w:t>
            </w:r>
          </w:p>
        </w:tc>
        <w:tc>
          <w:tcPr>
            <w:tcW w:w="763" w:type="pct"/>
            <w:tcBorders>
              <w:left w:val="none" w:sz="0" w:space="0" w:color="auto"/>
              <w:righ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P97.5</w:t>
            </w:r>
          </w:p>
        </w:tc>
        <w:tc>
          <w:tcPr>
            <w:tcW w:w="858" w:type="pct"/>
            <w:tcBorders>
              <w:left w:val="none" w:sz="0" w:space="0" w:color="auto"/>
              <w:righ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8</w:t>
            </w:r>
          </w:p>
        </w:tc>
        <w:tc>
          <w:tcPr>
            <w:tcW w:w="849" w:type="pct"/>
            <w:tcBorders>
              <w:lef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2</w:t>
            </w:r>
          </w:p>
        </w:tc>
      </w:tr>
      <w:tr w:rsidR="00391A6C" w:rsidRPr="00442360"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tcBorders>
              <w:right w:val="none" w:sz="0" w:space="0" w:color="auto"/>
            </w:tcBorders>
            <w:noWrap/>
          </w:tcPr>
          <w:p w:rsidR="00391A6C" w:rsidRPr="00442360" w:rsidRDefault="00391A6C" w:rsidP="00A40AEA">
            <w:pPr>
              <w:rPr>
                <w:rFonts w:cs="Arial"/>
                <w:sz w:val="20"/>
                <w:szCs w:val="20"/>
              </w:rPr>
            </w:pPr>
            <w:r w:rsidRPr="00442360">
              <w:rPr>
                <w:rFonts w:cs="Arial"/>
                <w:sz w:val="20"/>
                <w:szCs w:val="20"/>
              </w:rPr>
              <w:t>Apricot nectar</w:t>
            </w:r>
          </w:p>
        </w:tc>
        <w:tc>
          <w:tcPr>
            <w:tcW w:w="695" w:type="pct"/>
            <w:tcBorders>
              <w:left w:val="none" w:sz="0" w:space="0" w:color="auto"/>
              <w:right w:val="none" w:sz="0" w:space="0" w:color="auto"/>
            </w:tcBorders>
            <w:noWrap/>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8</w:t>
            </w:r>
          </w:p>
        </w:tc>
        <w:tc>
          <w:tcPr>
            <w:tcW w:w="763" w:type="pct"/>
            <w:tcBorders>
              <w:left w:val="none" w:sz="0" w:space="0" w:color="auto"/>
              <w:right w:val="none" w:sz="0" w:space="0" w:color="auto"/>
            </w:tcBorders>
            <w:noWrap/>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P50</w:t>
            </w:r>
          </w:p>
        </w:tc>
        <w:tc>
          <w:tcPr>
            <w:tcW w:w="858" w:type="pct"/>
            <w:tcBorders>
              <w:left w:val="none" w:sz="0" w:space="0" w:color="auto"/>
              <w:right w:val="none" w:sz="0" w:space="0" w:color="auto"/>
            </w:tcBorders>
            <w:noWrap/>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106</w:t>
            </w:r>
          </w:p>
        </w:tc>
        <w:tc>
          <w:tcPr>
            <w:tcW w:w="849" w:type="pct"/>
            <w:tcBorders>
              <w:left w:val="none" w:sz="0" w:space="0" w:color="auto"/>
            </w:tcBorders>
            <w:noWrap/>
          </w:tcPr>
          <w:p w:rsidR="00391A6C" w:rsidRPr="00442360" w:rsidRDefault="007E50AD"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28</w:t>
            </w:r>
          </w:p>
        </w:tc>
      </w:tr>
      <w:tr w:rsidR="00391A6C" w:rsidRPr="00442360"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tcBorders>
              <w:right w:val="none" w:sz="0" w:space="0" w:color="auto"/>
            </w:tcBorders>
            <w:noWrap/>
          </w:tcPr>
          <w:p w:rsidR="00391A6C" w:rsidRPr="00442360" w:rsidRDefault="00391A6C" w:rsidP="00A40AEA">
            <w:pPr>
              <w:rPr>
                <w:rFonts w:cs="Arial"/>
                <w:sz w:val="20"/>
                <w:szCs w:val="20"/>
              </w:rPr>
            </w:pPr>
            <w:r w:rsidRPr="00442360">
              <w:rPr>
                <w:rFonts w:cs="Arial"/>
                <w:sz w:val="20"/>
                <w:szCs w:val="20"/>
              </w:rPr>
              <w:t>Bamboo shoots</w:t>
            </w:r>
            <w:r w:rsidRPr="00966234">
              <w:rPr>
                <w:rFonts w:cs="Arial"/>
                <w:sz w:val="20"/>
                <w:szCs w:val="20"/>
                <w:vertAlign w:val="superscript"/>
              </w:rPr>
              <w:t>b</w:t>
            </w:r>
            <w:r w:rsidRPr="00442360">
              <w:rPr>
                <w:rFonts w:cs="Arial"/>
                <w:sz w:val="20"/>
                <w:szCs w:val="20"/>
              </w:rPr>
              <w:t xml:space="preserve"> </w:t>
            </w:r>
          </w:p>
        </w:tc>
        <w:tc>
          <w:tcPr>
            <w:tcW w:w="695" w:type="pct"/>
            <w:tcBorders>
              <w:left w:val="none" w:sz="0" w:space="0" w:color="auto"/>
              <w:righ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119</w:t>
            </w:r>
          </w:p>
        </w:tc>
        <w:tc>
          <w:tcPr>
            <w:tcW w:w="763" w:type="pct"/>
            <w:tcBorders>
              <w:left w:val="none" w:sz="0" w:space="0" w:color="auto"/>
              <w:righ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P97.5</w:t>
            </w:r>
          </w:p>
        </w:tc>
        <w:tc>
          <w:tcPr>
            <w:tcW w:w="858" w:type="pct"/>
            <w:tcBorders>
              <w:left w:val="none" w:sz="0" w:space="0" w:color="auto"/>
              <w:righ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7</w:t>
            </w:r>
          </w:p>
        </w:tc>
        <w:tc>
          <w:tcPr>
            <w:tcW w:w="849" w:type="pct"/>
            <w:tcBorders>
              <w:lef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15</w:t>
            </w:r>
          </w:p>
        </w:tc>
      </w:tr>
      <w:tr w:rsidR="00391A6C" w:rsidRPr="00442360"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tcBorders>
              <w:right w:val="none" w:sz="0" w:space="0" w:color="auto"/>
            </w:tcBorders>
            <w:noWrap/>
          </w:tcPr>
          <w:p w:rsidR="00391A6C" w:rsidRPr="00442360" w:rsidRDefault="00391A6C" w:rsidP="00A40AEA">
            <w:pPr>
              <w:rPr>
                <w:rFonts w:cs="Arial"/>
                <w:sz w:val="20"/>
                <w:szCs w:val="20"/>
              </w:rPr>
            </w:pPr>
            <w:r w:rsidRPr="00442360">
              <w:rPr>
                <w:rFonts w:cs="Arial"/>
                <w:sz w:val="20"/>
                <w:szCs w:val="20"/>
              </w:rPr>
              <w:t>Biscuits, amaretti</w:t>
            </w:r>
            <w:r w:rsidR="00AB6F48" w:rsidRPr="00AB6F48">
              <w:rPr>
                <w:rFonts w:cs="Arial"/>
                <w:sz w:val="20"/>
                <w:szCs w:val="20"/>
                <w:vertAlign w:val="superscript"/>
              </w:rPr>
              <w:t>d</w:t>
            </w:r>
          </w:p>
        </w:tc>
        <w:tc>
          <w:tcPr>
            <w:tcW w:w="695" w:type="pct"/>
            <w:tcBorders>
              <w:left w:val="none" w:sz="0" w:space="0" w:color="auto"/>
              <w:right w:val="none" w:sz="0" w:space="0" w:color="auto"/>
            </w:tcBorders>
            <w:noWrap/>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763" w:type="pct"/>
            <w:tcBorders>
              <w:left w:val="none" w:sz="0" w:space="0" w:color="auto"/>
              <w:right w:val="none" w:sz="0" w:space="0" w:color="auto"/>
            </w:tcBorders>
            <w:noWrap/>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1 serve</w:t>
            </w:r>
          </w:p>
        </w:tc>
        <w:tc>
          <w:tcPr>
            <w:tcW w:w="858" w:type="pct"/>
            <w:tcBorders>
              <w:left w:val="none" w:sz="0" w:space="0" w:color="auto"/>
              <w:right w:val="none" w:sz="0" w:space="0" w:color="auto"/>
            </w:tcBorders>
            <w:noWrap/>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30</w:t>
            </w:r>
          </w:p>
        </w:tc>
        <w:tc>
          <w:tcPr>
            <w:tcW w:w="849" w:type="pct"/>
            <w:tcBorders>
              <w:left w:val="none" w:sz="0" w:space="0" w:color="auto"/>
            </w:tcBorders>
            <w:noWrap/>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54</w:t>
            </w:r>
          </w:p>
        </w:tc>
      </w:tr>
      <w:tr w:rsidR="00391A6C" w:rsidRPr="00442360"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tcBorders>
              <w:right w:val="none" w:sz="0" w:space="0" w:color="auto"/>
            </w:tcBorders>
            <w:noWrap/>
          </w:tcPr>
          <w:p w:rsidR="00391A6C" w:rsidRPr="00442360" w:rsidRDefault="00391A6C" w:rsidP="00A40AEA">
            <w:pPr>
              <w:rPr>
                <w:rFonts w:cs="Arial"/>
                <w:sz w:val="20"/>
                <w:szCs w:val="20"/>
              </w:rPr>
            </w:pPr>
            <w:r w:rsidRPr="00442360">
              <w:rPr>
                <w:rFonts w:cs="Arial"/>
                <w:sz w:val="20"/>
                <w:szCs w:val="20"/>
              </w:rPr>
              <w:t>Biscuits, almond fingers/apple fingers</w:t>
            </w:r>
            <w:r w:rsidR="00AB6F48" w:rsidRPr="00AB6F48">
              <w:rPr>
                <w:rFonts w:cs="Arial"/>
                <w:sz w:val="20"/>
                <w:szCs w:val="20"/>
                <w:vertAlign w:val="superscript"/>
              </w:rPr>
              <w:t>d</w:t>
            </w:r>
          </w:p>
        </w:tc>
        <w:tc>
          <w:tcPr>
            <w:tcW w:w="695" w:type="pct"/>
            <w:tcBorders>
              <w:left w:val="none" w:sz="0" w:space="0" w:color="auto"/>
              <w:righ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763" w:type="pct"/>
            <w:tcBorders>
              <w:left w:val="none" w:sz="0" w:space="0" w:color="auto"/>
              <w:righ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1 serve</w:t>
            </w:r>
          </w:p>
        </w:tc>
        <w:tc>
          <w:tcPr>
            <w:tcW w:w="858" w:type="pct"/>
            <w:tcBorders>
              <w:left w:val="none" w:sz="0" w:space="0" w:color="auto"/>
              <w:righ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47</w:t>
            </w:r>
          </w:p>
        </w:tc>
        <w:tc>
          <w:tcPr>
            <w:tcW w:w="849" w:type="pct"/>
            <w:tcBorders>
              <w:lef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32</w:t>
            </w:r>
          </w:p>
        </w:tc>
      </w:tr>
      <w:tr w:rsidR="00391A6C" w:rsidRPr="00442360"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tcBorders>
              <w:right w:val="none" w:sz="0" w:space="0" w:color="auto"/>
            </w:tcBorders>
            <w:noWrap/>
          </w:tcPr>
          <w:p w:rsidR="00391A6C" w:rsidRPr="00442360" w:rsidRDefault="00391A6C" w:rsidP="00A40AEA">
            <w:pPr>
              <w:rPr>
                <w:rFonts w:cs="Arial"/>
                <w:sz w:val="20"/>
                <w:szCs w:val="20"/>
              </w:rPr>
            </w:pPr>
            <w:r w:rsidRPr="00442360">
              <w:rPr>
                <w:rFonts w:cs="Arial"/>
                <w:sz w:val="20"/>
                <w:szCs w:val="20"/>
              </w:rPr>
              <w:t>Bread containing linseed</w:t>
            </w:r>
          </w:p>
        </w:tc>
        <w:tc>
          <w:tcPr>
            <w:tcW w:w="695" w:type="pct"/>
            <w:tcBorders>
              <w:left w:val="none" w:sz="0" w:space="0" w:color="auto"/>
              <w:right w:val="none" w:sz="0" w:space="0" w:color="auto"/>
            </w:tcBorders>
            <w:noWrap/>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1058</w:t>
            </w:r>
          </w:p>
        </w:tc>
        <w:tc>
          <w:tcPr>
            <w:tcW w:w="763" w:type="pct"/>
            <w:tcBorders>
              <w:left w:val="none" w:sz="0" w:space="0" w:color="auto"/>
              <w:right w:val="none" w:sz="0" w:space="0" w:color="auto"/>
            </w:tcBorders>
            <w:noWrap/>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P97.5</w:t>
            </w:r>
          </w:p>
        </w:tc>
        <w:tc>
          <w:tcPr>
            <w:tcW w:w="858" w:type="pct"/>
            <w:tcBorders>
              <w:left w:val="none" w:sz="0" w:space="0" w:color="auto"/>
              <w:right w:val="none" w:sz="0" w:space="0" w:color="auto"/>
            </w:tcBorders>
            <w:noWrap/>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160</w:t>
            </w:r>
          </w:p>
        </w:tc>
        <w:tc>
          <w:tcPr>
            <w:tcW w:w="849" w:type="pct"/>
            <w:tcBorders>
              <w:left w:val="none" w:sz="0" w:space="0" w:color="auto"/>
            </w:tcBorders>
            <w:noWrap/>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413</w:t>
            </w:r>
          </w:p>
        </w:tc>
      </w:tr>
      <w:tr w:rsidR="00391A6C" w:rsidRPr="00442360"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tcBorders>
              <w:right w:val="none" w:sz="0" w:space="0" w:color="auto"/>
            </w:tcBorders>
            <w:noWrap/>
          </w:tcPr>
          <w:p w:rsidR="00391A6C" w:rsidRPr="00442360" w:rsidRDefault="00391A6C" w:rsidP="00A40AEA">
            <w:pPr>
              <w:rPr>
                <w:rFonts w:cs="Arial"/>
                <w:sz w:val="20"/>
                <w:szCs w:val="20"/>
              </w:rPr>
            </w:pPr>
            <w:r w:rsidRPr="00442360">
              <w:rPr>
                <w:rFonts w:cs="Arial"/>
                <w:sz w:val="20"/>
                <w:szCs w:val="20"/>
              </w:rPr>
              <w:t>Butter beans</w:t>
            </w:r>
          </w:p>
        </w:tc>
        <w:tc>
          <w:tcPr>
            <w:tcW w:w="695" w:type="pct"/>
            <w:tcBorders>
              <w:left w:val="none" w:sz="0" w:space="0" w:color="auto"/>
              <w:righ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13</w:t>
            </w:r>
          </w:p>
        </w:tc>
        <w:tc>
          <w:tcPr>
            <w:tcW w:w="763" w:type="pct"/>
            <w:tcBorders>
              <w:left w:val="none" w:sz="0" w:space="0" w:color="auto"/>
              <w:righ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P50</w:t>
            </w:r>
          </w:p>
        </w:tc>
        <w:tc>
          <w:tcPr>
            <w:tcW w:w="858" w:type="pct"/>
            <w:tcBorders>
              <w:left w:val="none" w:sz="0" w:space="0" w:color="auto"/>
              <w:righ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17</w:t>
            </w:r>
          </w:p>
        </w:tc>
        <w:tc>
          <w:tcPr>
            <w:tcW w:w="849" w:type="pct"/>
            <w:tcBorders>
              <w:lef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6</w:t>
            </w:r>
          </w:p>
        </w:tc>
      </w:tr>
      <w:tr w:rsidR="00391A6C" w:rsidRPr="00442360"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tcBorders>
              <w:right w:val="none" w:sz="0" w:space="0" w:color="auto"/>
            </w:tcBorders>
            <w:noWrap/>
          </w:tcPr>
          <w:p w:rsidR="00391A6C" w:rsidRPr="00442360" w:rsidRDefault="00391A6C" w:rsidP="00A40AEA">
            <w:pPr>
              <w:rPr>
                <w:rFonts w:cs="Arial"/>
                <w:sz w:val="20"/>
                <w:szCs w:val="20"/>
              </w:rPr>
            </w:pPr>
            <w:r w:rsidRPr="00442360">
              <w:rPr>
                <w:rFonts w:cs="Arial"/>
                <w:sz w:val="20"/>
                <w:szCs w:val="20"/>
              </w:rPr>
              <w:t>Cassava roots, cooked</w:t>
            </w:r>
            <w:r w:rsidRPr="00966234">
              <w:rPr>
                <w:rFonts w:cs="Arial"/>
                <w:color w:val="000000"/>
                <w:sz w:val="20"/>
                <w:szCs w:val="20"/>
                <w:vertAlign w:val="superscript"/>
              </w:rPr>
              <w:t>c</w:t>
            </w:r>
          </w:p>
        </w:tc>
        <w:tc>
          <w:tcPr>
            <w:tcW w:w="695" w:type="pct"/>
            <w:tcBorders>
              <w:left w:val="none" w:sz="0" w:space="0" w:color="auto"/>
              <w:right w:val="none" w:sz="0" w:space="0" w:color="auto"/>
            </w:tcBorders>
            <w:noWrap/>
          </w:tcPr>
          <w:p w:rsidR="00391A6C" w:rsidRPr="00935774"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iCs/>
                <w:sz w:val="20"/>
                <w:szCs w:val="20"/>
              </w:rPr>
            </w:pPr>
            <w:r w:rsidRPr="00935774">
              <w:rPr>
                <w:rFonts w:cs="Arial"/>
                <w:iCs/>
                <w:sz w:val="20"/>
                <w:szCs w:val="20"/>
              </w:rPr>
              <w:t>23</w:t>
            </w:r>
          </w:p>
        </w:tc>
        <w:tc>
          <w:tcPr>
            <w:tcW w:w="763" w:type="pct"/>
            <w:tcBorders>
              <w:left w:val="none" w:sz="0" w:space="0" w:color="auto"/>
              <w:right w:val="none" w:sz="0" w:space="0" w:color="auto"/>
            </w:tcBorders>
            <w:noWrap/>
          </w:tcPr>
          <w:p w:rsidR="00391A6C" w:rsidRPr="00935774"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iCs/>
                <w:sz w:val="20"/>
                <w:szCs w:val="20"/>
              </w:rPr>
            </w:pPr>
            <w:r w:rsidRPr="00935774">
              <w:rPr>
                <w:rFonts w:cs="Arial"/>
                <w:iCs/>
                <w:sz w:val="20"/>
                <w:szCs w:val="20"/>
              </w:rPr>
              <w:t>P50</w:t>
            </w:r>
          </w:p>
        </w:tc>
        <w:tc>
          <w:tcPr>
            <w:tcW w:w="858" w:type="pct"/>
            <w:tcBorders>
              <w:left w:val="none" w:sz="0" w:space="0" w:color="auto"/>
              <w:right w:val="none" w:sz="0" w:space="0" w:color="auto"/>
            </w:tcBorders>
            <w:noWrap/>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5</w:t>
            </w:r>
          </w:p>
        </w:tc>
        <w:tc>
          <w:tcPr>
            <w:tcW w:w="849" w:type="pct"/>
            <w:tcBorders>
              <w:left w:val="none" w:sz="0" w:space="0" w:color="auto"/>
            </w:tcBorders>
            <w:noWrap/>
          </w:tcPr>
          <w:p w:rsidR="00391A6C" w:rsidRPr="00FB1F93"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iCs/>
                <w:sz w:val="20"/>
                <w:szCs w:val="20"/>
              </w:rPr>
            </w:pPr>
            <w:r w:rsidRPr="00FB1F93">
              <w:rPr>
                <w:rFonts w:cs="Arial"/>
                <w:iCs/>
                <w:sz w:val="20"/>
                <w:szCs w:val="20"/>
              </w:rPr>
              <w:t>7</w:t>
            </w:r>
          </w:p>
        </w:tc>
      </w:tr>
      <w:tr w:rsidR="00391A6C" w:rsidRPr="00442360"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tcBorders>
              <w:right w:val="none" w:sz="0" w:space="0" w:color="auto"/>
            </w:tcBorders>
            <w:noWrap/>
          </w:tcPr>
          <w:p w:rsidR="00391A6C" w:rsidRPr="00442360" w:rsidRDefault="00391A6C" w:rsidP="00A40AEA">
            <w:pPr>
              <w:rPr>
                <w:rFonts w:cs="Arial"/>
                <w:sz w:val="20"/>
                <w:szCs w:val="20"/>
              </w:rPr>
            </w:pPr>
            <w:r w:rsidRPr="00442360">
              <w:rPr>
                <w:rFonts w:cs="Arial"/>
                <w:sz w:val="20"/>
                <w:szCs w:val="20"/>
              </w:rPr>
              <w:t>Cassava starch</w:t>
            </w:r>
          </w:p>
        </w:tc>
        <w:tc>
          <w:tcPr>
            <w:tcW w:w="695" w:type="pct"/>
            <w:tcBorders>
              <w:left w:val="none" w:sz="0" w:space="0" w:color="auto"/>
              <w:righ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128</w:t>
            </w:r>
          </w:p>
        </w:tc>
        <w:tc>
          <w:tcPr>
            <w:tcW w:w="763" w:type="pct"/>
            <w:tcBorders>
              <w:left w:val="none" w:sz="0" w:space="0" w:color="auto"/>
              <w:righ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P97.5</w:t>
            </w:r>
          </w:p>
        </w:tc>
        <w:tc>
          <w:tcPr>
            <w:tcW w:w="858" w:type="pct"/>
            <w:tcBorders>
              <w:left w:val="none" w:sz="0" w:space="0" w:color="auto"/>
              <w:righ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36</w:t>
            </w:r>
          </w:p>
        </w:tc>
        <w:tc>
          <w:tcPr>
            <w:tcW w:w="849" w:type="pct"/>
            <w:tcBorders>
              <w:lef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8</w:t>
            </w:r>
          </w:p>
        </w:tc>
      </w:tr>
      <w:tr w:rsidR="00391A6C" w:rsidRPr="00442360"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tcBorders>
              <w:right w:val="none" w:sz="0" w:space="0" w:color="auto"/>
            </w:tcBorders>
            <w:noWrap/>
          </w:tcPr>
          <w:p w:rsidR="00391A6C" w:rsidRPr="00442360" w:rsidRDefault="00391A6C" w:rsidP="00A40AEA">
            <w:pPr>
              <w:rPr>
                <w:rFonts w:cs="Arial"/>
                <w:sz w:val="20"/>
                <w:szCs w:val="20"/>
              </w:rPr>
            </w:pPr>
            <w:r w:rsidRPr="00442360">
              <w:rPr>
                <w:rFonts w:cs="Arial"/>
                <w:sz w:val="20"/>
                <w:szCs w:val="20"/>
              </w:rPr>
              <w:t>Cherry brandy</w:t>
            </w:r>
          </w:p>
        </w:tc>
        <w:tc>
          <w:tcPr>
            <w:tcW w:w="695" w:type="pct"/>
            <w:tcBorders>
              <w:left w:val="none" w:sz="0" w:space="0" w:color="auto"/>
              <w:right w:val="none" w:sz="0" w:space="0" w:color="auto"/>
            </w:tcBorders>
            <w:noWrap/>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33</w:t>
            </w:r>
          </w:p>
        </w:tc>
        <w:tc>
          <w:tcPr>
            <w:tcW w:w="763" w:type="pct"/>
            <w:tcBorders>
              <w:left w:val="none" w:sz="0" w:space="0" w:color="auto"/>
              <w:right w:val="none" w:sz="0" w:space="0" w:color="auto"/>
            </w:tcBorders>
            <w:noWrap/>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P50</w:t>
            </w:r>
          </w:p>
        </w:tc>
        <w:tc>
          <w:tcPr>
            <w:tcW w:w="858" w:type="pct"/>
            <w:tcBorders>
              <w:left w:val="none" w:sz="0" w:space="0" w:color="auto"/>
              <w:right w:val="none" w:sz="0" w:space="0" w:color="auto"/>
            </w:tcBorders>
            <w:noWrap/>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1</w:t>
            </w:r>
          </w:p>
        </w:tc>
        <w:tc>
          <w:tcPr>
            <w:tcW w:w="849" w:type="pct"/>
            <w:tcBorders>
              <w:left w:val="none" w:sz="0" w:space="0" w:color="auto"/>
            </w:tcBorders>
            <w:noWrap/>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&lt;1</w:t>
            </w:r>
          </w:p>
        </w:tc>
      </w:tr>
      <w:tr w:rsidR="00391A6C" w:rsidRPr="00442360"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tcBorders>
              <w:right w:val="none" w:sz="0" w:space="0" w:color="auto"/>
            </w:tcBorders>
            <w:noWrap/>
          </w:tcPr>
          <w:p w:rsidR="00391A6C" w:rsidRPr="00442360" w:rsidRDefault="00391A6C" w:rsidP="00A40AEA">
            <w:pPr>
              <w:rPr>
                <w:rFonts w:cs="Arial"/>
                <w:sz w:val="20"/>
                <w:szCs w:val="20"/>
              </w:rPr>
            </w:pPr>
            <w:r w:rsidRPr="00442360">
              <w:rPr>
                <w:rFonts w:cs="Arial"/>
                <w:sz w:val="20"/>
                <w:szCs w:val="20"/>
              </w:rPr>
              <w:t>Lima beans</w:t>
            </w:r>
          </w:p>
        </w:tc>
        <w:tc>
          <w:tcPr>
            <w:tcW w:w="695" w:type="pct"/>
            <w:tcBorders>
              <w:left w:val="none" w:sz="0" w:space="0" w:color="auto"/>
              <w:righ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w:t>
            </w:r>
          </w:p>
        </w:tc>
        <w:tc>
          <w:tcPr>
            <w:tcW w:w="763" w:type="pct"/>
            <w:tcBorders>
              <w:left w:val="none" w:sz="0" w:space="0" w:color="auto"/>
              <w:righ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P50</w:t>
            </w:r>
          </w:p>
        </w:tc>
        <w:tc>
          <w:tcPr>
            <w:tcW w:w="858" w:type="pct"/>
            <w:tcBorders>
              <w:left w:val="none" w:sz="0" w:space="0" w:color="auto"/>
              <w:righ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9</w:t>
            </w:r>
          </w:p>
        </w:tc>
        <w:tc>
          <w:tcPr>
            <w:tcW w:w="849" w:type="pct"/>
            <w:tcBorders>
              <w:lef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15</w:t>
            </w:r>
          </w:p>
        </w:tc>
      </w:tr>
      <w:tr w:rsidR="00391A6C" w:rsidRPr="00442360"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tcBorders>
              <w:right w:val="none" w:sz="0" w:space="0" w:color="auto"/>
            </w:tcBorders>
            <w:noWrap/>
          </w:tcPr>
          <w:p w:rsidR="00391A6C" w:rsidRPr="00442360" w:rsidRDefault="00391A6C" w:rsidP="00A40AEA">
            <w:pPr>
              <w:rPr>
                <w:rFonts w:cs="Arial"/>
                <w:sz w:val="20"/>
                <w:szCs w:val="20"/>
              </w:rPr>
            </w:pPr>
            <w:r w:rsidRPr="00442360">
              <w:rPr>
                <w:rFonts w:cs="Arial"/>
                <w:sz w:val="20"/>
                <w:szCs w:val="20"/>
              </w:rPr>
              <w:t>Linseed</w:t>
            </w:r>
            <w:r>
              <w:rPr>
                <w:rFonts w:cs="Arial"/>
                <w:sz w:val="20"/>
                <w:szCs w:val="20"/>
              </w:rPr>
              <w:t>s</w:t>
            </w:r>
          </w:p>
        </w:tc>
        <w:tc>
          <w:tcPr>
            <w:tcW w:w="695" w:type="pct"/>
            <w:tcBorders>
              <w:left w:val="none" w:sz="0" w:space="0" w:color="auto"/>
              <w:right w:val="none" w:sz="0" w:space="0" w:color="auto"/>
            </w:tcBorders>
            <w:noWrap/>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864</w:t>
            </w:r>
          </w:p>
        </w:tc>
        <w:tc>
          <w:tcPr>
            <w:tcW w:w="763" w:type="pct"/>
            <w:tcBorders>
              <w:left w:val="none" w:sz="0" w:space="0" w:color="auto"/>
              <w:right w:val="none" w:sz="0" w:space="0" w:color="auto"/>
            </w:tcBorders>
            <w:noWrap/>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P97.5</w:t>
            </w:r>
          </w:p>
        </w:tc>
        <w:tc>
          <w:tcPr>
            <w:tcW w:w="858" w:type="pct"/>
            <w:tcBorders>
              <w:left w:val="none" w:sz="0" w:space="0" w:color="auto"/>
              <w:right w:val="none" w:sz="0" w:space="0" w:color="auto"/>
            </w:tcBorders>
            <w:noWrap/>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5</w:t>
            </w:r>
          </w:p>
        </w:tc>
        <w:tc>
          <w:tcPr>
            <w:tcW w:w="849" w:type="pct"/>
            <w:tcBorders>
              <w:left w:val="none" w:sz="0" w:space="0" w:color="auto"/>
            </w:tcBorders>
            <w:noWrap/>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45</w:t>
            </w:r>
          </w:p>
        </w:tc>
      </w:tr>
      <w:tr w:rsidR="00391A6C" w:rsidRPr="00442360"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tcBorders>
              <w:right w:val="none" w:sz="0" w:space="0" w:color="auto"/>
            </w:tcBorders>
            <w:noWrap/>
          </w:tcPr>
          <w:p w:rsidR="00391A6C" w:rsidRPr="00442360" w:rsidRDefault="00391A6C" w:rsidP="00A40AEA">
            <w:pPr>
              <w:rPr>
                <w:rFonts w:cs="Arial"/>
                <w:sz w:val="20"/>
                <w:szCs w:val="20"/>
              </w:rPr>
            </w:pPr>
            <w:r w:rsidRPr="00442360">
              <w:rPr>
                <w:rFonts w:cs="Arial"/>
                <w:sz w:val="20"/>
                <w:szCs w:val="20"/>
              </w:rPr>
              <w:t>Linseed oil</w:t>
            </w:r>
          </w:p>
        </w:tc>
        <w:tc>
          <w:tcPr>
            <w:tcW w:w="695" w:type="pct"/>
            <w:tcBorders>
              <w:left w:val="none" w:sz="0" w:space="0" w:color="auto"/>
              <w:righ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7</w:t>
            </w:r>
          </w:p>
        </w:tc>
        <w:tc>
          <w:tcPr>
            <w:tcW w:w="763" w:type="pct"/>
            <w:tcBorders>
              <w:left w:val="none" w:sz="0" w:space="0" w:color="auto"/>
              <w:righ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P50</w:t>
            </w:r>
          </w:p>
        </w:tc>
        <w:tc>
          <w:tcPr>
            <w:tcW w:w="858" w:type="pct"/>
            <w:tcBorders>
              <w:left w:val="none" w:sz="0" w:space="0" w:color="auto"/>
              <w:righ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13</w:t>
            </w:r>
          </w:p>
        </w:tc>
        <w:tc>
          <w:tcPr>
            <w:tcW w:w="849" w:type="pct"/>
            <w:tcBorders>
              <w:left w:val="none" w:sz="0" w:space="0" w:color="auto"/>
            </w:tcBorders>
            <w:noWrap/>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3</w:t>
            </w:r>
          </w:p>
        </w:tc>
      </w:tr>
      <w:tr w:rsidR="00391A6C" w:rsidRPr="00442360"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tcBorders>
              <w:right w:val="none" w:sz="0" w:space="0" w:color="auto"/>
            </w:tcBorders>
            <w:noWrap/>
            <w:hideMark/>
          </w:tcPr>
          <w:p w:rsidR="00391A6C" w:rsidRPr="00442360" w:rsidRDefault="00391A6C" w:rsidP="00A40AEA">
            <w:pPr>
              <w:rPr>
                <w:rFonts w:cs="Arial"/>
                <w:sz w:val="20"/>
                <w:szCs w:val="20"/>
              </w:rPr>
            </w:pPr>
            <w:r w:rsidRPr="00442360">
              <w:rPr>
                <w:rFonts w:cs="Arial"/>
                <w:sz w:val="20"/>
                <w:szCs w:val="20"/>
              </w:rPr>
              <w:t>LSA mix</w:t>
            </w:r>
          </w:p>
        </w:tc>
        <w:tc>
          <w:tcPr>
            <w:tcW w:w="695" w:type="pct"/>
            <w:tcBorders>
              <w:left w:val="none" w:sz="0" w:space="0" w:color="auto"/>
              <w:right w:val="none" w:sz="0" w:space="0" w:color="auto"/>
            </w:tcBorders>
            <w:noWrap/>
            <w:hideMark/>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1</w:t>
            </w:r>
          </w:p>
        </w:tc>
        <w:tc>
          <w:tcPr>
            <w:tcW w:w="763" w:type="pct"/>
            <w:tcBorders>
              <w:left w:val="none" w:sz="0" w:space="0" w:color="auto"/>
              <w:right w:val="none" w:sz="0" w:space="0" w:color="auto"/>
            </w:tcBorders>
            <w:noWrap/>
            <w:hideMark/>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P50</w:t>
            </w:r>
          </w:p>
        </w:tc>
        <w:tc>
          <w:tcPr>
            <w:tcW w:w="858" w:type="pct"/>
            <w:tcBorders>
              <w:left w:val="none" w:sz="0" w:space="0" w:color="auto"/>
              <w:right w:val="none" w:sz="0" w:space="0" w:color="auto"/>
            </w:tcBorders>
            <w:noWrap/>
            <w:hideMark/>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5</w:t>
            </w:r>
          </w:p>
        </w:tc>
        <w:tc>
          <w:tcPr>
            <w:tcW w:w="849" w:type="pct"/>
            <w:tcBorders>
              <w:left w:val="none" w:sz="0" w:space="0" w:color="auto"/>
            </w:tcBorders>
            <w:noWrap/>
            <w:hideMark/>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16</w:t>
            </w:r>
          </w:p>
        </w:tc>
      </w:tr>
      <w:tr w:rsidR="00391A6C" w:rsidRPr="00442360"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tcBorders>
              <w:right w:val="none" w:sz="0" w:space="0" w:color="auto"/>
            </w:tcBorders>
            <w:noWrap/>
            <w:hideMark/>
          </w:tcPr>
          <w:p w:rsidR="00391A6C" w:rsidRPr="00442360" w:rsidRDefault="00391A6C" w:rsidP="00A40AEA">
            <w:pPr>
              <w:rPr>
                <w:rFonts w:cs="Arial"/>
                <w:sz w:val="20"/>
                <w:szCs w:val="20"/>
              </w:rPr>
            </w:pPr>
            <w:r w:rsidRPr="00442360">
              <w:rPr>
                <w:rFonts w:cs="Arial"/>
                <w:sz w:val="20"/>
                <w:szCs w:val="20"/>
              </w:rPr>
              <w:t>Marzipan</w:t>
            </w:r>
          </w:p>
        </w:tc>
        <w:tc>
          <w:tcPr>
            <w:tcW w:w="695" w:type="pct"/>
            <w:tcBorders>
              <w:left w:val="none" w:sz="0" w:space="0" w:color="auto"/>
              <w:right w:val="none" w:sz="0" w:space="0" w:color="auto"/>
            </w:tcBorders>
            <w:noWrap/>
            <w:hideMark/>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0</w:t>
            </w:r>
          </w:p>
        </w:tc>
        <w:tc>
          <w:tcPr>
            <w:tcW w:w="763" w:type="pct"/>
            <w:tcBorders>
              <w:left w:val="none" w:sz="0" w:space="0" w:color="auto"/>
              <w:right w:val="none" w:sz="0" w:space="0" w:color="auto"/>
            </w:tcBorders>
            <w:noWrap/>
            <w:hideMark/>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858" w:type="pct"/>
            <w:tcBorders>
              <w:left w:val="none" w:sz="0" w:space="0" w:color="auto"/>
              <w:right w:val="none" w:sz="0" w:space="0" w:color="auto"/>
            </w:tcBorders>
            <w:noWrap/>
            <w:hideMark/>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NC</w:t>
            </w:r>
          </w:p>
        </w:tc>
        <w:tc>
          <w:tcPr>
            <w:tcW w:w="849" w:type="pct"/>
            <w:tcBorders>
              <w:left w:val="none" w:sz="0" w:space="0" w:color="auto"/>
            </w:tcBorders>
            <w:noWrap/>
            <w:hideMark/>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91A6C" w:rsidRPr="00442360"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tcBorders>
              <w:right w:val="none" w:sz="0" w:space="0" w:color="auto"/>
            </w:tcBorders>
            <w:noWrap/>
            <w:hideMark/>
          </w:tcPr>
          <w:p w:rsidR="00391A6C" w:rsidRPr="00442360" w:rsidRDefault="00391A6C" w:rsidP="00A40AEA">
            <w:pPr>
              <w:rPr>
                <w:rFonts w:cs="Arial"/>
                <w:sz w:val="20"/>
                <w:szCs w:val="20"/>
              </w:rPr>
            </w:pPr>
            <w:r w:rsidRPr="00442360">
              <w:rPr>
                <w:rFonts w:cs="Arial"/>
                <w:sz w:val="20"/>
                <w:szCs w:val="20"/>
              </w:rPr>
              <w:t>Passionfruit</w:t>
            </w:r>
          </w:p>
        </w:tc>
        <w:tc>
          <w:tcPr>
            <w:tcW w:w="695" w:type="pct"/>
            <w:tcBorders>
              <w:left w:val="none" w:sz="0" w:space="0" w:color="auto"/>
              <w:right w:val="none" w:sz="0" w:space="0" w:color="auto"/>
            </w:tcBorders>
            <w:noWrap/>
            <w:hideMark/>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336</w:t>
            </w:r>
          </w:p>
        </w:tc>
        <w:tc>
          <w:tcPr>
            <w:tcW w:w="763" w:type="pct"/>
            <w:tcBorders>
              <w:left w:val="none" w:sz="0" w:space="0" w:color="auto"/>
              <w:right w:val="none" w:sz="0" w:space="0" w:color="auto"/>
            </w:tcBorders>
            <w:noWrap/>
            <w:hideMark/>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P97.5</w:t>
            </w:r>
          </w:p>
        </w:tc>
        <w:tc>
          <w:tcPr>
            <w:tcW w:w="858" w:type="pct"/>
            <w:tcBorders>
              <w:left w:val="none" w:sz="0" w:space="0" w:color="auto"/>
              <w:right w:val="none" w:sz="0" w:space="0" w:color="auto"/>
            </w:tcBorders>
            <w:noWrap/>
            <w:hideMark/>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45</w:t>
            </w:r>
          </w:p>
        </w:tc>
        <w:tc>
          <w:tcPr>
            <w:tcW w:w="849" w:type="pct"/>
            <w:tcBorders>
              <w:left w:val="none" w:sz="0" w:space="0" w:color="auto"/>
            </w:tcBorders>
            <w:noWrap/>
            <w:hideMark/>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16</w:t>
            </w:r>
          </w:p>
        </w:tc>
      </w:tr>
      <w:tr w:rsidR="00391A6C" w:rsidRPr="00442360"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tcBorders>
              <w:right w:val="none" w:sz="0" w:space="0" w:color="auto"/>
            </w:tcBorders>
            <w:noWrap/>
            <w:hideMark/>
          </w:tcPr>
          <w:p w:rsidR="00391A6C" w:rsidRPr="00442360" w:rsidRDefault="00391A6C" w:rsidP="00A40AEA">
            <w:pPr>
              <w:rPr>
                <w:rFonts w:cs="Arial"/>
                <w:sz w:val="20"/>
                <w:szCs w:val="20"/>
              </w:rPr>
            </w:pPr>
            <w:r w:rsidRPr="00442360">
              <w:rPr>
                <w:rFonts w:cs="Arial"/>
                <w:sz w:val="20"/>
                <w:szCs w:val="20"/>
              </w:rPr>
              <w:t>Prune juice</w:t>
            </w:r>
          </w:p>
        </w:tc>
        <w:tc>
          <w:tcPr>
            <w:tcW w:w="695" w:type="pct"/>
            <w:tcBorders>
              <w:left w:val="none" w:sz="0" w:space="0" w:color="auto"/>
              <w:right w:val="none" w:sz="0" w:space="0" w:color="auto"/>
            </w:tcBorders>
            <w:noWrap/>
            <w:hideMark/>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8</w:t>
            </w:r>
          </w:p>
        </w:tc>
        <w:tc>
          <w:tcPr>
            <w:tcW w:w="763" w:type="pct"/>
            <w:tcBorders>
              <w:left w:val="none" w:sz="0" w:space="0" w:color="auto"/>
              <w:right w:val="none" w:sz="0" w:space="0" w:color="auto"/>
            </w:tcBorders>
            <w:noWrap/>
            <w:hideMark/>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P50</w:t>
            </w:r>
          </w:p>
        </w:tc>
        <w:tc>
          <w:tcPr>
            <w:tcW w:w="858" w:type="pct"/>
            <w:tcBorders>
              <w:left w:val="none" w:sz="0" w:space="0" w:color="auto"/>
              <w:right w:val="none" w:sz="0" w:space="0" w:color="auto"/>
            </w:tcBorders>
            <w:noWrap/>
            <w:hideMark/>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157</w:t>
            </w:r>
          </w:p>
        </w:tc>
        <w:tc>
          <w:tcPr>
            <w:tcW w:w="849" w:type="pct"/>
            <w:tcBorders>
              <w:left w:val="none" w:sz="0" w:space="0" w:color="auto"/>
            </w:tcBorders>
            <w:noWrap/>
            <w:hideMark/>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33</w:t>
            </w:r>
          </w:p>
        </w:tc>
      </w:tr>
      <w:tr w:rsidR="00391A6C" w:rsidRPr="00442360"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tcBorders>
              <w:right w:val="none" w:sz="0" w:space="0" w:color="auto"/>
            </w:tcBorders>
            <w:noWrap/>
            <w:hideMark/>
          </w:tcPr>
          <w:p w:rsidR="00391A6C" w:rsidRPr="00442360" w:rsidRDefault="00391A6C" w:rsidP="00A40AEA">
            <w:pPr>
              <w:rPr>
                <w:rFonts w:cs="Arial"/>
                <w:sz w:val="20"/>
                <w:szCs w:val="20"/>
              </w:rPr>
            </w:pPr>
            <w:r w:rsidRPr="00442360">
              <w:rPr>
                <w:rFonts w:cs="Arial"/>
                <w:sz w:val="20"/>
                <w:szCs w:val="20"/>
              </w:rPr>
              <w:t>Pumpkin seed</w:t>
            </w:r>
            <w:r>
              <w:rPr>
                <w:rFonts w:cs="Arial"/>
                <w:sz w:val="20"/>
                <w:szCs w:val="20"/>
              </w:rPr>
              <w:t>s</w:t>
            </w:r>
          </w:p>
        </w:tc>
        <w:tc>
          <w:tcPr>
            <w:tcW w:w="695" w:type="pct"/>
            <w:tcBorders>
              <w:left w:val="none" w:sz="0" w:space="0" w:color="auto"/>
              <w:right w:val="none" w:sz="0" w:space="0" w:color="auto"/>
            </w:tcBorders>
            <w:noWrap/>
            <w:hideMark/>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21</w:t>
            </w:r>
          </w:p>
        </w:tc>
        <w:tc>
          <w:tcPr>
            <w:tcW w:w="763" w:type="pct"/>
            <w:tcBorders>
              <w:left w:val="none" w:sz="0" w:space="0" w:color="auto"/>
              <w:right w:val="none" w:sz="0" w:space="0" w:color="auto"/>
            </w:tcBorders>
            <w:noWrap/>
            <w:hideMark/>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P50</w:t>
            </w:r>
          </w:p>
        </w:tc>
        <w:tc>
          <w:tcPr>
            <w:tcW w:w="858" w:type="pct"/>
            <w:tcBorders>
              <w:left w:val="none" w:sz="0" w:space="0" w:color="auto"/>
              <w:right w:val="none" w:sz="0" w:space="0" w:color="auto"/>
            </w:tcBorders>
            <w:noWrap/>
            <w:hideMark/>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3</w:t>
            </w:r>
          </w:p>
        </w:tc>
        <w:tc>
          <w:tcPr>
            <w:tcW w:w="849" w:type="pct"/>
            <w:tcBorders>
              <w:left w:val="none" w:sz="0" w:space="0" w:color="auto"/>
            </w:tcBorders>
            <w:noWrap/>
            <w:hideMark/>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&lt;1</w:t>
            </w:r>
          </w:p>
        </w:tc>
      </w:tr>
      <w:tr w:rsidR="00391A6C" w:rsidRPr="00442360"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tcBorders>
              <w:right w:val="none" w:sz="0" w:space="0" w:color="auto"/>
            </w:tcBorders>
            <w:noWrap/>
            <w:hideMark/>
          </w:tcPr>
          <w:p w:rsidR="00391A6C" w:rsidRPr="00442360" w:rsidRDefault="00391A6C" w:rsidP="00A40AEA">
            <w:pPr>
              <w:rPr>
                <w:rFonts w:cs="Arial"/>
                <w:sz w:val="20"/>
                <w:szCs w:val="20"/>
              </w:rPr>
            </w:pPr>
            <w:r w:rsidRPr="00442360">
              <w:rPr>
                <w:rFonts w:cs="Arial"/>
                <w:sz w:val="20"/>
                <w:szCs w:val="20"/>
              </w:rPr>
              <w:t>Spinach</w:t>
            </w:r>
          </w:p>
        </w:tc>
        <w:tc>
          <w:tcPr>
            <w:tcW w:w="695" w:type="pct"/>
            <w:tcBorders>
              <w:left w:val="none" w:sz="0" w:space="0" w:color="auto"/>
              <w:right w:val="none" w:sz="0" w:space="0" w:color="auto"/>
            </w:tcBorders>
            <w:noWrap/>
            <w:hideMark/>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96</w:t>
            </w:r>
          </w:p>
        </w:tc>
        <w:tc>
          <w:tcPr>
            <w:tcW w:w="763" w:type="pct"/>
            <w:tcBorders>
              <w:left w:val="none" w:sz="0" w:space="0" w:color="auto"/>
              <w:right w:val="none" w:sz="0" w:space="0" w:color="auto"/>
            </w:tcBorders>
            <w:noWrap/>
            <w:hideMark/>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P97.5</w:t>
            </w:r>
          </w:p>
        </w:tc>
        <w:tc>
          <w:tcPr>
            <w:tcW w:w="858" w:type="pct"/>
            <w:tcBorders>
              <w:left w:val="none" w:sz="0" w:space="0" w:color="auto"/>
              <w:right w:val="none" w:sz="0" w:space="0" w:color="auto"/>
            </w:tcBorders>
            <w:noWrap/>
            <w:hideMark/>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183</w:t>
            </w:r>
          </w:p>
        </w:tc>
        <w:tc>
          <w:tcPr>
            <w:tcW w:w="849" w:type="pct"/>
            <w:tcBorders>
              <w:left w:val="none" w:sz="0" w:space="0" w:color="auto"/>
            </w:tcBorders>
            <w:noWrap/>
            <w:hideMark/>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39</w:t>
            </w:r>
          </w:p>
        </w:tc>
      </w:tr>
      <w:tr w:rsidR="00391A6C" w:rsidRPr="00442360"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tcBorders>
              <w:right w:val="none" w:sz="0" w:space="0" w:color="auto"/>
            </w:tcBorders>
            <w:noWrap/>
            <w:hideMark/>
          </w:tcPr>
          <w:p w:rsidR="00391A6C" w:rsidRPr="00442360" w:rsidRDefault="00391A6C" w:rsidP="00A40AEA">
            <w:pPr>
              <w:rPr>
                <w:rFonts w:cs="Arial"/>
                <w:sz w:val="20"/>
                <w:szCs w:val="20"/>
              </w:rPr>
            </w:pPr>
            <w:r w:rsidRPr="00442360">
              <w:rPr>
                <w:rFonts w:cs="Arial"/>
                <w:sz w:val="20"/>
                <w:szCs w:val="20"/>
              </w:rPr>
              <w:t>Sunflower seed</w:t>
            </w:r>
            <w:r>
              <w:rPr>
                <w:rFonts w:cs="Arial"/>
                <w:sz w:val="20"/>
                <w:szCs w:val="20"/>
              </w:rPr>
              <w:t>s</w:t>
            </w:r>
          </w:p>
        </w:tc>
        <w:tc>
          <w:tcPr>
            <w:tcW w:w="695" w:type="pct"/>
            <w:tcBorders>
              <w:left w:val="none" w:sz="0" w:space="0" w:color="auto"/>
              <w:right w:val="none" w:sz="0" w:space="0" w:color="auto"/>
            </w:tcBorders>
            <w:noWrap/>
            <w:hideMark/>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245</w:t>
            </w:r>
          </w:p>
        </w:tc>
        <w:tc>
          <w:tcPr>
            <w:tcW w:w="763" w:type="pct"/>
            <w:tcBorders>
              <w:left w:val="none" w:sz="0" w:space="0" w:color="auto"/>
              <w:right w:val="none" w:sz="0" w:space="0" w:color="auto"/>
            </w:tcBorders>
            <w:noWrap/>
            <w:hideMark/>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P97.5</w:t>
            </w:r>
          </w:p>
        </w:tc>
        <w:tc>
          <w:tcPr>
            <w:tcW w:w="858" w:type="pct"/>
            <w:tcBorders>
              <w:left w:val="none" w:sz="0" w:space="0" w:color="auto"/>
              <w:right w:val="none" w:sz="0" w:space="0" w:color="auto"/>
            </w:tcBorders>
            <w:noWrap/>
            <w:hideMark/>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12</w:t>
            </w:r>
          </w:p>
        </w:tc>
        <w:tc>
          <w:tcPr>
            <w:tcW w:w="849" w:type="pct"/>
            <w:tcBorders>
              <w:left w:val="none" w:sz="0" w:space="0" w:color="auto"/>
            </w:tcBorders>
            <w:noWrap/>
            <w:hideMark/>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2</w:t>
            </w:r>
          </w:p>
        </w:tc>
      </w:tr>
      <w:tr w:rsidR="00391A6C" w:rsidRPr="00442360"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tcBorders>
              <w:right w:val="none" w:sz="0" w:space="0" w:color="auto"/>
            </w:tcBorders>
            <w:noWrap/>
            <w:hideMark/>
          </w:tcPr>
          <w:p w:rsidR="00391A6C" w:rsidRPr="00442360" w:rsidRDefault="00391A6C" w:rsidP="00A40AEA">
            <w:pPr>
              <w:rPr>
                <w:rFonts w:cs="Arial"/>
                <w:sz w:val="20"/>
                <w:szCs w:val="20"/>
              </w:rPr>
            </w:pPr>
            <w:r w:rsidRPr="00442360">
              <w:rPr>
                <w:rFonts w:cs="Arial"/>
                <w:sz w:val="20"/>
                <w:szCs w:val="20"/>
              </w:rPr>
              <w:t>Taro</w:t>
            </w:r>
            <w:r>
              <w:rPr>
                <w:rFonts w:cs="Arial"/>
                <w:sz w:val="20"/>
                <w:szCs w:val="20"/>
              </w:rPr>
              <w:t>,</w:t>
            </w:r>
            <w:r w:rsidRPr="00442360">
              <w:rPr>
                <w:rFonts w:cs="Arial"/>
                <w:sz w:val="20"/>
                <w:szCs w:val="20"/>
              </w:rPr>
              <w:t xml:space="preserve"> in mixed foods</w:t>
            </w:r>
          </w:p>
        </w:tc>
        <w:tc>
          <w:tcPr>
            <w:tcW w:w="695" w:type="pct"/>
            <w:tcBorders>
              <w:left w:val="none" w:sz="0" w:space="0" w:color="auto"/>
              <w:right w:val="none" w:sz="0" w:space="0" w:color="auto"/>
            </w:tcBorders>
            <w:noWrap/>
            <w:hideMark/>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NC</w:t>
            </w:r>
          </w:p>
        </w:tc>
        <w:tc>
          <w:tcPr>
            <w:tcW w:w="763" w:type="pct"/>
            <w:tcBorders>
              <w:left w:val="none" w:sz="0" w:space="0" w:color="auto"/>
              <w:right w:val="none" w:sz="0" w:space="0" w:color="auto"/>
            </w:tcBorders>
            <w:noWrap/>
            <w:hideMark/>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NC</w:t>
            </w:r>
          </w:p>
        </w:tc>
        <w:tc>
          <w:tcPr>
            <w:tcW w:w="858" w:type="pct"/>
            <w:tcBorders>
              <w:left w:val="none" w:sz="0" w:space="0" w:color="auto"/>
              <w:right w:val="none" w:sz="0" w:space="0" w:color="auto"/>
            </w:tcBorders>
            <w:noWrap/>
            <w:hideMark/>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NC</w:t>
            </w:r>
          </w:p>
        </w:tc>
        <w:tc>
          <w:tcPr>
            <w:tcW w:w="849" w:type="pct"/>
            <w:tcBorders>
              <w:left w:val="none" w:sz="0" w:space="0" w:color="auto"/>
            </w:tcBorders>
            <w:noWrap/>
            <w:hideMark/>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NC</w:t>
            </w:r>
          </w:p>
        </w:tc>
      </w:tr>
      <w:tr w:rsidR="00391A6C" w:rsidRPr="00442360"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tcBorders>
              <w:right w:val="none" w:sz="0" w:space="0" w:color="auto"/>
            </w:tcBorders>
            <w:noWrap/>
            <w:hideMark/>
          </w:tcPr>
          <w:p w:rsidR="00391A6C" w:rsidRPr="00442360" w:rsidRDefault="00391A6C" w:rsidP="00A40AEA">
            <w:pPr>
              <w:rPr>
                <w:rFonts w:cs="Arial"/>
                <w:sz w:val="20"/>
                <w:szCs w:val="20"/>
              </w:rPr>
            </w:pPr>
            <w:r w:rsidRPr="00442360">
              <w:rPr>
                <w:rFonts w:cs="Arial"/>
                <w:sz w:val="20"/>
                <w:szCs w:val="20"/>
              </w:rPr>
              <w:t>Taro</w:t>
            </w:r>
            <w:r>
              <w:rPr>
                <w:rFonts w:cs="Arial"/>
                <w:sz w:val="20"/>
                <w:szCs w:val="20"/>
              </w:rPr>
              <w:t>,</w:t>
            </w:r>
            <w:r w:rsidRPr="00442360">
              <w:rPr>
                <w:rFonts w:cs="Arial"/>
                <w:sz w:val="20"/>
                <w:szCs w:val="20"/>
              </w:rPr>
              <w:t xml:space="preserve"> leaves only</w:t>
            </w:r>
          </w:p>
        </w:tc>
        <w:tc>
          <w:tcPr>
            <w:tcW w:w="695" w:type="pct"/>
            <w:tcBorders>
              <w:left w:val="none" w:sz="0" w:space="0" w:color="auto"/>
              <w:right w:val="none" w:sz="0" w:space="0" w:color="auto"/>
            </w:tcBorders>
            <w:noWrap/>
            <w:hideMark/>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NC</w:t>
            </w:r>
          </w:p>
        </w:tc>
        <w:tc>
          <w:tcPr>
            <w:tcW w:w="763" w:type="pct"/>
            <w:tcBorders>
              <w:left w:val="none" w:sz="0" w:space="0" w:color="auto"/>
              <w:right w:val="none" w:sz="0" w:space="0" w:color="auto"/>
            </w:tcBorders>
            <w:noWrap/>
            <w:hideMark/>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NC</w:t>
            </w:r>
          </w:p>
        </w:tc>
        <w:tc>
          <w:tcPr>
            <w:tcW w:w="858" w:type="pct"/>
            <w:tcBorders>
              <w:left w:val="none" w:sz="0" w:space="0" w:color="auto"/>
              <w:right w:val="none" w:sz="0" w:space="0" w:color="auto"/>
            </w:tcBorders>
            <w:noWrap/>
            <w:hideMark/>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NC</w:t>
            </w:r>
          </w:p>
        </w:tc>
        <w:tc>
          <w:tcPr>
            <w:tcW w:w="849" w:type="pct"/>
            <w:tcBorders>
              <w:left w:val="none" w:sz="0" w:space="0" w:color="auto"/>
            </w:tcBorders>
            <w:noWrap/>
            <w:hideMark/>
          </w:tcPr>
          <w:p w:rsidR="00391A6C" w:rsidRPr="00442360"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442360">
              <w:rPr>
                <w:rFonts w:cs="Arial"/>
                <w:sz w:val="20"/>
                <w:szCs w:val="20"/>
              </w:rPr>
              <w:t>NC</w:t>
            </w:r>
          </w:p>
        </w:tc>
      </w:tr>
      <w:tr w:rsidR="00391A6C" w:rsidRPr="00442360"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tcBorders>
              <w:right w:val="none" w:sz="0" w:space="0" w:color="auto"/>
            </w:tcBorders>
            <w:noWrap/>
            <w:hideMark/>
          </w:tcPr>
          <w:p w:rsidR="00391A6C" w:rsidRPr="00442360" w:rsidRDefault="00391A6C" w:rsidP="00A40AEA">
            <w:pPr>
              <w:rPr>
                <w:rFonts w:cs="Arial"/>
                <w:sz w:val="20"/>
                <w:szCs w:val="20"/>
              </w:rPr>
            </w:pPr>
            <w:r w:rsidRPr="00442360">
              <w:rPr>
                <w:rFonts w:cs="Arial"/>
                <w:sz w:val="20"/>
                <w:szCs w:val="20"/>
              </w:rPr>
              <w:t>Vine leaves, stuffed, canned</w:t>
            </w:r>
          </w:p>
        </w:tc>
        <w:tc>
          <w:tcPr>
            <w:tcW w:w="695" w:type="pct"/>
            <w:tcBorders>
              <w:left w:val="none" w:sz="0" w:space="0" w:color="auto"/>
              <w:right w:val="none" w:sz="0" w:space="0" w:color="auto"/>
            </w:tcBorders>
            <w:noWrap/>
            <w:hideMark/>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1</w:t>
            </w:r>
          </w:p>
        </w:tc>
        <w:tc>
          <w:tcPr>
            <w:tcW w:w="763" w:type="pct"/>
            <w:tcBorders>
              <w:left w:val="none" w:sz="0" w:space="0" w:color="auto"/>
              <w:right w:val="none" w:sz="0" w:space="0" w:color="auto"/>
            </w:tcBorders>
            <w:noWrap/>
            <w:hideMark/>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P50</w:t>
            </w:r>
          </w:p>
        </w:tc>
        <w:tc>
          <w:tcPr>
            <w:tcW w:w="858" w:type="pct"/>
            <w:tcBorders>
              <w:left w:val="none" w:sz="0" w:space="0" w:color="auto"/>
              <w:right w:val="none" w:sz="0" w:space="0" w:color="auto"/>
            </w:tcBorders>
            <w:noWrap/>
            <w:hideMark/>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240</w:t>
            </w:r>
          </w:p>
        </w:tc>
        <w:tc>
          <w:tcPr>
            <w:tcW w:w="849" w:type="pct"/>
            <w:tcBorders>
              <w:left w:val="none" w:sz="0" w:space="0" w:color="auto"/>
            </w:tcBorders>
            <w:noWrap/>
            <w:hideMark/>
          </w:tcPr>
          <w:p w:rsidR="00391A6C" w:rsidRPr="00442360"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42360">
              <w:rPr>
                <w:rFonts w:cs="Arial"/>
                <w:sz w:val="20"/>
                <w:szCs w:val="20"/>
              </w:rPr>
              <w:t>51</w:t>
            </w:r>
          </w:p>
        </w:tc>
      </w:tr>
    </w:tbl>
    <w:p w:rsidR="00391A6C" w:rsidRDefault="00391A6C" w:rsidP="00391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0644A3">
        <w:rPr>
          <w:rFonts w:cs="Arial"/>
          <w:sz w:val="18"/>
          <w:szCs w:val="18"/>
        </w:rPr>
        <w:t>NC = not consumed.</w:t>
      </w:r>
    </w:p>
    <w:p w:rsidR="00391A6C" w:rsidRPr="0036079D" w:rsidRDefault="00391A6C" w:rsidP="00391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18"/>
          <w:szCs w:val="18"/>
        </w:rPr>
      </w:pPr>
      <w:r w:rsidRPr="0036079D">
        <w:rPr>
          <w:rFonts w:cs="Arial"/>
          <w:sz w:val="18"/>
          <w:szCs w:val="18"/>
          <w:vertAlign w:val="superscript"/>
        </w:rPr>
        <w:t xml:space="preserve">a </w:t>
      </w:r>
      <w:r w:rsidRPr="0036079D">
        <w:rPr>
          <w:rFonts w:cs="Arial"/>
          <w:color w:val="000000"/>
          <w:sz w:val="18"/>
          <w:szCs w:val="18"/>
        </w:rPr>
        <w:t>Survey 2, EU method.</w:t>
      </w:r>
    </w:p>
    <w:p w:rsidR="00391A6C" w:rsidRPr="0036079D" w:rsidRDefault="00391A6C" w:rsidP="00391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36079D">
        <w:rPr>
          <w:rFonts w:cs="Arial"/>
          <w:color w:val="000000"/>
          <w:sz w:val="18"/>
          <w:szCs w:val="18"/>
          <w:vertAlign w:val="superscript"/>
        </w:rPr>
        <w:t>b</w:t>
      </w:r>
      <w:r w:rsidRPr="0036079D">
        <w:rPr>
          <w:rFonts w:cs="Arial"/>
          <w:color w:val="000000"/>
          <w:sz w:val="18"/>
          <w:szCs w:val="18"/>
        </w:rPr>
        <w:t xml:space="preserve"> </w:t>
      </w:r>
      <w:r w:rsidRPr="0036079D">
        <w:rPr>
          <w:rFonts w:cs="Arial"/>
          <w:sz w:val="18"/>
          <w:szCs w:val="18"/>
        </w:rPr>
        <w:t>Survey 1.</w:t>
      </w:r>
    </w:p>
    <w:p w:rsidR="00391A6C" w:rsidRDefault="00391A6C" w:rsidP="00391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 w:val="18"/>
          <w:szCs w:val="18"/>
        </w:rPr>
      </w:pPr>
      <w:r w:rsidRPr="0036079D">
        <w:rPr>
          <w:rFonts w:cs="Arial"/>
          <w:sz w:val="18"/>
          <w:szCs w:val="18"/>
          <w:vertAlign w:val="superscript"/>
        </w:rPr>
        <w:t>c</w:t>
      </w:r>
      <w:r w:rsidRPr="0036079D">
        <w:rPr>
          <w:rFonts w:cs="Arial"/>
          <w:sz w:val="18"/>
          <w:szCs w:val="18"/>
        </w:rPr>
        <w:t xml:space="preserve"> </w:t>
      </w:r>
      <w:r w:rsidRPr="0036079D">
        <w:rPr>
          <w:rFonts w:cs="Arial"/>
          <w:bCs/>
          <w:sz w:val="18"/>
          <w:szCs w:val="18"/>
        </w:rPr>
        <w:t>Survey 3, sweet</w:t>
      </w:r>
      <w:r w:rsidR="003F1E1D">
        <w:rPr>
          <w:rFonts w:cs="Arial"/>
          <w:bCs/>
          <w:sz w:val="18"/>
          <w:szCs w:val="18"/>
        </w:rPr>
        <w:t xml:space="preserve"> cassava</w:t>
      </w:r>
      <w:r w:rsidRPr="0036079D">
        <w:rPr>
          <w:rFonts w:cs="Arial"/>
          <w:bCs/>
          <w:sz w:val="18"/>
          <w:szCs w:val="18"/>
        </w:rPr>
        <w:t xml:space="preserve"> only.</w:t>
      </w:r>
    </w:p>
    <w:p w:rsidR="00AB6F48" w:rsidRPr="0036079D" w:rsidRDefault="00AB6F48" w:rsidP="00391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AB6F48">
        <w:rPr>
          <w:rFonts w:cs="Arial"/>
          <w:bCs/>
          <w:sz w:val="18"/>
          <w:szCs w:val="18"/>
          <w:vertAlign w:val="superscript"/>
        </w:rPr>
        <w:t>d</w:t>
      </w:r>
      <w:r>
        <w:rPr>
          <w:rFonts w:cs="Arial"/>
          <w:bCs/>
          <w:sz w:val="18"/>
          <w:szCs w:val="18"/>
        </w:rPr>
        <w:t xml:space="preserve"> Consumption level based on </w:t>
      </w:r>
      <w:r w:rsidRPr="00AB6F48">
        <w:rPr>
          <w:rFonts w:cs="Arial"/>
          <w:bCs/>
          <w:sz w:val="18"/>
          <w:szCs w:val="18"/>
        </w:rPr>
        <w:t>recommended serves/recommended maximum consumption levels</w:t>
      </w:r>
      <w:r>
        <w:rPr>
          <w:rFonts w:cs="Arial"/>
          <w:bCs/>
          <w:sz w:val="18"/>
          <w:szCs w:val="18"/>
        </w:rPr>
        <w:t xml:space="preserve">. </w:t>
      </w:r>
    </w:p>
    <w:p w:rsidR="00391A6C" w:rsidRPr="0036079D" w:rsidRDefault="00391A6C" w:rsidP="00391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p>
    <w:p w:rsidR="00391A6C" w:rsidRDefault="00391A6C" w:rsidP="00391A6C">
      <w:pPr>
        <w:rPr>
          <w:rFonts w:cs="Arial"/>
          <w:b/>
        </w:rPr>
      </w:pPr>
      <w:bookmarkStart w:id="234" w:name="_Ref337564504"/>
      <w:r>
        <w:br w:type="page"/>
      </w:r>
    </w:p>
    <w:bookmarkEnd w:id="234"/>
    <w:p w:rsidR="00391A6C" w:rsidRPr="0064728F" w:rsidRDefault="00F57293" w:rsidP="0064728F">
      <w:pPr>
        <w:rPr>
          <w:rFonts w:asciiTheme="minorHAnsi" w:hAnsiTheme="minorHAnsi"/>
          <w:b/>
        </w:rPr>
      </w:pPr>
      <w:r w:rsidRPr="0064728F">
        <w:rPr>
          <w:rFonts w:asciiTheme="minorHAnsi" w:hAnsiTheme="minorHAnsi"/>
          <w:b/>
        </w:rPr>
        <w:lastRenderedPageBreak/>
        <w:t xml:space="preserve">Table A10.3. </w:t>
      </w:r>
      <w:r w:rsidR="00391A6C" w:rsidRPr="0064728F">
        <w:rPr>
          <w:rFonts w:asciiTheme="minorHAnsi" w:hAnsiTheme="minorHAnsi"/>
          <w:b/>
        </w:rPr>
        <w:t>Estimated acute dietary exposures to total HCN for Australian children aged 2-16 years</w:t>
      </w:r>
    </w:p>
    <w:tbl>
      <w:tblPr>
        <w:tblStyle w:val="MediumShading1-Accent1"/>
        <w:tblW w:w="9214" w:type="dxa"/>
        <w:tblBorders>
          <w:insideV w:val="single" w:sz="8" w:space="0" w:color="7BA0CD" w:themeColor="accent1" w:themeTint="BF"/>
        </w:tblBorders>
        <w:tblLayout w:type="fixed"/>
        <w:tblLook w:val="04A0" w:firstRow="1" w:lastRow="0" w:firstColumn="1" w:lastColumn="0" w:noHBand="0" w:noVBand="1"/>
      </w:tblPr>
      <w:tblGrid>
        <w:gridCol w:w="3402"/>
        <w:gridCol w:w="1276"/>
        <w:gridCol w:w="1418"/>
        <w:gridCol w:w="1559"/>
        <w:gridCol w:w="1559"/>
      </w:tblGrid>
      <w:tr w:rsidR="00391A6C" w:rsidRPr="00A93CEE" w:rsidTr="00A40AEA">
        <w:trPr>
          <w:cnfStyle w:val="100000000000" w:firstRow="1" w:lastRow="0" w:firstColumn="0" w:lastColumn="0" w:oddVBand="0" w:evenVBand="0" w:oddHBand="0" w:evenHBand="0"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bCs w:val="0"/>
                <w:sz w:val="20"/>
                <w:szCs w:val="20"/>
                <w:lang w:eastAsia="en-GB"/>
              </w:rPr>
              <w:t>Food</w:t>
            </w:r>
          </w:p>
        </w:tc>
        <w:tc>
          <w:tcPr>
            <w:tcW w:w="1276" w:type="dxa"/>
            <w:tcBorders>
              <w:top w:val="none" w:sz="0" w:space="0" w:color="auto"/>
              <w:left w:val="none" w:sz="0" w:space="0" w:color="auto"/>
              <w:bottom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A93CEE">
              <w:rPr>
                <w:rFonts w:cs="Arial"/>
                <w:sz w:val="20"/>
                <w:szCs w:val="20"/>
              </w:rPr>
              <w:t>Number of consumers</w:t>
            </w:r>
          </w:p>
        </w:tc>
        <w:tc>
          <w:tcPr>
            <w:tcW w:w="1418" w:type="dxa"/>
            <w:tcBorders>
              <w:top w:val="none" w:sz="0" w:space="0" w:color="auto"/>
              <w:left w:val="none" w:sz="0" w:space="0" w:color="auto"/>
              <w:bottom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A93CEE">
              <w:rPr>
                <w:rFonts w:cs="Arial"/>
                <w:sz w:val="20"/>
                <w:szCs w:val="20"/>
              </w:rPr>
              <w:t>Consumption level used</w:t>
            </w:r>
          </w:p>
        </w:tc>
        <w:tc>
          <w:tcPr>
            <w:tcW w:w="1559" w:type="dxa"/>
            <w:tcBorders>
              <w:top w:val="none" w:sz="0" w:space="0" w:color="auto"/>
              <w:left w:val="none" w:sz="0" w:space="0" w:color="auto"/>
              <w:bottom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A93CEE">
              <w:rPr>
                <w:rFonts w:cs="Arial"/>
                <w:sz w:val="20"/>
                <w:szCs w:val="20"/>
              </w:rPr>
              <w:t>Consumption amount</w:t>
            </w:r>
          </w:p>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A93CEE">
              <w:rPr>
                <w:rFonts w:cs="Arial"/>
                <w:sz w:val="20"/>
                <w:szCs w:val="20"/>
              </w:rPr>
              <w:t>(g/day)</w:t>
            </w:r>
          </w:p>
        </w:tc>
        <w:tc>
          <w:tcPr>
            <w:tcW w:w="1559" w:type="dxa"/>
            <w:tcBorders>
              <w:top w:val="none" w:sz="0" w:space="0" w:color="auto"/>
              <w:left w:val="none" w:sz="0" w:space="0" w:color="auto"/>
              <w:bottom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A93CEE">
              <w:rPr>
                <w:rFonts w:cs="Arial"/>
                <w:bCs w:val="0"/>
                <w:sz w:val="20"/>
                <w:szCs w:val="20"/>
                <w:lang w:eastAsia="en-GB"/>
              </w:rPr>
              <w:t xml:space="preserve">Estimated </w:t>
            </w:r>
            <w:r>
              <w:rPr>
                <w:rFonts w:cs="Arial"/>
                <w:bCs w:val="0"/>
                <w:sz w:val="20"/>
                <w:szCs w:val="20"/>
                <w:lang w:eastAsia="en-GB"/>
              </w:rPr>
              <w:t xml:space="preserve">acute </w:t>
            </w:r>
            <w:r w:rsidRPr="00A93CEE">
              <w:rPr>
                <w:rFonts w:cs="Arial"/>
                <w:bCs w:val="0"/>
                <w:sz w:val="20"/>
                <w:szCs w:val="20"/>
                <w:lang w:eastAsia="en-GB"/>
              </w:rPr>
              <w:t xml:space="preserve">exposure to total </w:t>
            </w:r>
            <w:r w:rsidRPr="00A93CEE">
              <w:rPr>
                <w:rFonts w:cs="Arial"/>
                <w:sz w:val="20"/>
                <w:szCs w:val="20"/>
              </w:rPr>
              <w:t>HCN</w:t>
            </w:r>
          </w:p>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A93CEE">
              <w:rPr>
                <w:rFonts w:cs="Arial"/>
                <w:sz w:val="20"/>
                <w:szCs w:val="20"/>
              </w:rPr>
              <w:t>(µg/kg bw/day)</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Almonds</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1394</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P97.5</w:t>
            </w:r>
          </w:p>
        </w:tc>
        <w:tc>
          <w:tcPr>
            <w:tcW w:w="1559"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18</w:t>
            </w:r>
          </w:p>
        </w:tc>
        <w:tc>
          <w:tcPr>
            <w:tcW w:w="1559"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6</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Almond oil</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NC</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NC</w:t>
            </w:r>
          </w:p>
        </w:tc>
        <w:tc>
          <w:tcPr>
            <w:tcW w:w="1559"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NC</w:t>
            </w:r>
          </w:p>
        </w:tc>
        <w:tc>
          <w:tcPr>
            <w:tcW w:w="1559"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NC</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rsidR="00391A6C" w:rsidRPr="00966234"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szCs w:val="20"/>
              </w:rPr>
            </w:pPr>
            <w:r w:rsidRPr="00C71CCF">
              <w:rPr>
                <w:rFonts w:cs="Arial"/>
                <w:color w:val="000000"/>
                <w:sz w:val="20"/>
                <w:szCs w:val="20"/>
              </w:rPr>
              <w:t>Apple juice</w:t>
            </w:r>
            <w:r w:rsidRPr="00966234">
              <w:rPr>
                <w:rFonts w:cs="Arial"/>
                <w:color w:val="000000"/>
                <w:sz w:val="20"/>
                <w:szCs w:val="20"/>
                <w:vertAlign w:val="superscript"/>
              </w:rPr>
              <w:t>a</w:t>
            </w:r>
          </w:p>
        </w:tc>
        <w:tc>
          <w:tcPr>
            <w:tcW w:w="1276"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2514</w:t>
            </w:r>
          </w:p>
        </w:tc>
        <w:tc>
          <w:tcPr>
            <w:tcW w:w="1418"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P97.5</w:t>
            </w:r>
          </w:p>
        </w:tc>
        <w:tc>
          <w:tcPr>
            <w:tcW w:w="1559"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630</w:t>
            </w:r>
          </w:p>
        </w:tc>
        <w:tc>
          <w:tcPr>
            <w:tcW w:w="1559" w:type="dxa"/>
            <w:tcBorders>
              <w:lef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3</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Apple sauce</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NC</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NC</w:t>
            </w:r>
          </w:p>
        </w:tc>
        <w:tc>
          <w:tcPr>
            <w:tcW w:w="1559"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NC</w:t>
            </w:r>
          </w:p>
        </w:tc>
        <w:tc>
          <w:tcPr>
            <w:tcW w:w="1559"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NC</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Apple cider vinegar</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7623</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P97.5</w:t>
            </w:r>
          </w:p>
        </w:tc>
        <w:tc>
          <w:tcPr>
            <w:tcW w:w="1559"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19</w:t>
            </w:r>
          </w:p>
        </w:tc>
        <w:tc>
          <w:tcPr>
            <w:tcW w:w="1559"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2</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Apricots, canned</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167</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P97.5</w:t>
            </w:r>
          </w:p>
        </w:tc>
        <w:tc>
          <w:tcPr>
            <w:tcW w:w="1559"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115</w:t>
            </w:r>
          </w:p>
        </w:tc>
        <w:tc>
          <w:tcPr>
            <w:tcW w:w="1559"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12</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szCs w:val="20"/>
              </w:rPr>
            </w:pPr>
            <w:r w:rsidRPr="00C71CCF">
              <w:rPr>
                <w:rFonts w:cs="Arial"/>
                <w:color w:val="000000"/>
                <w:sz w:val="20"/>
                <w:szCs w:val="20"/>
              </w:rPr>
              <w:t>Apricot jam</w:t>
            </w:r>
          </w:p>
        </w:tc>
        <w:tc>
          <w:tcPr>
            <w:tcW w:w="1276"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171</w:t>
            </w:r>
          </w:p>
        </w:tc>
        <w:tc>
          <w:tcPr>
            <w:tcW w:w="1418"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P97.5</w:t>
            </w:r>
          </w:p>
        </w:tc>
        <w:tc>
          <w:tcPr>
            <w:tcW w:w="1559"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24</w:t>
            </w:r>
          </w:p>
        </w:tc>
        <w:tc>
          <w:tcPr>
            <w:tcW w:w="1559"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3</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C71CCF">
              <w:rPr>
                <w:rFonts w:cs="Arial"/>
                <w:color w:val="000000"/>
                <w:sz w:val="20"/>
                <w:szCs w:val="20"/>
              </w:rPr>
              <w:t>Apricot nectar</w:t>
            </w:r>
          </w:p>
        </w:tc>
        <w:tc>
          <w:tcPr>
            <w:tcW w:w="1276"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C71CCF">
              <w:rPr>
                <w:rFonts w:cs="Arial"/>
                <w:sz w:val="20"/>
                <w:szCs w:val="20"/>
              </w:rPr>
              <w:t>33</w:t>
            </w:r>
          </w:p>
        </w:tc>
        <w:tc>
          <w:tcPr>
            <w:tcW w:w="1418"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C71CCF">
              <w:rPr>
                <w:rFonts w:cs="Arial"/>
                <w:sz w:val="20"/>
                <w:szCs w:val="20"/>
              </w:rPr>
              <w:t>P50</w:t>
            </w:r>
          </w:p>
        </w:tc>
        <w:tc>
          <w:tcPr>
            <w:tcW w:w="1559"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C71CCF">
              <w:rPr>
                <w:rFonts w:cs="Arial"/>
                <w:sz w:val="20"/>
                <w:szCs w:val="20"/>
              </w:rPr>
              <w:t>44</w:t>
            </w:r>
          </w:p>
        </w:tc>
        <w:tc>
          <w:tcPr>
            <w:tcW w:w="1559" w:type="dxa"/>
            <w:tcBorders>
              <w:left w:val="none" w:sz="0" w:space="0" w:color="auto"/>
            </w:tcBorders>
          </w:tcPr>
          <w:p w:rsidR="00391A6C" w:rsidRPr="00A93CEE" w:rsidRDefault="007E50AD"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6</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C71CCF">
              <w:rPr>
                <w:rFonts w:cs="Arial"/>
                <w:sz w:val="20"/>
                <w:szCs w:val="20"/>
              </w:rPr>
              <w:t>Bamboo shoots</w:t>
            </w:r>
            <w:r w:rsidRPr="00966234">
              <w:rPr>
                <w:rFonts w:cs="Arial"/>
                <w:sz w:val="20"/>
                <w:szCs w:val="20"/>
                <w:vertAlign w:val="superscript"/>
              </w:rPr>
              <w:t>b</w:t>
            </w:r>
          </w:p>
        </w:tc>
        <w:tc>
          <w:tcPr>
            <w:tcW w:w="1276"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270</w:t>
            </w:r>
          </w:p>
        </w:tc>
        <w:tc>
          <w:tcPr>
            <w:tcW w:w="1418"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P97.5</w:t>
            </w:r>
          </w:p>
        </w:tc>
        <w:tc>
          <w:tcPr>
            <w:tcW w:w="1559"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10</w:t>
            </w:r>
          </w:p>
        </w:tc>
        <w:tc>
          <w:tcPr>
            <w:tcW w:w="1559" w:type="dxa"/>
            <w:tcBorders>
              <w:lef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11</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rsidR="00391A6C" w:rsidRPr="00C71CCF" w:rsidRDefault="00391A6C" w:rsidP="00A40AEA">
            <w:pPr>
              <w:rPr>
                <w:rFonts w:cs="Arial"/>
                <w:color w:val="000000"/>
                <w:sz w:val="20"/>
                <w:szCs w:val="20"/>
              </w:rPr>
            </w:pPr>
            <w:r w:rsidRPr="00C71CCF">
              <w:rPr>
                <w:rFonts w:cs="Arial"/>
                <w:color w:val="000000"/>
                <w:sz w:val="20"/>
                <w:szCs w:val="20"/>
              </w:rPr>
              <w:t>Biscuits, amaretti</w:t>
            </w:r>
            <w:r w:rsidR="008F5465" w:rsidRPr="008F5465">
              <w:rPr>
                <w:rFonts w:cs="Arial"/>
                <w:color w:val="000000"/>
                <w:sz w:val="20"/>
                <w:szCs w:val="20"/>
                <w:vertAlign w:val="superscript"/>
              </w:rPr>
              <w:t>d</w:t>
            </w:r>
          </w:p>
        </w:tc>
        <w:tc>
          <w:tcPr>
            <w:tcW w:w="1276" w:type="dxa"/>
            <w:tcBorders>
              <w:left w:val="none" w:sz="0" w:space="0" w:color="auto"/>
              <w:right w:val="none" w:sz="0" w:space="0" w:color="auto"/>
            </w:tcBorders>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418" w:type="dxa"/>
            <w:tcBorders>
              <w:left w:val="none" w:sz="0" w:space="0" w:color="auto"/>
              <w:right w:val="none" w:sz="0" w:space="0" w:color="auto"/>
            </w:tcBorders>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1 serve</w:t>
            </w:r>
          </w:p>
        </w:tc>
        <w:tc>
          <w:tcPr>
            <w:tcW w:w="1559" w:type="dxa"/>
            <w:tcBorders>
              <w:left w:val="none" w:sz="0" w:space="0" w:color="auto"/>
              <w:right w:val="none" w:sz="0" w:space="0" w:color="auto"/>
            </w:tcBorders>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30</w:t>
            </w:r>
          </w:p>
        </w:tc>
        <w:tc>
          <w:tcPr>
            <w:tcW w:w="1559" w:type="dxa"/>
            <w:tcBorders>
              <w:left w:val="none" w:sz="0" w:space="0" w:color="auto"/>
            </w:tcBorders>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27</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C71CCF">
              <w:rPr>
                <w:rFonts w:cs="Arial"/>
                <w:color w:val="000000"/>
                <w:sz w:val="20"/>
                <w:szCs w:val="20"/>
              </w:rPr>
              <w:t>Biscuits, almond fingers/apple fingers</w:t>
            </w:r>
            <w:r w:rsidR="008F5465" w:rsidRPr="008F5465">
              <w:rPr>
                <w:rFonts w:cs="Arial"/>
                <w:color w:val="000000"/>
                <w:sz w:val="20"/>
                <w:szCs w:val="20"/>
                <w:vertAlign w:val="superscript"/>
              </w:rPr>
              <w:t>d</w:t>
            </w:r>
          </w:p>
        </w:tc>
        <w:tc>
          <w:tcPr>
            <w:tcW w:w="1276"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18"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1 serve</w:t>
            </w:r>
          </w:p>
        </w:tc>
        <w:tc>
          <w:tcPr>
            <w:tcW w:w="1559"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47</w:t>
            </w:r>
          </w:p>
        </w:tc>
        <w:tc>
          <w:tcPr>
            <w:tcW w:w="1559"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16</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C71CCF">
              <w:rPr>
                <w:rFonts w:cs="Arial"/>
                <w:sz w:val="20"/>
                <w:szCs w:val="20"/>
              </w:rPr>
              <w:t>Bread containing linseed</w:t>
            </w:r>
          </w:p>
        </w:tc>
        <w:tc>
          <w:tcPr>
            <w:tcW w:w="1276"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C71CCF">
              <w:rPr>
                <w:rFonts w:cs="Arial"/>
                <w:sz w:val="20"/>
                <w:szCs w:val="20"/>
              </w:rPr>
              <w:t>78</w:t>
            </w:r>
          </w:p>
        </w:tc>
        <w:tc>
          <w:tcPr>
            <w:tcW w:w="1418"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C71CCF">
              <w:rPr>
                <w:rFonts w:cs="Arial"/>
                <w:sz w:val="20"/>
                <w:szCs w:val="20"/>
              </w:rPr>
              <w:t>P97.5</w:t>
            </w:r>
          </w:p>
        </w:tc>
        <w:tc>
          <w:tcPr>
            <w:tcW w:w="1559"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C71CCF">
              <w:rPr>
                <w:rFonts w:cs="Arial"/>
                <w:sz w:val="20"/>
                <w:szCs w:val="20"/>
              </w:rPr>
              <w:t>216</w:t>
            </w:r>
          </w:p>
        </w:tc>
        <w:tc>
          <w:tcPr>
            <w:tcW w:w="1559" w:type="dxa"/>
            <w:tcBorders>
              <w:lef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C71CCF">
              <w:rPr>
                <w:rFonts w:cs="Arial"/>
                <w:sz w:val="20"/>
                <w:szCs w:val="20"/>
              </w:rPr>
              <w:t>279</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Butter beans</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30</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P50</w:t>
            </w:r>
          </w:p>
        </w:tc>
        <w:tc>
          <w:tcPr>
            <w:tcW w:w="1559"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22</w:t>
            </w:r>
          </w:p>
        </w:tc>
        <w:tc>
          <w:tcPr>
            <w:tcW w:w="1559"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4</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rsidR="00391A6C" w:rsidRPr="00C71CCF" w:rsidRDefault="00391A6C" w:rsidP="00A40AEA">
            <w:pPr>
              <w:rPr>
                <w:rFonts w:cs="Arial"/>
                <w:color w:val="000000"/>
                <w:sz w:val="20"/>
                <w:szCs w:val="20"/>
              </w:rPr>
            </w:pPr>
            <w:r w:rsidRPr="00C71CCF">
              <w:rPr>
                <w:rFonts w:cs="Arial"/>
                <w:color w:val="000000"/>
                <w:sz w:val="20"/>
                <w:szCs w:val="20"/>
              </w:rPr>
              <w:t xml:space="preserve">Cassava roots, </w:t>
            </w:r>
            <w:r w:rsidRPr="00891A6A">
              <w:rPr>
                <w:rFonts w:cs="Arial"/>
                <w:color w:val="000000"/>
                <w:sz w:val="20"/>
                <w:szCs w:val="20"/>
              </w:rPr>
              <w:t>cooked</w:t>
            </w:r>
            <w:r w:rsidRPr="00966234">
              <w:rPr>
                <w:rFonts w:cs="Arial"/>
                <w:color w:val="000000"/>
                <w:sz w:val="20"/>
                <w:szCs w:val="20"/>
                <w:vertAlign w:val="superscript"/>
              </w:rPr>
              <w:t>c</w:t>
            </w:r>
          </w:p>
        </w:tc>
        <w:tc>
          <w:tcPr>
            <w:tcW w:w="1276"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C71CCF">
              <w:rPr>
                <w:rFonts w:cs="Arial"/>
                <w:sz w:val="20"/>
                <w:szCs w:val="20"/>
              </w:rPr>
              <w:t>73</w:t>
            </w:r>
          </w:p>
        </w:tc>
        <w:tc>
          <w:tcPr>
            <w:tcW w:w="1418"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C71CCF">
              <w:rPr>
                <w:rFonts w:cs="Arial"/>
                <w:sz w:val="20"/>
                <w:szCs w:val="20"/>
              </w:rPr>
              <w:t>P97.5</w:t>
            </w:r>
          </w:p>
        </w:tc>
        <w:tc>
          <w:tcPr>
            <w:tcW w:w="1559"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C71CCF">
              <w:rPr>
                <w:rFonts w:cs="Arial"/>
                <w:sz w:val="20"/>
                <w:szCs w:val="20"/>
              </w:rPr>
              <w:t>92</w:t>
            </w:r>
          </w:p>
        </w:tc>
        <w:tc>
          <w:tcPr>
            <w:tcW w:w="1559" w:type="dxa"/>
            <w:tcBorders>
              <w:lef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C71CCF">
              <w:rPr>
                <w:rFonts w:cs="Arial"/>
                <w:sz w:val="20"/>
                <w:szCs w:val="20"/>
              </w:rPr>
              <w:t>63</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rsidR="00391A6C" w:rsidRPr="00A93CEE" w:rsidRDefault="00391A6C" w:rsidP="00A40AEA">
            <w:pPr>
              <w:rPr>
                <w:rFonts w:cs="Arial"/>
                <w:color w:val="000000"/>
                <w:sz w:val="20"/>
                <w:szCs w:val="20"/>
              </w:rPr>
            </w:pPr>
            <w:r w:rsidRPr="00A93CEE">
              <w:rPr>
                <w:rFonts w:cs="Arial"/>
                <w:color w:val="000000"/>
                <w:sz w:val="20"/>
                <w:szCs w:val="20"/>
              </w:rPr>
              <w:t>Cassava starch</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608</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P97.5</w:t>
            </w:r>
          </w:p>
        </w:tc>
        <w:tc>
          <w:tcPr>
            <w:tcW w:w="1559"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39</w:t>
            </w:r>
          </w:p>
        </w:tc>
        <w:tc>
          <w:tcPr>
            <w:tcW w:w="1559"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4</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Cherry brandy</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100</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P97.5</w:t>
            </w:r>
          </w:p>
        </w:tc>
        <w:tc>
          <w:tcPr>
            <w:tcW w:w="1559"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43</w:t>
            </w:r>
          </w:p>
        </w:tc>
        <w:tc>
          <w:tcPr>
            <w:tcW w:w="1559"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4</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Lima beans</w:t>
            </w:r>
          </w:p>
        </w:tc>
        <w:tc>
          <w:tcPr>
            <w:tcW w:w="1276" w:type="dxa"/>
            <w:tcBorders>
              <w:left w:val="none" w:sz="0" w:space="0" w:color="auto"/>
              <w:right w:val="none" w:sz="0" w:space="0" w:color="auto"/>
            </w:tcBorders>
          </w:tcPr>
          <w:p w:rsidR="00391A6C" w:rsidRPr="00A93CEE"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1</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P50</w:t>
            </w:r>
          </w:p>
        </w:tc>
        <w:tc>
          <w:tcPr>
            <w:tcW w:w="1559"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9</w:t>
            </w:r>
          </w:p>
        </w:tc>
        <w:tc>
          <w:tcPr>
            <w:tcW w:w="1559"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8</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Linseed</w:t>
            </w:r>
            <w:r>
              <w:rPr>
                <w:rFonts w:cs="Arial"/>
                <w:sz w:val="20"/>
                <w:szCs w:val="20"/>
              </w:rPr>
              <w:t>s</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2518</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P97.5</w:t>
            </w:r>
          </w:p>
        </w:tc>
        <w:tc>
          <w:tcPr>
            <w:tcW w:w="1559"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5</w:t>
            </w:r>
          </w:p>
        </w:tc>
        <w:tc>
          <w:tcPr>
            <w:tcW w:w="1559"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23</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Linseed oil</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13</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P50</w:t>
            </w:r>
          </w:p>
        </w:tc>
        <w:tc>
          <w:tcPr>
            <w:tcW w:w="1559" w:type="dxa"/>
            <w:tcBorders>
              <w:left w:val="none" w:sz="0" w:space="0" w:color="auto"/>
              <w:right w:val="none" w:sz="0" w:space="0" w:color="auto"/>
            </w:tcBorders>
          </w:tcPr>
          <w:p w:rsidR="00391A6C" w:rsidRPr="00A93CEE"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12</w:t>
            </w:r>
          </w:p>
        </w:tc>
        <w:tc>
          <w:tcPr>
            <w:tcW w:w="1559"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1</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LSA mix</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1</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P50</w:t>
            </w:r>
          </w:p>
        </w:tc>
        <w:tc>
          <w:tcPr>
            <w:tcW w:w="1559"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5</w:t>
            </w:r>
          </w:p>
        </w:tc>
        <w:tc>
          <w:tcPr>
            <w:tcW w:w="1559"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8</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Marzipan</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2</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P50</w:t>
            </w:r>
          </w:p>
        </w:tc>
        <w:tc>
          <w:tcPr>
            <w:tcW w:w="1559"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10</w:t>
            </w:r>
          </w:p>
        </w:tc>
        <w:tc>
          <w:tcPr>
            <w:tcW w:w="1559"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1</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Passionfruit</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993</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P97.5</w:t>
            </w:r>
          </w:p>
        </w:tc>
        <w:tc>
          <w:tcPr>
            <w:tcW w:w="1559"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55</w:t>
            </w:r>
          </w:p>
        </w:tc>
        <w:tc>
          <w:tcPr>
            <w:tcW w:w="1559"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10</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Prune juice</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10</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P50</w:t>
            </w:r>
          </w:p>
        </w:tc>
        <w:tc>
          <w:tcPr>
            <w:tcW w:w="1559"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157</w:t>
            </w:r>
          </w:p>
        </w:tc>
        <w:tc>
          <w:tcPr>
            <w:tcW w:w="1559"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17</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Pumpkin seed</w:t>
            </w:r>
            <w:r>
              <w:rPr>
                <w:rFonts w:cs="Arial"/>
                <w:sz w:val="20"/>
                <w:szCs w:val="20"/>
              </w:rPr>
              <w:t>s</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36</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P50</w:t>
            </w:r>
          </w:p>
        </w:tc>
        <w:tc>
          <w:tcPr>
            <w:tcW w:w="1559"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3</w:t>
            </w:r>
          </w:p>
        </w:tc>
        <w:tc>
          <w:tcPr>
            <w:tcW w:w="1559"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&lt;1</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Spinach</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379</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P97.5</w:t>
            </w:r>
          </w:p>
        </w:tc>
        <w:tc>
          <w:tcPr>
            <w:tcW w:w="1559"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200</w:t>
            </w:r>
          </w:p>
        </w:tc>
        <w:tc>
          <w:tcPr>
            <w:tcW w:w="1559"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21</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Sunflower seed</w:t>
            </w:r>
            <w:r>
              <w:rPr>
                <w:rFonts w:cs="Arial"/>
                <w:sz w:val="20"/>
                <w:szCs w:val="20"/>
              </w:rPr>
              <w:t>s</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817</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P97.5</w:t>
            </w:r>
          </w:p>
        </w:tc>
        <w:tc>
          <w:tcPr>
            <w:tcW w:w="1559"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17</w:t>
            </w:r>
          </w:p>
        </w:tc>
        <w:tc>
          <w:tcPr>
            <w:tcW w:w="1559"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2</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Taro</w:t>
            </w:r>
            <w:r>
              <w:rPr>
                <w:rFonts w:cs="Arial"/>
                <w:sz w:val="20"/>
                <w:szCs w:val="20"/>
              </w:rPr>
              <w:t>,</w:t>
            </w:r>
            <w:r w:rsidRPr="00A93CEE">
              <w:rPr>
                <w:rFonts w:cs="Arial"/>
                <w:sz w:val="20"/>
                <w:szCs w:val="20"/>
              </w:rPr>
              <w:t xml:space="preserve"> in mixed foods</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NC</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NC</w:t>
            </w:r>
          </w:p>
        </w:tc>
        <w:tc>
          <w:tcPr>
            <w:tcW w:w="1559"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NC</w:t>
            </w:r>
          </w:p>
        </w:tc>
        <w:tc>
          <w:tcPr>
            <w:tcW w:w="1559"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NC</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Taro</w:t>
            </w:r>
            <w:r>
              <w:rPr>
                <w:rFonts w:cs="Arial"/>
                <w:sz w:val="20"/>
                <w:szCs w:val="20"/>
              </w:rPr>
              <w:t>,</w:t>
            </w:r>
            <w:r w:rsidRPr="00A93CEE">
              <w:rPr>
                <w:rFonts w:cs="Arial"/>
                <w:sz w:val="20"/>
                <w:szCs w:val="20"/>
              </w:rPr>
              <w:t xml:space="preserve"> leaves only</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NC</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NC</w:t>
            </w:r>
          </w:p>
        </w:tc>
        <w:tc>
          <w:tcPr>
            <w:tcW w:w="1559"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NC</w:t>
            </w:r>
          </w:p>
        </w:tc>
        <w:tc>
          <w:tcPr>
            <w:tcW w:w="1559"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NC</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Vine leaves, stuffed, canned</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9</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P50</w:t>
            </w:r>
          </w:p>
        </w:tc>
        <w:tc>
          <w:tcPr>
            <w:tcW w:w="1559"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180</w:t>
            </w:r>
          </w:p>
        </w:tc>
        <w:tc>
          <w:tcPr>
            <w:tcW w:w="1559"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19</w:t>
            </w:r>
          </w:p>
        </w:tc>
      </w:tr>
    </w:tbl>
    <w:p w:rsidR="00391A6C" w:rsidRDefault="00391A6C" w:rsidP="00391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A93CEE">
        <w:rPr>
          <w:rFonts w:cs="Arial"/>
          <w:sz w:val="18"/>
          <w:szCs w:val="18"/>
        </w:rPr>
        <w:t>NC = not consumed.</w:t>
      </w:r>
    </w:p>
    <w:p w:rsidR="00391A6C" w:rsidRPr="00E40621" w:rsidRDefault="00391A6C" w:rsidP="00391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18"/>
          <w:szCs w:val="18"/>
        </w:rPr>
      </w:pPr>
      <w:r w:rsidRPr="00E40621">
        <w:rPr>
          <w:rFonts w:cs="Arial"/>
          <w:sz w:val="18"/>
          <w:szCs w:val="18"/>
          <w:vertAlign w:val="superscript"/>
        </w:rPr>
        <w:t>a</w:t>
      </w:r>
      <w:r w:rsidRPr="00E40621">
        <w:rPr>
          <w:rFonts w:cs="Arial"/>
          <w:sz w:val="18"/>
          <w:szCs w:val="18"/>
        </w:rPr>
        <w:t xml:space="preserve"> </w:t>
      </w:r>
      <w:r w:rsidRPr="00E40621">
        <w:rPr>
          <w:rFonts w:cs="Arial"/>
          <w:color w:val="000000"/>
          <w:sz w:val="18"/>
          <w:szCs w:val="18"/>
        </w:rPr>
        <w:t>Survey 2, EU method.</w:t>
      </w:r>
    </w:p>
    <w:p w:rsidR="00391A6C" w:rsidRPr="00E40621" w:rsidRDefault="00391A6C" w:rsidP="00391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E40621">
        <w:rPr>
          <w:rFonts w:cs="Arial"/>
          <w:color w:val="000000"/>
          <w:sz w:val="18"/>
          <w:szCs w:val="18"/>
          <w:vertAlign w:val="superscript"/>
        </w:rPr>
        <w:t>b</w:t>
      </w:r>
      <w:r w:rsidRPr="00E40621">
        <w:rPr>
          <w:rFonts w:cs="Arial"/>
          <w:color w:val="000000"/>
          <w:sz w:val="18"/>
          <w:szCs w:val="18"/>
        </w:rPr>
        <w:t xml:space="preserve"> </w:t>
      </w:r>
      <w:r w:rsidRPr="00E40621">
        <w:rPr>
          <w:rFonts w:cs="Arial"/>
          <w:sz w:val="18"/>
          <w:szCs w:val="18"/>
        </w:rPr>
        <w:t>Survey 1.</w:t>
      </w:r>
    </w:p>
    <w:p w:rsidR="008F5465" w:rsidRDefault="00391A6C" w:rsidP="008F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 w:val="18"/>
          <w:szCs w:val="18"/>
        </w:rPr>
      </w:pPr>
      <w:r w:rsidRPr="00E40621">
        <w:rPr>
          <w:rFonts w:cs="Arial"/>
          <w:sz w:val="18"/>
          <w:szCs w:val="18"/>
          <w:vertAlign w:val="superscript"/>
        </w:rPr>
        <w:t>c</w:t>
      </w:r>
      <w:r w:rsidRPr="00E40621">
        <w:rPr>
          <w:rFonts w:cs="Arial"/>
          <w:sz w:val="18"/>
          <w:szCs w:val="18"/>
        </w:rPr>
        <w:t xml:space="preserve"> </w:t>
      </w:r>
      <w:r w:rsidRPr="00E40621">
        <w:rPr>
          <w:rFonts w:cs="Arial"/>
          <w:bCs/>
          <w:sz w:val="18"/>
          <w:szCs w:val="18"/>
        </w:rPr>
        <w:t xml:space="preserve">Survey 3, sweet </w:t>
      </w:r>
      <w:r w:rsidR="003F1E1D">
        <w:rPr>
          <w:rFonts w:cs="Arial"/>
          <w:bCs/>
          <w:sz w:val="18"/>
          <w:szCs w:val="18"/>
        </w:rPr>
        <w:t xml:space="preserve">cassava </w:t>
      </w:r>
      <w:r w:rsidRPr="00E40621">
        <w:rPr>
          <w:rFonts w:cs="Arial"/>
          <w:bCs/>
          <w:sz w:val="18"/>
          <w:szCs w:val="18"/>
        </w:rPr>
        <w:t>only.</w:t>
      </w:r>
    </w:p>
    <w:p w:rsidR="008F5465" w:rsidRPr="0036079D" w:rsidRDefault="008F5465" w:rsidP="008F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AB6F48">
        <w:rPr>
          <w:rFonts w:cs="Arial"/>
          <w:bCs/>
          <w:sz w:val="18"/>
          <w:szCs w:val="18"/>
          <w:vertAlign w:val="superscript"/>
        </w:rPr>
        <w:t>d</w:t>
      </w:r>
      <w:r>
        <w:rPr>
          <w:rFonts w:cs="Arial"/>
          <w:bCs/>
          <w:sz w:val="18"/>
          <w:szCs w:val="18"/>
        </w:rPr>
        <w:t xml:space="preserve"> Consumption level based on </w:t>
      </w:r>
      <w:r w:rsidRPr="00AB6F48">
        <w:rPr>
          <w:rFonts w:cs="Arial"/>
          <w:bCs/>
          <w:sz w:val="18"/>
          <w:szCs w:val="18"/>
        </w:rPr>
        <w:t>recommended serves/recommended maximum consumption levels</w:t>
      </w:r>
      <w:r>
        <w:rPr>
          <w:rFonts w:cs="Arial"/>
          <w:bCs/>
          <w:sz w:val="18"/>
          <w:szCs w:val="18"/>
        </w:rPr>
        <w:t xml:space="preserve">. </w:t>
      </w:r>
    </w:p>
    <w:p w:rsidR="008F5465" w:rsidRPr="00E40621" w:rsidRDefault="008F5465" w:rsidP="00391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p>
    <w:p w:rsidR="00391A6C" w:rsidRPr="00A93CEE" w:rsidRDefault="00391A6C" w:rsidP="00391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r w:rsidRPr="00A93CEE">
        <w:rPr>
          <w:rFonts w:cs="Arial"/>
          <w:b/>
        </w:rPr>
        <w:br w:type="page"/>
      </w:r>
    </w:p>
    <w:p w:rsidR="00391A6C" w:rsidRPr="0064728F" w:rsidRDefault="00F57293" w:rsidP="0064728F">
      <w:pPr>
        <w:rPr>
          <w:rFonts w:asciiTheme="minorHAnsi" w:hAnsiTheme="minorHAnsi"/>
          <w:b/>
        </w:rPr>
      </w:pPr>
      <w:bookmarkStart w:id="235" w:name="_Ref338424834"/>
      <w:r w:rsidRPr="0064728F">
        <w:rPr>
          <w:rFonts w:asciiTheme="minorHAnsi" w:hAnsiTheme="minorHAnsi"/>
          <w:b/>
        </w:rPr>
        <w:lastRenderedPageBreak/>
        <w:t xml:space="preserve">Table A10.4. </w:t>
      </w:r>
      <w:r w:rsidR="00391A6C" w:rsidRPr="0064728F">
        <w:rPr>
          <w:rFonts w:asciiTheme="minorHAnsi" w:hAnsiTheme="minorHAnsi"/>
          <w:b/>
        </w:rPr>
        <w:t xml:space="preserve">Estimated acute dietary exposures to total HCN for Australians 17 years and </w:t>
      </w:r>
      <w:bookmarkEnd w:id="235"/>
      <w:r w:rsidR="00391A6C" w:rsidRPr="0064728F">
        <w:rPr>
          <w:rFonts w:asciiTheme="minorHAnsi" w:hAnsiTheme="minorHAnsi"/>
          <w:b/>
        </w:rPr>
        <w:t>over</w:t>
      </w:r>
    </w:p>
    <w:tbl>
      <w:tblPr>
        <w:tblStyle w:val="MediumShading1-Accent1"/>
        <w:tblW w:w="9072" w:type="dxa"/>
        <w:tblBorders>
          <w:insideV w:val="single" w:sz="8" w:space="0" w:color="7BA0CD" w:themeColor="accent1" w:themeTint="BF"/>
        </w:tblBorders>
        <w:tblLayout w:type="fixed"/>
        <w:tblLook w:val="04A0" w:firstRow="1" w:lastRow="0" w:firstColumn="1" w:lastColumn="0" w:noHBand="0" w:noVBand="1"/>
      </w:tblPr>
      <w:tblGrid>
        <w:gridCol w:w="3544"/>
        <w:gridCol w:w="1276"/>
        <w:gridCol w:w="1417"/>
        <w:gridCol w:w="1418"/>
        <w:gridCol w:w="1417"/>
      </w:tblGrid>
      <w:tr w:rsidR="00391A6C" w:rsidRPr="00A93CEE" w:rsidTr="00A40AEA">
        <w:trPr>
          <w:cnfStyle w:val="100000000000" w:firstRow="1" w:lastRow="0" w:firstColumn="0" w:lastColumn="0" w:oddVBand="0" w:evenVBand="0" w:oddHBand="0"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left w:val="none" w:sz="0" w:space="0" w:color="auto"/>
              <w:bottom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bCs w:val="0"/>
                <w:sz w:val="20"/>
                <w:szCs w:val="20"/>
                <w:lang w:eastAsia="en-GB"/>
              </w:rPr>
              <w:t>Food</w:t>
            </w:r>
          </w:p>
        </w:tc>
        <w:tc>
          <w:tcPr>
            <w:tcW w:w="1276" w:type="dxa"/>
            <w:tcBorders>
              <w:top w:val="none" w:sz="0" w:space="0" w:color="auto"/>
              <w:left w:val="none" w:sz="0" w:space="0" w:color="auto"/>
              <w:bottom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A93CEE">
              <w:rPr>
                <w:rFonts w:cs="Arial"/>
                <w:sz w:val="20"/>
                <w:szCs w:val="20"/>
              </w:rPr>
              <w:t>Number of consumers</w:t>
            </w:r>
          </w:p>
        </w:tc>
        <w:tc>
          <w:tcPr>
            <w:tcW w:w="1417" w:type="dxa"/>
            <w:tcBorders>
              <w:top w:val="none" w:sz="0" w:space="0" w:color="auto"/>
              <w:left w:val="none" w:sz="0" w:space="0" w:color="auto"/>
              <w:bottom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A93CEE">
              <w:rPr>
                <w:rFonts w:cs="Arial"/>
                <w:sz w:val="20"/>
                <w:szCs w:val="20"/>
              </w:rPr>
              <w:t>Consumption level used</w:t>
            </w:r>
          </w:p>
        </w:tc>
        <w:tc>
          <w:tcPr>
            <w:tcW w:w="1418" w:type="dxa"/>
            <w:tcBorders>
              <w:top w:val="none" w:sz="0" w:space="0" w:color="auto"/>
              <w:left w:val="none" w:sz="0" w:space="0" w:color="auto"/>
              <w:bottom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A93CEE">
              <w:rPr>
                <w:rFonts w:cs="Arial"/>
                <w:sz w:val="20"/>
                <w:szCs w:val="20"/>
              </w:rPr>
              <w:t>Consumption amount</w:t>
            </w:r>
          </w:p>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A93CEE">
              <w:rPr>
                <w:rFonts w:cs="Arial"/>
                <w:sz w:val="20"/>
                <w:szCs w:val="20"/>
              </w:rPr>
              <w:t>(g/day)</w:t>
            </w:r>
          </w:p>
        </w:tc>
        <w:tc>
          <w:tcPr>
            <w:tcW w:w="1417" w:type="dxa"/>
            <w:tcBorders>
              <w:top w:val="none" w:sz="0" w:space="0" w:color="auto"/>
              <w:left w:val="none" w:sz="0" w:space="0" w:color="auto"/>
              <w:bottom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bCs w:val="0"/>
                <w:sz w:val="20"/>
                <w:szCs w:val="20"/>
                <w:lang w:eastAsia="en-GB"/>
              </w:rPr>
              <w:t xml:space="preserve">acute </w:t>
            </w:r>
            <w:r w:rsidRPr="00A93CEE">
              <w:rPr>
                <w:rFonts w:cs="Arial"/>
                <w:bCs w:val="0"/>
                <w:sz w:val="20"/>
                <w:szCs w:val="20"/>
                <w:lang w:eastAsia="en-GB"/>
              </w:rPr>
              <w:t xml:space="preserve">exposure to total </w:t>
            </w:r>
            <w:r w:rsidRPr="00A93CEE">
              <w:rPr>
                <w:rFonts w:cs="Arial"/>
                <w:sz w:val="20"/>
                <w:szCs w:val="20"/>
              </w:rPr>
              <w:t>HCN</w:t>
            </w:r>
          </w:p>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A93CEE">
              <w:rPr>
                <w:rFonts w:cs="Arial"/>
                <w:sz w:val="20"/>
                <w:szCs w:val="20"/>
              </w:rPr>
              <w:t>(µg/kg bw/day)</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Almonds</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2036</w:t>
            </w:r>
          </w:p>
        </w:tc>
        <w:tc>
          <w:tcPr>
            <w:tcW w:w="1417"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P97.5</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36</w:t>
            </w:r>
          </w:p>
        </w:tc>
        <w:tc>
          <w:tcPr>
            <w:tcW w:w="1417"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6</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Almond oil</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NC</w:t>
            </w:r>
          </w:p>
        </w:tc>
        <w:tc>
          <w:tcPr>
            <w:tcW w:w="1417"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NC</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NC</w:t>
            </w:r>
          </w:p>
        </w:tc>
        <w:tc>
          <w:tcPr>
            <w:tcW w:w="1417"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NC</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966234"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szCs w:val="20"/>
              </w:rPr>
            </w:pPr>
            <w:r w:rsidRPr="00C71CCF">
              <w:rPr>
                <w:rFonts w:cs="Arial"/>
                <w:color w:val="000000"/>
                <w:sz w:val="20"/>
                <w:szCs w:val="20"/>
              </w:rPr>
              <w:t>Apple juice</w:t>
            </w:r>
            <w:r w:rsidRPr="00966234">
              <w:rPr>
                <w:rFonts w:cs="Arial"/>
                <w:color w:val="000000"/>
                <w:sz w:val="20"/>
                <w:szCs w:val="20"/>
                <w:vertAlign w:val="superscript"/>
              </w:rPr>
              <w:t>a</w:t>
            </w:r>
          </w:p>
        </w:tc>
        <w:tc>
          <w:tcPr>
            <w:tcW w:w="1276"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838</w:t>
            </w:r>
          </w:p>
        </w:tc>
        <w:tc>
          <w:tcPr>
            <w:tcW w:w="1417"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P97.5</w:t>
            </w:r>
          </w:p>
        </w:tc>
        <w:tc>
          <w:tcPr>
            <w:tcW w:w="1418"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819</w:t>
            </w:r>
          </w:p>
        </w:tc>
        <w:tc>
          <w:tcPr>
            <w:tcW w:w="1417" w:type="dxa"/>
            <w:tcBorders>
              <w:lef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2</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Apple sauce</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35</w:t>
            </w:r>
          </w:p>
        </w:tc>
        <w:tc>
          <w:tcPr>
            <w:tcW w:w="1417"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P50</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22</w:t>
            </w:r>
          </w:p>
        </w:tc>
        <w:tc>
          <w:tcPr>
            <w:tcW w:w="1417"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1</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Apple cider vinegar</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8468</w:t>
            </w:r>
          </w:p>
        </w:tc>
        <w:tc>
          <w:tcPr>
            <w:tcW w:w="1417"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P97.5</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20</w:t>
            </w:r>
          </w:p>
        </w:tc>
        <w:tc>
          <w:tcPr>
            <w:tcW w:w="1417"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1</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Apricots, canned</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168</w:t>
            </w:r>
          </w:p>
        </w:tc>
        <w:tc>
          <w:tcPr>
            <w:tcW w:w="1417"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P97.5</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231</w:t>
            </w:r>
          </w:p>
        </w:tc>
        <w:tc>
          <w:tcPr>
            <w:tcW w:w="1417"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12</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szCs w:val="20"/>
              </w:rPr>
            </w:pPr>
            <w:r w:rsidRPr="00C71CCF">
              <w:rPr>
                <w:rFonts w:cs="Arial"/>
                <w:color w:val="000000"/>
                <w:sz w:val="20"/>
                <w:szCs w:val="20"/>
              </w:rPr>
              <w:t>Apricot jam</w:t>
            </w:r>
          </w:p>
        </w:tc>
        <w:tc>
          <w:tcPr>
            <w:tcW w:w="1276"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2100</w:t>
            </w:r>
          </w:p>
        </w:tc>
        <w:tc>
          <w:tcPr>
            <w:tcW w:w="1417"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P97.5</w:t>
            </w:r>
          </w:p>
        </w:tc>
        <w:tc>
          <w:tcPr>
            <w:tcW w:w="1418"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27</w:t>
            </w:r>
          </w:p>
        </w:tc>
        <w:tc>
          <w:tcPr>
            <w:tcW w:w="1417" w:type="dxa"/>
            <w:tcBorders>
              <w:lef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1</w:t>
            </w:r>
          </w:p>
        </w:tc>
      </w:tr>
      <w:tr w:rsidR="00391A6C" w:rsidRPr="00C71CCF"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C71CCF">
              <w:rPr>
                <w:rFonts w:cs="Arial"/>
                <w:color w:val="000000"/>
                <w:sz w:val="20"/>
                <w:szCs w:val="20"/>
              </w:rPr>
              <w:t>Apricot kernels, with skin</w:t>
            </w:r>
            <w:r w:rsidR="008F5465" w:rsidRPr="008F5465">
              <w:rPr>
                <w:rFonts w:cs="Arial"/>
                <w:color w:val="000000"/>
                <w:sz w:val="20"/>
                <w:szCs w:val="20"/>
                <w:vertAlign w:val="superscript"/>
              </w:rPr>
              <w:t>d</w:t>
            </w:r>
          </w:p>
        </w:tc>
        <w:tc>
          <w:tcPr>
            <w:tcW w:w="1276"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1417"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C71CCF">
              <w:rPr>
                <w:rFonts w:cs="Arial"/>
                <w:color w:val="000000"/>
                <w:sz w:val="20"/>
                <w:szCs w:val="20"/>
              </w:rPr>
              <w:t>32 kernels/d</w:t>
            </w:r>
          </w:p>
        </w:tc>
        <w:tc>
          <w:tcPr>
            <w:tcW w:w="1418"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C71CCF">
              <w:rPr>
                <w:rFonts w:cs="Arial"/>
                <w:sz w:val="20"/>
                <w:szCs w:val="20"/>
              </w:rPr>
              <w:t>19</w:t>
            </w:r>
            <w:r>
              <w:rPr>
                <w:rFonts w:cs="Arial"/>
                <w:sz w:val="20"/>
                <w:szCs w:val="20"/>
              </w:rPr>
              <w:t>.0</w:t>
            </w:r>
          </w:p>
        </w:tc>
        <w:tc>
          <w:tcPr>
            <w:tcW w:w="1417" w:type="dxa"/>
            <w:tcBorders>
              <w:lef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C71CCF">
              <w:rPr>
                <w:rFonts w:cs="Arial"/>
                <w:sz w:val="20"/>
                <w:szCs w:val="20"/>
              </w:rPr>
              <w:t>724</w:t>
            </w:r>
          </w:p>
        </w:tc>
      </w:tr>
      <w:tr w:rsidR="00391A6C" w:rsidRPr="00C71CCF"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tc>
        <w:tc>
          <w:tcPr>
            <w:tcW w:w="1276"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17"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color w:val="000000"/>
                <w:sz w:val="20"/>
                <w:szCs w:val="20"/>
              </w:rPr>
              <w:t>4 kernels/d</w:t>
            </w:r>
          </w:p>
        </w:tc>
        <w:tc>
          <w:tcPr>
            <w:tcW w:w="1418"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2.4</w:t>
            </w:r>
          </w:p>
        </w:tc>
        <w:tc>
          <w:tcPr>
            <w:tcW w:w="1417" w:type="dxa"/>
            <w:tcBorders>
              <w:lef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91</w:t>
            </w:r>
          </w:p>
        </w:tc>
      </w:tr>
      <w:tr w:rsidR="00391A6C" w:rsidRPr="00C71CCF"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C71CCF">
              <w:rPr>
                <w:rFonts w:cs="Arial"/>
                <w:color w:val="000000"/>
                <w:sz w:val="20"/>
                <w:szCs w:val="20"/>
              </w:rPr>
              <w:t>Apricot kernels, without skin</w:t>
            </w:r>
            <w:r w:rsidR="008F5465" w:rsidRPr="008F5465">
              <w:rPr>
                <w:rFonts w:cs="Arial"/>
                <w:color w:val="000000"/>
                <w:sz w:val="20"/>
                <w:szCs w:val="20"/>
                <w:vertAlign w:val="superscript"/>
              </w:rPr>
              <w:t>d</w:t>
            </w:r>
          </w:p>
        </w:tc>
        <w:tc>
          <w:tcPr>
            <w:tcW w:w="1276"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1417"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C71CCF">
              <w:rPr>
                <w:rFonts w:cs="Arial"/>
                <w:color w:val="000000"/>
                <w:sz w:val="20"/>
                <w:szCs w:val="20"/>
              </w:rPr>
              <w:t>32 kernels/d</w:t>
            </w:r>
          </w:p>
        </w:tc>
        <w:tc>
          <w:tcPr>
            <w:tcW w:w="1418"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C71CCF">
              <w:rPr>
                <w:rFonts w:cs="Arial"/>
                <w:sz w:val="20"/>
                <w:szCs w:val="20"/>
              </w:rPr>
              <w:t>19</w:t>
            </w:r>
            <w:r>
              <w:rPr>
                <w:rFonts w:cs="Arial"/>
                <w:sz w:val="20"/>
                <w:szCs w:val="20"/>
              </w:rPr>
              <w:t>.0</w:t>
            </w:r>
          </w:p>
        </w:tc>
        <w:tc>
          <w:tcPr>
            <w:tcW w:w="1417" w:type="dxa"/>
            <w:tcBorders>
              <w:lef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C71CCF">
              <w:rPr>
                <w:rFonts w:cs="Arial"/>
                <w:sz w:val="20"/>
                <w:szCs w:val="20"/>
              </w:rPr>
              <w:t>113</w:t>
            </w:r>
          </w:p>
        </w:tc>
      </w:tr>
      <w:tr w:rsidR="00391A6C" w:rsidRPr="00C71CCF"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tc>
        <w:tc>
          <w:tcPr>
            <w:tcW w:w="1276"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17"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color w:val="000000"/>
                <w:sz w:val="20"/>
                <w:szCs w:val="20"/>
              </w:rPr>
              <w:t>4 kernels/d</w:t>
            </w:r>
          </w:p>
        </w:tc>
        <w:tc>
          <w:tcPr>
            <w:tcW w:w="1418"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2.4</w:t>
            </w:r>
          </w:p>
        </w:tc>
        <w:tc>
          <w:tcPr>
            <w:tcW w:w="1417" w:type="dxa"/>
            <w:tcBorders>
              <w:lef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14</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C71CCF">
              <w:rPr>
                <w:rFonts w:cs="Arial"/>
                <w:color w:val="000000"/>
                <w:sz w:val="20"/>
                <w:szCs w:val="20"/>
              </w:rPr>
              <w:t>Apricot nectar</w:t>
            </w:r>
          </w:p>
        </w:tc>
        <w:tc>
          <w:tcPr>
            <w:tcW w:w="1276"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C71CCF">
              <w:rPr>
                <w:rFonts w:cs="Arial"/>
                <w:sz w:val="20"/>
                <w:szCs w:val="20"/>
              </w:rPr>
              <w:t>30</w:t>
            </w:r>
          </w:p>
        </w:tc>
        <w:tc>
          <w:tcPr>
            <w:tcW w:w="1417"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C71CCF">
              <w:rPr>
                <w:rFonts w:cs="Arial"/>
                <w:sz w:val="20"/>
                <w:szCs w:val="20"/>
              </w:rPr>
              <w:t>P50</w:t>
            </w:r>
          </w:p>
        </w:tc>
        <w:tc>
          <w:tcPr>
            <w:tcW w:w="1418"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C71CCF">
              <w:rPr>
                <w:rFonts w:cs="Arial"/>
                <w:sz w:val="20"/>
                <w:szCs w:val="20"/>
              </w:rPr>
              <w:t>223</w:t>
            </w:r>
          </w:p>
        </w:tc>
        <w:tc>
          <w:tcPr>
            <w:tcW w:w="1417" w:type="dxa"/>
            <w:tcBorders>
              <w:left w:val="none" w:sz="0" w:space="0" w:color="auto"/>
            </w:tcBorders>
          </w:tcPr>
          <w:p w:rsidR="00391A6C" w:rsidRPr="00C71CCF" w:rsidRDefault="007E50AD"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15</w:t>
            </w:r>
          </w:p>
        </w:tc>
      </w:tr>
      <w:tr w:rsidR="00391A6C" w:rsidRPr="00C71CCF"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C71CCF">
              <w:rPr>
                <w:rFonts w:cs="Arial"/>
                <w:sz w:val="20"/>
                <w:szCs w:val="20"/>
              </w:rPr>
              <w:t>Bamboo shoots</w:t>
            </w:r>
            <w:r w:rsidRPr="00966234">
              <w:rPr>
                <w:rFonts w:cs="Arial"/>
                <w:sz w:val="20"/>
                <w:szCs w:val="20"/>
                <w:vertAlign w:val="superscript"/>
              </w:rPr>
              <w:t>b</w:t>
            </w:r>
          </w:p>
        </w:tc>
        <w:tc>
          <w:tcPr>
            <w:tcW w:w="1276"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58</w:t>
            </w:r>
          </w:p>
        </w:tc>
        <w:tc>
          <w:tcPr>
            <w:tcW w:w="1417"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P97.5</w:t>
            </w:r>
          </w:p>
        </w:tc>
        <w:tc>
          <w:tcPr>
            <w:tcW w:w="1418"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86</w:t>
            </w:r>
          </w:p>
        </w:tc>
        <w:tc>
          <w:tcPr>
            <w:tcW w:w="1417" w:type="dxa"/>
            <w:tcBorders>
              <w:lef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51</w:t>
            </w:r>
          </w:p>
        </w:tc>
      </w:tr>
      <w:tr w:rsidR="00391A6C" w:rsidRPr="00C71CCF"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szCs w:val="20"/>
              </w:rPr>
            </w:pPr>
            <w:r w:rsidRPr="00C71CCF">
              <w:rPr>
                <w:rFonts w:cs="Arial"/>
                <w:color w:val="000000"/>
                <w:sz w:val="20"/>
                <w:szCs w:val="20"/>
              </w:rPr>
              <w:t>Biscuits, amaretti</w:t>
            </w:r>
            <w:r w:rsidR="008F5465" w:rsidRPr="008F5465">
              <w:rPr>
                <w:rFonts w:cs="Arial"/>
                <w:color w:val="000000"/>
                <w:sz w:val="20"/>
                <w:szCs w:val="20"/>
                <w:vertAlign w:val="superscript"/>
              </w:rPr>
              <w:t>d</w:t>
            </w:r>
          </w:p>
        </w:tc>
        <w:tc>
          <w:tcPr>
            <w:tcW w:w="1276"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1417"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C71CCF">
              <w:rPr>
                <w:rFonts w:cs="Arial"/>
                <w:color w:val="000000"/>
                <w:sz w:val="20"/>
                <w:szCs w:val="20"/>
              </w:rPr>
              <w:t>1 serve</w:t>
            </w:r>
          </w:p>
        </w:tc>
        <w:tc>
          <w:tcPr>
            <w:tcW w:w="1418"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C71CCF">
              <w:rPr>
                <w:rFonts w:cs="Arial"/>
                <w:color w:val="000000"/>
                <w:sz w:val="20"/>
                <w:szCs w:val="20"/>
              </w:rPr>
              <w:t>30</w:t>
            </w:r>
          </w:p>
        </w:tc>
        <w:tc>
          <w:tcPr>
            <w:tcW w:w="1417" w:type="dxa"/>
            <w:tcBorders>
              <w:lef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C71CCF">
              <w:rPr>
                <w:rFonts w:cs="Arial"/>
                <w:color w:val="000000"/>
                <w:sz w:val="20"/>
                <w:szCs w:val="20"/>
              </w:rPr>
              <w:t>14</w:t>
            </w:r>
          </w:p>
        </w:tc>
      </w:tr>
      <w:tr w:rsidR="00391A6C" w:rsidRPr="00C71CCF"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C71CCF">
              <w:rPr>
                <w:rFonts w:cs="Arial"/>
                <w:color w:val="000000"/>
                <w:sz w:val="20"/>
                <w:szCs w:val="20"/>
              </w:rPr>
              <w:t>Biscuits, almond fingers/apple fingers</w:t>
            </w:r>
            <w:r w:rsidR="008F5465" w:rsidRPr="008F5465">
              <w:rPr>
                <w:rFonts w:cs="Arial"/>
                <w:color w:val="000000"/>
                <w:sz w:val="20"/>
                <w:szCs w:val="20"/>
                <w:vertAlign w:val="superscript"/>
              </w:rPr>
              <w:t>d</w:t>
            </w:r>
          </w:p>
        </w:tc>
        <w:tc>
          <w:tcPr>
            <w:tcW w:w="1276"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17"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1 serve</w:t>
            </w:r>
          </w:p>
        </w:tc>
        <w:tc>
          <w:tcPr>
            <w:tcW w:w="1418"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47</w:t>
            </w:r>
          </w:p>
        </w:tc>
        <w:tc>
          <w:tcPr>
            <w:tcW w:w="1417" w:type="dxa"/>
            <w:tcBorders>
              <w:lef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C71CCF">
              <w:rPr>
                <w:rFonts w:cs="Arial"/>
                <w:sz w:val="20"/>
                <w:szCs w:val="20"/>
              </w:rPr>
              <w:t>8</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C71CCF">
              <w:rPr>
                <w:rFonts w:cs="Arial"/>
                <w:sz w:val="20"/>
                <w:szCs w:val="20"/>
              </w:rPr>
              <w:t>Bread containing linseed</w:t>
            </w:r>
          </w:p>
        </w:tc>
        <w:tc>
          <w:tcPr>
            <w:tcW w:w="1276"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C71CCF">
              <w:rPr>
                <w:rFonts w:cs="Arial"/>
                <w:sz w:val="20"/>
                <w:szCs w:val="20"/>
              </w:rPr>
              <w:t>3887</w:t>
            </w:r>
          </w:p>
        </w:tc>
        <w:tc>
          <w:tcPr>
            <w:tcW w:w="1417"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C71CCF">
              <w:rPr>
                <w:rFonts w:cs="Arial"/>
                <w:sz w:val="20"/>
                <w:szCs w:val="20"/>
              </w:rPr>
              <w:t>P97.5</w:t>
            </w:r>
          </w:p>
        </w:tc>
        <w:tc>
          <w:tcPr>
            <w:tcW w:w="1418"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C71CCF">
              <w:rPr>
                <w:rFonts w:cs="Arial"/>
                <w:sz w:val="20"/>
                <w:szCs w:val="20"/>
              </w:rPr>
              <w:t>246</w:t>
            </w:r>
          </w:p>
        </w:tc>
        <w:tc>
          <w:tcPr>
            <w:tcW w:w="1417" w:type="dxa"/>
            <w:tcBorders>
              <w:lef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C71CCF">
              <w:rPr>
                <w:rFonts w:cs="Arial"/>
                <w:sz w:val="20"/>
                <w:szCs w:val="20"/>
              </w:rPr>
              <w:t>163</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Butter beans</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34</w:t>
            </w:r>
          </w:p>
        </w:tc>
        <w:tc>
          <w:tcPr>
            <w:tcW w:w="1417"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P50</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35</w:t>
            </w:r>
          </w:p>
        </w:tc>
        <w:tc>
          <w:tcPr>
            <w:tcW w:w="1417"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3</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C71CCF" w:rsidRDefault="00391A6C" w:rsidP="00A40AEA">
            <w:pPr>
              <w:rPr>
                <w:rFonts w:cs="Arial"/>
                <w:color w:val="000000"/>
                <w:sz w:val="20"/>
                <w:szCs w:val="20"/>
              </w:rPr>
            </w:pPr>
            <w:r w:rsidRPr="00C71CCF">
              <w:rPr>
                <w:rFonts w:cs="Arial"/>
                <w:color w:val="000000"/>
                <w:sz w:val="20"/>
                <w:szCs w:val="20"/>
              </w:rPr>
              <w:t xml:space="preserve">Cassava roots, </w:t>
            </w:r>
            <w:r w:rsidRPr="00891A6A">
              <w:rPr>
                <w:rFonts w:cs="Arial"/>
                <w:color w:val="000000"/>
                <w:sz w:val="20"/>
                <w:szCs w:val="20"/>
              </w:rPr>
              <w:t>cooked</w:t>
            </w:r>
            <w:r w:rsidRPr="00966234">
              <w:rPr>
                <w:rFonts w:cs="Arial"/>
                <w:bCs w:val="0"/>
                <w:sz w:val="20"/>
                <w:vertAlign w:val="superscript"/>
              </w:rPr>
              <w:t>c</w:t>
            </w:r>
          </w:p>
        </w:tc>
        <w:tc>
          <w:tcPr>
            <w:tcW w:w="1276"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C71CCF">
              <w:rPr>
                <w:rFonts w:cs="Arial"/>
                <w:sz w:val="20"/>
                <w:szCs w:val="20"/>
              </w:rPr>
              <w:t>1</w:t>
            </w:r>
          </w:p>
        </w:tc>
        <w:tc>
          <w:tcPr>
            <w:tcW w:w="1417"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C71CCF">
              <w:rPr>
                <w:rFonts w:cs="Arial"/>
                <w:sz w:val="20"/>
                <w:szCs w:val="20"/>
              </w:rPr>
              <w:t>P50</w:t>
            </w:r>
          </w:p>
        </w:tc>
        <w:tc>
          <w:tcPr>
            <w:tcW w:w="1418" w:type="dxa"/>
            <w:tcBorders>
              <w:left w:val="none" w:sz="0" w:space="0" w:color="auto"/>
              <w:righ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C71CCF">
              <w:rPr>
                <w:rFonts w:cs="Arial"/>
                <w:sz w:val="20"/>
                <w:szCs w:val="20"/>
              </w:rPr>
              <w:t>195</w:t>
            </w:r>
          </w:p>
        </w:tc>
        <w:tc>
          <w:tcPr>
            <w:tcW w:w="1417" w:type="dxa"/>
            <w:tcBorders>
              <w:left w:val="none" w:sz="0" w:space="0" w:color="auto"/>
            </w:tcBorders>
          </w:tcPr>
          <w:p w:rsidR="00391A6C" w:rsidRPr="00C71CCF"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69</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A93CEE" w:rsidRDefault="00391A6C" w:rsidP="00A40AEA">
            <w:pPr>
              <w:rPr>
                <w:rFonts w:cs="Arial"/>
                <w:color w:val="000000"/>
                <w:sz w:val="20"/>
                <w:szCs w:val="20"/>
              </w:rPr>
            </w:pPr>
            <w:r w:rsidRPr="00A93CEE">
              <w:rPr>
                <w:rFonts w:cs="Arial"/>
                <w:color w:val="000000"/>
                <w:sz w:val="20"/>
                <w:szCs w:val="20"/>
              </w:rPr>
              <w:t>Cassava starch</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21</w:t>
            </w:r>
          </w:p>
        </w:tc>
        <w:tc>
          <w:tcPr>
            <w:tcW w:w="1417"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P50</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16</w:t>
            </w:r>
          </w:p>
        </w:tc>
        <w:tc>
          <w:tcPr>
            <w:tcW w:w="1417"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&lt;1</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Cherry brandy</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117</w:t>
            </w:r>
          </w:p>
        </w:tc>
        <w:tc>
          <w:tcPr>
            <w:tcW w:w="1417"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P97.5</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258</w:t>
            </w:r>
          </w:p>
        </w:tc>
        <w:tc>
          <w:tcPr>
            <w:tcW w:w="1417"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14</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Lima beans</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45</w:t>
            </w:r>
          </w:p>
        </w:tc>
        <w:tc>
          <w:tcPr>
            <w:tcW w:w="1417"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P97.5</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135</w:t>
            </w:r>
          </w:p>
        </w:tc>
        <w:tc>
          <w:tcPr>
            <w:tcW w:w="1417"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59</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Linseed</w:t>
            </w:r>
            <w:r>
              <w:rPr>
                <w:rFonts w:cs="Arial"/>
                <w:sz w:val="20"/>
                <w:szCs w:val="20"/>
              </w:rPr>
              <w:t>s</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NC</w:t>
            </w:r>
          </w:p>
        </w:tc>
        <w:tc>
          <w:tcPr>
            <w:tcW w:w="1417"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NC</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NC</w:t>
            </w:r>
          </w:p>
        </w:tc>
        <w:tc>
          <w:tcPr>
            <w:tcW w:w="1417"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NC</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Linseed oil</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NC</w:t>
            </w:r>
          </w:p>
        </w:tc>
        <w:tc>
          <w:tcPr>
            <w:tcW w:w="1417"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NC</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NC</w:t>
            </w:r>
          </w:p>
        </w:tc>
        <w:tc>
          <w:tcPr>
            <w:tcW w:w="1417"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NC</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LSA mix</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NC</w:t>
            </w:r>
          </w:p>
        </w:tc>
        <w:tc>
          <w:tcPr>
            <w:tcW w:w="1417"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NC</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NC</w:t>
            </w:r>
          </w:p>
        </w:tc>
        <w:tc>
          <w:tcPr>
            <w:tcW w:w="1417"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NC</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Marzipan</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3</w:t>
            </w:r>
          </w:p>
        </w:tc>
        <w:tc>
          <w:tcPr>
            <w:tcW w:w="1417"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P50</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48</w:t>
            </w:r>
          </w:p>
        </w:tc>
        <w:tc>
          <w:tcPr>
            <w:tcW w:w="1417"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3</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Passionfruit</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404</w:t>
            </w:r>
          </w:p>
        </w:tc>
        <w:tc>
          <w:tcPr>
            <w:tcW w:w="1417"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P97.5</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54</w:t>
            </w:r>
          </w:p>
        </w:tc>
        <w:tc>
          <w:tcPr>
            <w:tcW w:w="1417"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5</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Prune juice</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6</w:t>
            </w:r>
          </w:p>
        </w:tc>
        <w:tc>
          <w:tcPr>
            <w:tcW w:w="1417"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P50</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540</w:t>
            </w:r>
          </w:p>
        </w:tc>
        <w:tc>
          <w:tcPr>
            <w:tcW w:w="1417"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29</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Pumpkin seed</w:t>
            </w:r>
            <w:r>
              <w:rPr>
                <w:rFonts w:cs="Arial"/>
                <w:sz w:val="20"/>
                <w:szCs w:val="20"/>
              </w:rPr>
              <w:t>s</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NC</w:t>
            </w:r>
          </w:p>
        </w:tc>
        <w:tc>
          <w:tcPr>
            <w:tcW w:w="1417"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NC</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NC</w:t>
            </w:r>
          </w:p>
        </w:tc>
        <w:tc>
          <w:tcPr>
            <w:tcW w:w="1417"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NC</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Spinach</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183</w:t>
            </w:r>
          </w:p>
        </w:tc>
        <w:tc>
          <w:tcPr>
            <w:tcW w:w="1417"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P97.5</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380</w:t>
            </w:r>
          </w:p>
        </w:tc>
        <w:tc>
          <w:tcPr>
            <w:tcW w:w="1417"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21</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Sunflower seed</w:t>
            </w:r>
            <w:r>
              <w:rPr>
                <w:rFonts w:cs="Arial"/>
                <w:sz w:val="20"/>
                <w:szCs w:val="20"/>
              </w:rPr>
              <w:t>s</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744</w:t>
            </w:r>
          </w:p>
        </w:tc>
        <w:tc>
          <w:tcPr>
            <w:tcW w:w="1417"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P97.5</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19</w:t>
            </w:r>
          </w:p>
        </w:tc>
        <w:tc>
          <w:tcPr>
            <w:tcW w:w="1417"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1</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Taro</w:t>
            </w:r>
            <w:r>
              <w:rPr>
                <w:rFonts w:cs="Arial"/>
                <w:sz w:val="20"/>
                <w:szCs w:val="20"/>
              </w:rPr>
              <w:t>,</w:t>
            </w:r>
            <w:r w:rsidRPr="00A93CEE">
              <w:rPr>
                <w:rFonts w:cs="Arial"/>
                <w:sz w:val="20"/>
                <w:szCs w:val="20"/>
              </w:rPr>
              <w:t xml:space="preserve"> in mixed foods </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NC</w:t>
            </w:r>
          </w:p>
        </w:tc>
        <w:tc>
          <w:tcPr>
            <w:tcW w:w="1417"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NC</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NC</w:t>
            </w:r>
          </w:p>
        </w:tc>
        <w:tc>
          <w:tcPr>
            <w:tcW w:w="1417"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NC</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Taro</w:t>
            </w:r>
            <w:r>
              <w:rPr>
                <w:rFonts w:cs="Arial"/>
                <w:sz w:val="20"/>
                <w:szCs w:val="20"/>
              </w:rPr>
              <w:t>,</w:t>
            </w:r>
            <w:r w:rsidRPr="00A93CEE">
              <w:rPr>
                <w:rFonts w:cs="Arial"/>
                <w:sz w:val="20"/>
                <w:szCs w:val="20"/>
              </w:rPr>
              <w:t xml:space="preserve"> leaves only</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NC</w:t>
            </w:r>
          </w:p>
        </w:tc>
        <w:tc>
          <w:tcPr>
            <w:tcW w:w="1417"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NC</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NC</w:t>
            </w:r>
          </w:p>
        </w:tc>
        <w:tc>
          <w:tcPr>
            <w:tcW w:w="1417"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NC</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Vine leaves, stuffed, canned</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9</w:t>
            </w:r>
          </w:p>
        </w:tc>
        <w:tc>
          <w:tcPr>
            <w:tcW w:w="1417"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P50</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112</w:t>
            </w:r>
          </w:p>
        </w:tc>
        <w:tc>
          <w:tcPr>
            <w:tcW w:w="1417"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6</w:t>
            </w:r>
          </w:p>
        </w:tc>
      </w:tr>
    </w:tbl>
    <w:p w:rsidR="00391A6C" w:rsidRDefault="00391A6C" w:rsidP="00391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A93CEE">
        <w:rPr>
          <w:rFonts w:cs="Arial"/>
          <w:sz w:val="18"/>
          <w:szCs w:val="18"/>
        </w:rPr>
        <w:t>NC = not consumed.</w:t>
      </w:r>
    </w:p>
    <w:p w:rsidR="00391A6C" w:rsidRPr="00966234" w:rsidRDefault="00391A6C" w:rsidP="00391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B54D20">
        <w:rPr>
          <w:rFonts w:cs="Arial"/>
          <w:sz w:val="18"/>
          <w:szCs w:val="18"/>
          <w:vertAlign w:val="superscript"/>
        </w:rPr>
        <w:t xml:space="preserve">a </w:t>
      </w:r>
      <w:r w:rsidRPr="00966234">
        <w:rPr>
          <w:rFonts w:cs="Arial"/>
          <w:sz w:val="18"/>
          <w:szCs w:val="18"/>
        </w:rPr>
        <w:t>Survey 2, EU method</w:t>
      </w:r>
      <w:r>
        <w:rPr>
          <w:rFonts w:cs="Arial"/>
          <w:sz w:val="18"/>
          <w:szCs w:val="18"/>
        </w:rPr>
        <w:t>.</w:t>
      </w:r>
    </w:p>
    <w:p w:rsidR="00391A6C" w:rsidRPr="00966234" w:rsidRDefault="00391A6C" w:rsidP="00391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B54D20">
        <w:rPr>
          <w:rFonts w:cs="Arial"/>
          <w:sz w:val="18"/>
          <w:szCs w:val="18"/>
          <w:vertAlign w:val="superscript"/>
        </w:rPr>
        <w:t>b</w:t>
      </w:r>
      <w:r w:rsidRPr="00966234">
        <w:rPr>
          <w:rFonts w:cs="Arial"/>
          <w:sz w:val="18"/>
          <w:szCs w:val="18"/>
        </w:rPr>
        <w:t xml:space="preserve"> Survey 1</w:t>
      </w:r>
      <w:r>
        <w:rPr>
          <w:rFonts w:cs="Arial"/>
          <w:sz w:val="18"/>
          <w:szCs w:val="18"/>
        </w:rPr>
        <w:t>.</w:t>
      </w:r>
    </w:p>
    <w:p w:rsidR="00391A6C" w:rsidRDefault="00391A6C" w:rsidP="00391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B54D20">
        <w:rPr>
          <w:rFonts w:cs="Arial"/>
          <w:sz w:val="18"/>
          <w:szCs w:val="18"/>
          <w:vertAlign w:val="superscript"/>
        </w:rPr>
        <w:t>c</w:t>
      </w:r>
      <w:r w:rsidRPr="00966234">
        <w:rPr>
          <w:rFonts w:cs="Arial"/>
          <w:sz w:val="18"/>
          <w:szCs w:val="18"/>
        </w:rPr>
        <w:t xml:space="preserve"> Survey 3, sweet </w:t>
      </w:r>
      <w:r w:rsidR="003F1E1D">
        <w:rPr>
          <w:rFonts w:cs="Arial"/>
          <w:sz w:val="18"/>
          <w:szCs w:val="18"/>
        </w:rPr>
        <w:t xml:space="preserve">cassava </w:t>
      </w:r>
      <w:r w:rsidRPr="00966234">
        <w:rPr>
          <w:rFonts w:cs="Arial"/>
          <w:sz w:val="18"/>
          <w:szCs w:val="18"/>
        </w:rPr>
        <w:t>only</w:t>
      </w:r>
      <w:r>
        <w:rPr>
          <w:rFonts w:cs="Arial"/>
          <w:sz w:val="18"/>
          <w:szCs w:val="18"/>
        </w:rPr>
        <w:t>.</w:t>
      </w:r>
    </w:p>
    <w:p w:rsidR="008F5465" w:rsidRPr="0036079D" w:rsidRDefault="008F5465" w:rsidP="008F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AB6F48">
        <w:rPr>
          <w:rFonts w:cs="Arial"/>
          <w:bCs/>
          <w:sz w:val="18"/>
          <w:szCs w:val="18"/>
          <w:vertAlign w:val="superscript"/>
        </w:rPr>
        <w:t>d</w:t>
      </w:r>
      <w:r>
        <w:rPr>
          <w:rFonts w:cs="Arial"/>
          <w:bCs/>
          <w:sz w:val="18"/>
          <w:szCs w:val="18"/>
        </w:rPr>
        <w:t xml:space="preserve"> Consumption level based on </w:t>
      </w:r>
      <w:r w:rsidRPr="00AB6F48">
        <w:rPr>
          <w:rFonts w:cs="Arial"/>
          <w:bCs/>
          <w:sz w:val="18"/>
          <w:szCs w:val="18"/>
        </w:rPr>
        <w:t>recommended serves/recommended maximum consumption levels</w:t>
      </w:r>
      <w:r>
        <w:rPr>
          <w:rFonts w:cs="Arial"/>
          <w:bCs/>
          <w:sz w:val="18"/>
          <w:szCs w:val="18"/>
        </w:rPr>
        <w:t xml:space="preserve">. </w:t>
      </w:r>
    </w:p>
    <w:p w:rsidR="008F5465" w:rsidRPr="00A93CEE" w:rsidRDefault="008F5465" w:rsidP="00391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p>
    <w:p w:rsidR="00391A6C" w:rsidRDefault="00391A6C" w:rsidP="00391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r w:rsidRPr="002309E8">
        <w:rPr>
          <w:rFonts w:cs="Arial"/>
          <w:b/>
        </w:rPr>
        <w:br w:type="page"/>
      </w:r>
    </w:p>
    <w:p w:rsidR="00391A6C" w:rsidRPr="0064728F" w:rsidRDefault="00F57293" w:rsidP="0064728F">
      <w:pPr>
        <w:rPr>
          <w:rFonts w:asciiTheme="minorHAnsi" w:hAnsiTheme="minorHAnsi"/>
          <w:b/>
        </w:rPr>
      </w:pPr>
      <w:r w:rsidRPr="0064728F">
        <w:rPr>
          <w:rFonts w:asciiTheme="minorHAnsi" w:hAnsiTheme="minorHAnsi"/>
          <w:b/>
        </w:rPr>
        <w:lastRenderedPageBreak/>
        <w:t xml:space="preserve">Table A10.5. </w:t>
      </w:r>
      <w:r w:rsidR="00391A6C" w:rsidRPr="0064728F">
        <w:rPr>
          <w:rFonts w:asciiTheme="minorHAnsi" w:hAnsiTheme="minorHAnsi"/>
          <w:b/>
        </w:rPr>
        <w:t>Estimated acute dietary exposures to total HCN for young New Zealand children aged 5-6 years</w:t>
      </w:r>
    </w:p>
    <w:tbl>
      <w:tblPr>
        <w:tblStyle w:val="MediumShading1-Accent1"/>
        <w:tblW w:w="9109" w:type="dxa"/>
        <w:tblBorders>
          <w:insideV w:val="single" w:sz="8" w:space="0" w:color="7BA0CD" w:themeColor="accent1" w:themeTint="BF"/>
        </w:tblBorders>
        <w:tblLayout w:type="fixed"/>
        <w:tblLook w:val="04A0" w:firstRow="1" w:lastRow="0" w:firstColumn="1" w:lastColumn="0" w:noHBand="0" w:noVBand="1"/>
      </w:tblPr>
      <w:tblGrid>
        <w:gridCol w:w="3402"/>
        <w:gridCol w:w="1276"/>
        <w:gridCol w:w="1418"/>
        <w:gridCol w:w="1417"/>
        <w:gridCol w:w="1596"/>
      </w:tblGrid>
      <w:tr w:rsidR="00391A6C" w:rsidRPr="00A93CEE" w:rsidTr="00A40AEA">
        <w:trPr>
          <w:cnfStyle w:val="100000000000" w:firstRow="1" w:lastRow="0" w:firstColumn="0" w:lastColumn="0" w:oddVBand="0" w:evenVBand="0" w:oddHBand="0" w:evenHBand="0" w:firstRowFirstColumn="0" w:firstRowLastColumn="0" w:lastRowFirstColumn="0" w:lastRowLastColumn="0"/>
          <w:trHeight w:val="1047"/>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noWrap/>
            <w:hideMark/>
          </w:tcPr>
          <w:p w:rsidR="00391A6C" w:rsidRPr="00A93CEE" w:rsidRDefault="00391A6C" w:rsidP="00A40AEA">
            <w:pPr>
              <w:rPr>
                <w:rFonts w:cs="Arial"/>
                <w:bCs w:val="0"/>
                <w:sz w:val="20"/>
                <w:szCs w:val="20"/>
              </w:rPr>
            </w:pPr>
            <w:r w:rsidRPr="00A93CEE">
              <w:rPr>
                <w:rFonts w:cs="Arial"/>
                <w:bCs w:val="0"/>
                <w:sz w:val="20"/>
                <w:szCs w:val="20"/>
              </w:rPr>
              <w:t>Food</w:t>
            </w:r>
          </w:p>
        </w:tc>
        <w:tc>
          <w:tcPr>
            <w:tcW w:w="1276" w:type="dxa"/>
            <w:tcBorders>
              <w:top w:val="none" w:sz="0" w:space="0" w:color="auto"/>
              <w:left w:val="none" w:sz="0" w:space="0" w:color="auto"/>
              <w:bottom w:val="none" w:sz="0" w:space="0" w:color="auto"/>
              <w:right w:val="none" w:sz="0" w:space="0" w:color="auto"/>
            </w:tcBorders>
            <w:hideMark/>
          </w:tcPr>
          <w:p w:rsidR="00391A6C" w:rsidRPr="00A93CEE" w:rsidRDefault="00391A6C" w:rsidP="00A40AEA">
            <w:pPr>
              <w:ind w:left="-108"/>
              <w:jc w:val="right"/>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A93CEE">
              <w:rPr>
                <w:rFonts w:cs="Arial"/>
                <w:bCs w:val="0"/>
                <w:sz w:val="20"/>
                <w:szCs w:val="20"/>
              </w:rPr>
              <w:t>Number of consumers</w:t>
            </w:r>
          </w:p>
        </w:tc>
        <w:tc>
          <w:tcPr>
            <w:tcW w:w="1418" w:type="dxa"/>
            <w:tcBorders>
              <w:top w:val="none" w:sz="0" w:space="0" w:color="auto"/>
              <w:left w:val="none" w:sz="0" w:space="0" w:color="auto"/>
              <w:bottom w:val="none" w:sz="0" w:space="0" w:color="auto"/>
              <w:right w:val="none" w:sz="0" w:space="0" w:color="auto"/>
            </w:tcBorders>
            <w:hideMark/>
          </w:tcPr>
          <w:p w:rsidR="00391A6C" w:rsidRPr="00A93CEE" w:rsidRDefault="00391A6C" w:rsidP="00A40AEA">
            <w:pPr>
              <w:ind w:left="-108"/>
              <w:jc w:val="right"/>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A93CEE">
              <w:rPr>
                <w:rFonts w:cs="Arial"/>
                <w:bCs w:val="0"/>
                <w:sz w:val="20"/>
                <w:szCs w:val="20"/>
              </w:rPr>
              <w:t>Consumption level used</w:t>
            </w:r>
          </w:p>
        </w:tc>
        <w:tc>
          <w:tcPr>
            <w:tcW w:w="1417" w:type="dxa"/>
            <w:tcBorders>
              <w:top w:val="none" w:sz="0" w:space="0" w:color="auto"/>
              <w:left w:val="none" w:sz="0" w:space="0" w:color="auto"/>
              <w:bottom w:val="none" w:sz="0" w:space="0" w:color="auto"/>
              <w:right w:val="none" w:sz="0" w:space="0" w:color="auto"/>
            </w:tcBorders>
            <w:hideMark/>
          </w:tcPr>
          <w:p w:rsidR="00391A6C" w:rsidRPr="00A93CEE" w:rsidRDefault="00391A6C" w:rsidP="00A40AEA">
            <w:pPr>
              <w:ind w:left="-108"/>
              <w:jc w:val="right"/>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A93CEE">
              <w:rPr>
                <w:rFonts w:cs="Arial"/>
                <w:bCs w:val="0"/>
                <w:sz w:val="20"/>
                <w:szCs w:val="20"/>
              </w:rPr>
              <w:t>Consumption amount (g/day)</w:t>
            </w:r>
          </w:p>
        </w:tc>
        <w:tc>
          <w:tcPr>
            <w:tcW w:w="1596" w:type="dxa"/>
            <w:tcBorders>
              <w:top w:val="none" w:sz="0" w:space="0" w:color="auto"/>
              <w:left w:val="none" w:sz="0" w:space="0" w:color="auto"/>
              <w:bottom w:val="none" w:sz="0" w:space="0" w:color="auto"/>
              <w:right w:val="none" w:sz="0" w:space="0" w:color="auto"/>
            </w:tcBorders>
            <w:hideMark/>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A93CEE">
              <w:rPr>
                <w:rFonts w:cs="Arial"/>
                <w:bCs w:val="0"/>
                <w:sz w:val="20"/>
                <w:szCs w:val="20"/>
                <w:lang w:eastAsia="en-GB"/>
              </w:rPr>
              <w:t xml:space="preserve">Estimated </w:t>
            </w:r>
            <w:r>
              <w:rPr>
                <w:rFonts w:cs="Arial"/>
                <w:bCs w:val="0"/>
                <w:sz w:val="20"/>
                <w:szCs w:val="20"/>
                <w:lang w:eastAsia="en-GB"/>
              </w:rPr>
              <w:t xml:space="preserve">acute </w:t>
            </w:r>
            <w:r w:rsidRPr="00A93CEE">
              <w:rPr>
                <w:rFonts w:cs="Arial"/>
                <w:bCs w:val="0"/>
                <w:sz w:val="20"/>
                <w:szCs w:val="20"/>
                <w:lang w:eastAsia="en-GB"/>
              </w:rPr>
              <w:t xml:space="preserve">exposure to total </w:t>
            </w:r>
            <w:r w:rsidRPr="00A93CEE">
              <w:rPr>
                <w:rFonts w:cs="Arial"/>
                <w:sz w:val="20"/>
                <w:szCs w:val="20"/>
              </w:rPr>
              <w:t>HCN</w:t>
            </w:r>
          </w:p>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A93CEE">
              <w:rPr>
                <w:rFonts w:cs="Arial"/>
                <w:sz w:val="20"/>
                <w:szCs w:val="20"/>
              </w:rPr>
              <w:t>(µg/kg bw/day)</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noWrap/>
            <w:hideMark/>
          </w:tcPr>
          <w:p w:rsidR="00391A6C" w:rsidRPr="00A93CEE" w:rsidRDefault="00391A6C" w:rsidP="00A40AEA">
            <w:pPr>
              <w:rPr>
                <w:rFonts w:cs="Arial"/>
                <w:color w:val="000000"/>
                <w:sz w:val="20"/>
                <w:szCs w:val="20"/>
              </w:rPr>
            </w:pPr>
            <w:r w:rsidRPr="00A93CEE">
              <w:rPr>
                <w:rFonts w:cs="Arial"/>
                <w:color w:val="000000"/>
                <w:sz w:val="20"/>
                <w:szCs w:val="20"/>
              </w:rPr>
              <w:t>Almonds</w:t>
            </w:r>
          </w:p>
        </w:tc>
        <w:tc>
          <w:tcPr>
            <w:tcW w:w="1276" w:type="dxa"/>
            <w:tcBorders>
              <w:left w:val="none" w:sz="0" w:space="0" w:color="auto"/>
              <w:right w:val="none" w:sz="0" w:space="0" w:color="auto"/>
            </w:tcBorders>
            <w:noWrap/>
            <w:hideMark/>
          </w:tcPr>
          <w:p w:rsidR="00391A6C" w:rsidRPr="00A93CEE"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93CEE">
              <w:rPr>
                <w:rFonts w:cs="Arial"/>
                <w:color w:val="000000"/>
                <w:sz w:val="20"/>
                <w:szCs w:val="20"/>
              </w:rPr>
              <w:t>21</w:t>
            </w:r>
          </w:p>
        </w:tc>
        <w:tc>
          <w:tcPr>
            <w:tcW w:w="1418" w:type="dxa"/>
            <w:tcBorders>
              <w:left w:val="none" w:sz="0" w:space="0" w:color="auto"/>
              <w:right w:val="none" w:sz="0" w:space="0" w:color="auto"/>
            </w:tcBorders>
            <w:noWrap/>
            <w:hideMark/>
          </w:tcPr>
          <w:p w:rsidR="00391A6C" w:rsidRPr="00A93CEE"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93CEE">
              <w:rPr>
                <w:rFonts w:cs="Arial"/>
                <w:color w:val="000000"/>
                <w:sz w:val="20"/>
                <w:szCs w:val="20"/>
              </w:rPr>
              <w:t>P50</w:t>
            </w:r>
          </w:p>
        </w:tc>
        <w:tc>
          <w:tcPr>
            <w:tcW w:w="1417" w:type="dxa"/>
            <w:tcBorders>
              <w:left w:val="none" w:sz="0" w:space="0" w:color="auto"/>
              <w:right w:val="none" w:sz="0" w:space="0" w:color="auto"/>
            </w:tcBorders>
            <w:noWrap/>
            <w:hideMark/>
          </w:tcPr>
          <w:p w:rsidR="00391A6C" w:rsidRPr="00A93CEE"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93CEE">
              <w:rPr>
                <w:rFonts w:cs="Arial"/>
                <w:color w:val="000000"/>
                <w:sz w:val="20"/>
                <w:szCs w:val="20"/>
              </w:rPr>
              <w:t>2</w:t>
            </w:r>
          </w:p>
        </w:tc>
        <w:tc>
          <w:tcPr>
            <w:tcW w:w="1596" w:type="dxa"/>
            <w:tcBorders>
              <w:left w:val="none" w:sz="0" w:space="0" w:color="auto"/>
            </w:tcBorders>
            <w:noWrap/>
            <w:hideMark/>
          </w:tcPr>
          <w:p w:rsidR="00391A6C" w:rsidRPr="00A93CEE"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93CEE">
              <w:rPr>
                <w:rFonts w:cs="Arial"/>
                <w:color w:val="000000"/>
                <w:sz w:val="20"/>
                <w:szCs w:val="20"/>
              </w:rPr>
              <w:t>1</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noWrap/>
            <w:hideMark/>
          </w:tcPr>
          <w:p w:rsidR="00391A6C" w:rsidRPr="00C71CCF" w:rsidRDefault="00391A6C" w:rsidP="00A40AEA">
            <w:pPr>
              <w:rPr>
                <w:rFonts w:cs="Arial"/>
                <w:color w:val="000000"/>
                <w:sz w:val="20"/>
                <w:szCs w:val="20"/>
              </w:rPr>
            </w:pPr>
            <w:r w:rsidRPr="00C71CCF">
              <w:rPr>
                <w:rFonts w:cs="Arial"/>
                <w:color w:val="000000"/>
                <w:sz w:val="20"/>
                <w:szCs w:val="20"/>
              </w:rPr>
              <w:t>Almond oil</w:t>
            </w:r>
          </w:p>
        </w:tc>
        <w:tc>
          <w:tcPr>
            <w:tcW w:w="1276" w:type="dxa"/>
            <w:tcBorders>
              <w:left w:val="none" w:sz="0" w:space="0" w:color="auto"/>
              <w:righ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NC</w:t>
            </w:r>
          </w:p>
        </w:tc>
        <w:tc>
          <w:tcPr>
            <w:tcW w:w="1418" w:type="dxa"/>
            <w:tcBorders>
              <w:left w:val="none" w:sz="0" w:space="0" w:color="auto"/>
              <w:righ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NC</w:t>
            </w:r>
          </w:p>
        </w:tc>
        <w:tc>
          <w:tcPr>
            <w:tcW w:w="1417" w:type="dxa"/>
            <w:tcBorders>
              <w:left w:val="none" w:sz="0" w:space="0" w:color="auto"/>
              <w:righ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NC</w:t>
            </w:r>
          </w:p>
        </w:tc>
        <w:tc>
          <w:tcPr>
            <w:tcW w:w="1596" w:type="dxa"/>
            <w:tcBorders>
              <w:lef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NC</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noWrap/>
            <w:hideMark/>
          </w:tcPr>
          <w:p w:rsidR="00391A6C" w:rsidRPr="00C71CCF" w:rsidRDefault="00391A6C" w:rsidP="00A40AEA">
            <w:pPr>
              <w:rPr>
                <w:rFonts w:cs="Arial"/>
                <w:color w:val="000000"/>
                <w:sz w:val="20"/>
                <w:szCs w:val="20"/>
              </w:rPr>
            </w:pPr>
            <w:r w:rsidRPr="00C71CCF">
              <w:rPr>
                <w:rFonts w:cs="Arial"/>
                <w:color w:val="000000"/>
                <w:sz w:val="20"/>
                <w:szCs w:val="20"/>
              </w:rPr>
              <w:t>Apple juice</w:t>
            </w:r>
            <w:r w:rsidRPr="00966234">
              <w:rPr>
                <w:rFonts w:cs="Arial"/>
                <w:color w:val="000000"/>
                <w:sz w:val="20"/>
                <w:szCs w:val="20"/>
                <w:vertAlign w:val="superscript"/>
              </w:rPr>
              <w:t>a</w:t>
            </w:r>
          </w:p>
        </w:tc>
        <w:tc>
          <w:tcPr>
            <w:tcW w:w="1276" w:type="dxa"/>
            <w:tcBorders>
              <w:left w:val="none" w:sz="0" w:space="0" w:color="auto"/>
              <w:righ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70</w:t>
            </w:r>
          </w:p>
        </w:tc>
        <w:tc>
          <w:tcPr>
            <w:tcW w:w="1418" w:type="dxa"/>
            <w:tcBorders>
              <w:left w:val="none" w:sz="0" w:space="0" w:color="auto"/>
              <w:righ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P97.5</w:t>
            </w:r>
          </w:p>
        </w:tc>
        <w:tc>
          <w:tcPr>
            <w:tcW w:w="1417" w:type="dxa"/>
            <w:tcBorders>
              <w:left w:val="none" w:sz="0" w:space="0" w:color="auto"/>
              <w:righ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830</w:t>
            </w:r>
          </w:p>
        </w:tc>
        <w:tc>
          <w:tcPr>
            <w:tcW w:w="1596" w:type="dxa"/>
            <w:tcBorders>
              <w:lef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6</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noWrap/>
            <w:hideMark/>
          </w:tcPr>
          <w:p w:rsidR="00391A6C" w:rsidRPr="00C71CCF" w:rsidRDefault="00391A6C" w:rsidP="00A40AEA">
            <w:pPr>
              <w:rPr>
                <w:rFonts w:cs="Arial"/>
                <w:color w:val="000000"/>
                <w:sz w:val="20"/>
                <w:szCs w:val="20"/>
              </w:rPr>
            </w:pPr>
            <w:r w:rsidRPr="00C71CCF">
              <w:rPr>
                <w:rFonts w:cs="Arial"/>
                <w:color w:val="000000"/>
                <w:sz w:val="20"/>
                <w:szCs w:val="20"/>
              </w:rPr>
              <w:t>Apple sauce</w:t>
            </w:r>
          </w:p>
        </w:tc>
        <w:tc>
          <w:tcPr>
            <w:tcW w:w="1276" w:type="dxa"/>
            <w:tcBorders>
              <w:left w:val="none" w:sz="0" w:space="0" w:color="auto"/>
              <w:righ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3</w:t>
            </w:r>
          </w:p>
        </w:tc>
        <w:tc>
          <w:tcPr>
            <w:tcW w:w="1418" w:type="dxa"/>
            <w:tcBorders>
              <w:left w:val="none" w:sz="0" w:space="0" w:color="auto"/>
              <w:righ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P50</w:t>
            </w:r>
          </w:p>
        </w:tc>
        <w:tc>
          <w:tcPr>
            <w:tcW w:w="1417" w:type="dxa"/>
            <w:tcBorders>
              <w:left w:val="none" w:sz="0" w:space="0" w:color="auto"/>
              <w:righ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17</w:t>
            </w:r>
          </w:p>
        </w:tc>
        <w:tc>
          <w:tcPr>
            <w:tcW w:w="1596" w:type="dxa"/>
            <w:tcBorders>
              <w:lef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3</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noWrap/>
            <w:hideMark/>
          </w:tcPr>
          <w:p w:rsidR="00391A6C" w:rsidRPr="00C71CCF" w:rsidRDefault="00391A6C" w:rsidP="00A40AEA">
            <w:pPr>
              <w:rPr>
                <w:rFonts w:cs="Arial"/>
                <w:color w:val="000000"/>
                <w:sz w:val="20"/>
                <w:szCs w:val="20"/>
              </w:rPr>
            </w:pPr>
            <w:r w:rsidRPr="00C71CCF">
              <w:rPr>
                <w:rFonts w:cs="Arial"/>
                <w:color w:val="000000"/>
                <w:sz w:val="20"/>
                <w:szCs w:val="20"/>
              </w:rPr>
              <w:t>Apple cider vinegar</w:t>
            </w:r>
          </w:p>
        </w:tc>
        <w:tc>
          <w:tcPr>
            <w:tcW w:w="1276" w:type="dxa"/>
            <w:tcBorders>
              <w:left w:val="none" w:sz="0" w:space="0" w:color="auto"/>
              <w:righ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567</w:t>
            </w:r>
          </w:p>
        </w:tc>
        <w:tc>
          <w:tcPr>
            <w:tcW w:w="1418" w:type="dxa"/>
            <w:tcBorders>
              <w:left w:val="none" w:sz="0" w:space="0" w:color="auto"/>
              <w:righ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P97.5</w:t>
            </w:r>
          </w:p>
        </w:tc>
        <w:tc>
          <w:tcPr>
            <w:tcW w:w="1417" w:type="dxa"/>
            <w:tcBorders>
              <w:left w:val="none" w:sz="0" w:space="0" w:color="auto"/>
              <w:righ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11</w:t>
            </w:r>
          </w:p>
        </w:tc>
        <w:tc>
          <w:tcPr>
            <w:tcW w:w="1596" w:type="dxa"/>
            <w:tcBorders>
              <w:lef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2</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noWrap/>
            <w:hideMark/>
          </w:tcPr>
          <w:p w:rsidR="00391A6C" w:rsidRPr="00C71CCF" w:rsidRDefault="00391A6C" w:rsidP="00A40AEA">
            <w:pPr>
              <w:rPr>
                <w:rFonts w:cs="Arial"/>
                <w:color w:val="000000"/>
                <w:sz w:val="20"/>
                <w:szCs w:val="20"/>
              </w:rPr>
            </w:pPr>
            <w:r w:rsidRPr="00C71CCF">
              <w:rPr>
                <w:rFonts w:cs="Arial"/>
                <w:color w:val="000000"/>
                <w:sz w:val="20"/>
                <w:szCs w:val="20"/>
              </w:rPr>
              <w:t>Apricots, canned</w:t>
            </w:r>
          </w:p>
        </w:tc>
        <w:tc>
          <w:tcPr>
            <w:tcW w:w="1276" w:type="dxa"/>
            <w:tcBorders>
              <w:left w:val="none" w:sz="0" w:space="0" w:color="auto"/>
              <w:righ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21</w:t>
            </w:r>
          </w:p>
        </w:tc>
        <w:tc>
          <w:tcPr>
            <w:tcW w:w="1418" w:type="dxa"/>
            <w:tcBorders>
              <w:left w:val="none" w:sz="0" w:space="0" w:color="auto"/>
              <w:righ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P50</w:t>
            </w:r>
          </w:p>
        </w:tc>
        <w:tc>
          <w:tcPr>
            <w:tcW w:w="1417" w:type="dxa"/>
            <w:tcBorders>
              <w:left w:val="none" w:sz="0" w:space="0" w:color="auto"/>
              <w:righ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14</w:t>
            </w:r>
          </w:p>
        </w:tc>
        <w:tc>
          <w:tcPr>
            <w:tcW w:w="1596" w:type="dxa"/>
            <w:tcBorders>
              <w:lef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2</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noWrap/>
          </w:tcPr>
          <w:p w:rsidR="00391A6C" w:rsidRPr="00C71CCF" w:rsidRDefault="00391A6C" w:rsidP="00A40AEA">
            <w:pPr>
              <w:rPr>
                <w:rFonts w:cs="Arial"/>
                <w:color w:val="000000"/>
                <w:sz w:val="20"/>
                <w:szCs w:val="20"/>
              </w:rPr>
            </w:pPr>
            <w:r w:rsidRPr="00C71CCF">
              <w:rPr>
                <w:rFonts w:cs="Arial"/>
                <w:color w:val="000000"/>
                <w:sz w:val="20"/>
                <w:szCs w:val="20"/>
              </w:rPr>
              <w:t>Apricot jam</w:t>
            </w:r>
          </w:p>
        </w:tc>
        <w:tc>
          <w:tcPr>
            <w:tcW w:w="1276" w:type="dxa"/>
            <w:tcBorders>
              <w:left w:val="none" w:sz="0" w:space="0" w:color="auto"/>
              <w:right w:val="none" w:sz="0" w:space="0" w:color="auto"/>
            </w:tcBorders>
            <w:noWrap/>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NC</w:t>
            </w:r>
          </w:p>
        </w:tc>
        <w:tc>
          <w:tcPr>
            <w:tcW w:w="1418" w:type="dxa"/>
            <w:tcBorders>
              <w:left w:val="none" w:sz="0" w:space="0" w:color="auto"/>
              <w:right w:val="none" w:sz="0" w:space="0" w:color="auto"/>
            </w:tcBorders>
            <w:noWrap/>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NC</w:t>
            </w:r>
          </w:p>
        </w:tc>
        <w:tc>
          <w:tcPr>
            <w:tcW w:w="1417" w:type="dxa"/>
            <w:tcBorders>
              <w:left w:val="none" w:sz="0" w:space="0" w:color="auto"/>
              <w:right w:val="none" w:sz="0" w:space="0" w:color="auto"/>
            </w:tcBorders>
            <w:noWrap/>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NC</w:t>
            </w:r>
          </w:p>
        </w:tc>
        <w:tc>
          <w:tcPr>
            <w:tcW w:w="1596" w:type="dxa"/>
            <w:tcBorders>
              <w:left w:val="none" w:sz="0" w:space="0" w:color="auto"/>
            </w:tcBorders>
            <w:noWrap/>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NC</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noWrap/>
            <w:hideMark/>
          </w:tcPr>
          <w:p w:rsidR="00391A6C" w:rsidRPr="00C71CCF" w:rsidRDefault="00391A6C" w:rsidP="008F5465">
            <w:pPr>
              <w:rPr>
                <w:rFonts w:cs="Arial"/>
                <w:color w:val="000000"/>
                <w:sz w:val="20"/>
                <w:szCs w:val="20"/>
              </w:rPr>
            </w:pPr>
            <w:r w:rsidRPr="00C71CCF">
              <w:rPr>
                <w:rFonts w:cs="Arial"/>
                <w:color w:val="000000"/>
                <w:sz w:val="20"/>
                <w:szCs w:val="20"/>
              </w:rPr>
              <w:t>Apricot nectar</w:t>
            </w:r>
          </w:p>
        </w:tc>
        <w:tc>
          <w:tcPr>
            <w:tcW w:w="1276" w:type="dxa"/>
            <w:tcBorders>
              <w:left w:val="none" w:sz="0" w:space="0" w:color="auto"/>
              <w:righ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18</w:t>
            </w:r>
          </w:p>
        </w:tc>
        <w:tc>
          <w:tcPr>
            <w:tcW w:w="1418" w:type="dxa"/>
            <w:tcBorders>
              <w:left w:val="none" w:sz="0" w:space="0" w:color="auto"/>
              <w:righ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P50</w:t>
            </w:r>
          </w:p>
        </w:tc>
        <w:tc>
          <w:tcPr>
            <w:tcW w:w="1417" w:type="dxa"/>
            <w:tcBorders>
              <w:left w:val="none" w:sz="0" w:space="0" w:color="auto"/>
              <w:righ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11</w:t>
            </w:r>
          </w:p>
        </w:tc>
        <w:tc>
          <w:tcPr>
            <w:tcW w:w="1596" w:type="dxa"/>
            <w:tcBorders>
              <w:left w:val="none" w:sz="0" w:space="0" w:color="auto"/>
            </w:tcBorders>
            <w:noWrap/>
            <w:hideMark/>
          </w:tcPr>
          <w:p w:rsidR="00391A6C" w:rsidRPr="00C71CCF" w:rsidRDefault="007E50AD"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2</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noWrap/>
            <w:hideMark/>
          </w:tcPr>
          <w:p w:rsidR="00391A6C" w:rsidRPr="00C71CCF" w:rsidRDefault="00391A6C" w:rsidP="00A40AEA">
            <w:pPr>
              <w:rPr>
                <w:rFonts w:cs="Arial"/>
                <w:color w:val="000000"/>
                <w:sz w:val="20"/>
                <w:szCs w:val="20"/>
              </w:rPr>
            </w:pPr>
            <w:r w:rsidRPr="00C71CCF">
              <w:rPr>
                <w:rFonts w:cs="Arial"/>
                <w:color w:val="000000"/>
                <w:sz w:val="20"/>
                <w:szCs w:val="20"/>
              </w:rPr>
              <w:t>Bamboo shoots</w:t>
            </w:r>
            <w:r w:rsidRPr="00966234">
              <w:rPr>
                <w:rFonts w:cs="Arial"/>
                <w:color w:val="000000"/>
                <w:sz w:val="20"/>
                <w:szCs w:val="20"/>
                <w:vertAlign w:val="superscript"/>
              </w:rPr>
              <w:t>b</w:t>
            </w:r>
          </w:p>
        </w:tc>
        <w:tc>
          <w:tcPr>
            <w:tcW w:w="1276" w:type="dxa"/>
            <w:tcBorders>
              <w:left w:val="none" w:sz="0" w:space="0" w:color="auto"/>
              <w:righ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4</w:t>
            </w:r>
          </w:p>
        </w:tc>
        <w:tc>
          <w:tcPr>
            <w:tcW w:w="1418" w:type="dxa"/>
            <w:tcBorders>
              <w:left w:val="none" w:sz="0" w:space="0" w:color="auto"/>
              <w:righ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P50</w:t>
            </w:r>
          </w:p>
        </w:tc>
        <w:tc>
          <w:tcPr>
            <w:tcW w:w="1417" w:type="dxa"/>
            <w:tcBorders>
              <w:left w:val="none" w:sz="0" w:space="0" w:color="auto"/>
              <w:righ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10</w:t>
            </w:r>
          </w:p>
        </w:tc>
        <w:tc>
          <w:tcPr>
            <w:tcW w:w="1596" w:type="dxa"/>
            <w:tcBorders>
              <w:lef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19</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noWrap/>
            <w:hideMark/>
          </w:tcPr>
          <w:p w:rsidR="00391A6C" w:rsidRPr="00C71CCF" w:rsidRDefault="00391A6C" w:rsidP="00A40AEA">
            <w:pPr>
              <w:rPr>
                <w:rFonts w:cs="Arial"/>
                <w:color w:val="000000"/>
                <w:sz w:val="20"/>
                <w:szCs w:val="20"/>
              </w:rPr>
            </w:pPr>
            <w:r w:rsidRPr="00C71CCF">
              <w:rPr>
                <w:rFonts w:cs="Arial"/>
                <w:color w:val="000000"/>
                <w:sz w:val="20"/>
                <w:szCs w:val="20"/>
              </w:rPr>
              <w:t>Biscuits, amaretti</w:t>
            </w:r>
            <w:r w:rsidR="008F5465" w:rsidRPr="008F5465">
              <w:rPr>
                <w:rFonts w:cs="Arial"/>
                <w:color w:val="000000"/>
                <w:sz w:val="20"/>
                <w:szCs w:val="20"/>
                <w:vertAlign w:val="superscript"/>
              </w:rPr>
              <w:t>d</w:t>
            </w:r>
          </w:p>
        </w:tc>
        <w:tc>
          <w:tcPr>
            <w:tcW w:w="1276" w:type="dxa"/>
            <w:tcBorders>
              <w:left w:val="none" w:sz="0" w:space="0" w:color="auto"/>
              <w:righ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418" w:type="dxa"/>
            <w:tcBorders>
              <w:left w:val="none" w:sz="0" w:space="0" w:color="auto"/>
              <w:righ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1 serve</w:t>
            </w:r>
          </w:p>
        </w:tc>
        <w:tc>
          <w:tcPr>
            <w:tcW w:w="1417" w:type="dxa"/>
            <w:tcBorders>
              <w:left w:val="none" w:sz="0" w:space="0" w:color="auto"/>
              <w:righ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30</w:t>
            </w:r>
          </w:p>
        </w:tc>
        <w:tc>
          <w:tcPr>
            <w:tcW w:w="1596" w:type="dxa"/>
            <w:tcBorders>
              <w:lef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44</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noWrap/>
            <w:hideMark/>
          </w:tcPr>
          <w:p w:rsidR="00391A6C" w:rsidRPr="00C71CCF" w:rsidRDefault="00391A6C" w:rsidP="00A40AEA">
            <w:pPr>
              <w:rPr>
                <w:rFonts w:cs="Arial"/>
                <w:color w:val="000000"/>
                <w:sz w:val="20"/>
                <w:szCs w:val="20"/>
              </w:rPr>
            </w:pPr>
            <w:r w:rsidRPr="00C71CCF">
              <w:rPr>
                <w:rFonts w:cs="Arial"/>
                <w:color w:val="000000"/>
                <w:sz w:val="20"/>
                <w:szCs w:val="20"/>
              </w:rPr>
              <w:t>Biscuits, almond fingers/apple fingers</w:t>
            </w:r>
            <w:r w:rsidR="008F5465" w:rsidRPr="008F5465">
              <w:rPr>
                <w:rFonts w:cs="Arial"/>
                <w:color w:val="000000"/>
                <w:sz w:val="20"/>
                <w:szCs w:val="20"/>
                <w:vertAlign w:val="superscript"/>
              </w:rPr>
              <w:t>d</w:t>
            </w:r>
          </w:p>
        </w:tc>
        <w:tc>
          <w:tcPr>
            <w:tcW w:w="1276" w:type="dxa"/>
            <w:tcBorders>
              <w:left w:val="none" w:sz="0" w:space="0" w:color="auto"/>
              <w:righ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418" w:type="dxa"/>
            <w:tcBorders>
              <w:left w:val="none" w:sz="0" w:space="0" w:color="auto"/>
              <w:righ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1 serve</w:t>
            </w:r>
          </w:p>
        </w:tc>
        <w:tc>
          <w:tcPr>
            <w:tcW w:w="1417" w:type="dxa"/>
            <w:tcBorders>
              <w:left w:val="none" w:sz="0" w:space="0" w:color="auto"/>
              <w:righ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47</w:t>
            </w:r>
          </w:p>
        </w:tc>
        <w:tc>
          <w:tcPr>
            <w:tcW w:w="1596" w:type="dxa"/>
            <w:tcBorders>
              <w:lef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27</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noWrap/>
            <w:hideMark/>
          </w:tcPr>
          <w:p w:rsidR="00391A6C" w:rsidRPr="00C71CCF" w:rsidRDefault="00391A6C" w:rsidP="00A40AEA">
            <w:pPr>
              <w:rPr>
                <w:rFonts w:cs="Arial"/>
                <w:sz w:val="20"/>
                <w:szCs w:val="20"/>
              </w:rPr>
            </w:pPr>
            <w:r w:rsidRPr="00C71CCF">
              <w:rPr>
                <w:rFonts w:cs="Arial"/>
                <w:sz w:val="20"/>
                <w:szCs w:val="20"/>
              </w:rPr>
              <w:t>Bread containing linseed</w:t>
            </w:r>
          </w:p>
        </w:tc>
        <w:tc>
          <w:tcPr>
            <w:tcW w:w="1276" w:type="dxa"/>
            <w:tcBorders>
              <w:left w:val="none" w:sz="0" w:space="0" w:color="auto"/>
              <w:right w:val="none" w:sz="0" w:space="0" w:color="auto"/>
            </w:tcBorders>
            <w:noWrap/>
            <w:hideMark/>
          </w:tcPr>
          <w:p w:rsidR="00391A6C" w:rsidRPr="00C71CCF" w:rsidRDefault="00391A6C" w:rsidP="00A40AEA">
            <w:pPr>
              <w:tabs>
                <w:tab w:val="center" w:pos="530"/>
                <w:tab w:val="right" w:pos="1060"/>
              </w:tabs>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157</w:t>
            </w:r>
          </w:p>
        </w:tc>
        <w:tc>
          <w:tcPr>
            <w:tcW w:w="1418" w:type="dxa"/>
            <w:tcBorders>
              <w:left w:val="none" w:sz="0" w:space="0" w:color="auto"/>
              <w:righ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P97.5</w:t>
            </w:r>
          </w:p>
        </w:tc>
        <w:tc>
          <w:tcPr>
            <w:tcW w:w="1417" w:type="dxa"/>
            <w:tcBorders>
              <w:left w:val="none" w:sz="0" w:space="0" w:color="auto"/>
              <w:righ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24</w:t>
            </w:r>
            <w:r>
              <w:rPr>
                <w:rFonts w:cs="Arial"/>
                <w:color w:val="000000"/>
                <w:sz w:val="20"/>
                <w:szCs w:val="20"/>
              </w:rPr>
              <w:t>0</w:t>
            </w:r>
          </w:p>
        </w:tc>
        <w:tc>
          <w:tcPr>
            <w:tcW w:w="1596" w:type="dxa"/>
            <w:tcBorders>
              <w:lef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5</w:t>
            </w:r>
            <w:r>
              <w:rPr>
                <w:rFonts w:cs="Arial"/>
                <w:color w:val="000000"/>
                <w:sz w:val="20"/>
                <w:szCs w:val="20"/>
              </w:rPr>
              <w:t>11</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noWrap/>
            <w:hideMark/>
          </w:tcPr>
          <w:p w:rsidR="00391A6C" w:rsidRPr="00C71CCF" w:rsidRDefault="00391A6C" w:rsidP="00A40AEA">
            <w:pPr>
              <w:rPr>
                <w:rFonts w:cs="Arial"/>
                <w:color w:val="000000"/>
                <w:sz w:val="20"/>
                <w:szCs w:val="20"/>
              </w:rPr>
            </w:pPr>
            <w:r w:rsidRPr="00C71CCF">
              <w:rPr>
                <w:rFonts w:cs="Arial"/>
                <w:color w:val="000000"/>
                <w:sz w:val="20"/>
                <w:szCs w:val="20"/>
              </w:rPr>
              <w:t>Butter beans</w:t>
            </w:r>
          </w:p>
        </w:tc>
        <w:tc>
          <w:tcPr>
            <w:tcW w:w="1276" w:type="dxa"/>
            <w:tcBorders>
              <w:left w:val="none" w:sz="0" w:space="0" w:color="auto"/>
              <w:righ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5</w:t>
            </w:r>
          </w:p>
        </w:tc>
        <w:tc>
          <w:tcPr>
            <w:tcW w:w="1418" w:type="dxa"/>
            <w:tcBorders>
              <w:left w:val="none" w:sz="0" w:space="0" w:color="auto"/>
              <w:righ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P50</w:t>
            </w:r>
          </w:p>
        </w:tc>
        <w:tc>
          <w:tcPr>
            <w:tcW w:w="1417" w:type="dxa"/>
            <w:tcBorders>
              <w:left w:val="none" w:sz="0" w:space="0" w:color="auto"/>
              <w:righ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4</w:t>
            </w:r>
          </w:p>
        </w:tc>
        <w:tc>
          <w:tcPr>
            <w:tcW w:w="1596" w:type="dxa"/>
            <w:tcBorders>
              <w:lef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1</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noWrap/>
            <w:hideMark/>
          </w:tcPr>
          <w:p w:rsidR="00391A6C" w:rsidRPr="00C71CCF" w:rsidRDefault="00391A6C" w:rsidP="00A40AEA">
            <w:pPr>
              <w:rPr>
                <w:rFonts w:cs="Arial"/>
                <w:color w:val="000000"/>
                <w:sz w:val="20"/>
                <w:szCs w:val="20"/>
              </w:rPr>
            </w:pPr>
            <w:r w:rsidRPr="00C71CCF">
              <w:rPr>
                <w:rFonts w:cs="Arial"/>
                <w:color w:val="000000"/>
                <w:sz w:val="20"/>
                <w:szCs w:val="20"/>
              </w:rPr>
              <w:t>Cassava roots, cooked</w:t>
            </w:r>
            <w:r w:rsidRPr="00966234">
              <w:rPr>
                <w:rFonts w:cs="Arial"/>
                <w:bCs w:val="0"/>
                <w:sz w:val="20"/>
                <w:vertAlign w:val="superscript"/>
              </w:rPr>
              <w:t>c</w:t>
            </w:r>
          </w:p>
        </w:tc>
        <w:tc>
          <w:tcPr>
            <w:tcW w:w="1276" w:type="dxa"/>
            <w:tcBorders>
              <w:left w:val="none" w:sz="0" w:space="0" w:color="auto"/>
              <w:righ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1</w:t>
            </w:r>
          </w:p>
        </w:tc>
        <w:tc>
          <w:tcPr>
            <w:tcW w:w="1418" w:type="dxa"/>
            <w:tcBorders>
              <w:left w:val="none" w:sz="0" w:space="0" w:color="auto"/>
              <w:righ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P50</w:t>
            </w:r>
          </w:p>
        </w:tc>
        <w:tc>
          <w:tcPr>
            <w:tcW w:w="1417" w:type="dxa"/>
            <w:tcBorders>
              <w:left w:val="none" w:sz="0" w:space="0" w:color="auto"/>
              <w:righ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44</w:t>
            </w:r>
          </w:p>
        </w:tc>
        <w:tc>
          <w:tcPr>
            <w:tcW w:w="1596" w:type="dxa"/>
            <w:tcBorders>
              <w:lef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5</w:t>
            </w:r>
            <w:r w:rsidRPr="00C71CCF">
              <w:rPr>
                <w:rFonts w:cs="Arial"/>
                <w:color w:val="000000"/>
                <w:sz w:val="20"/>
                <w:szCs w:val="20"/>
              </w:rPr>
              <w:t>0</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noWrap/>
            <w:hideMark/>
          </w:tcPr>
          <w:p w:rsidR="00391A6C" w:rsidRPr="00C71CCF" w:rsidRDefault="00391A6C" w:rsidP="00A40AEA">
            <w:pPr>
              <w:rPr>
                <w:rFonts w:cs="Arial"/>
                <w:color w:val="000000"/>
                <w:sz w:val="20"/>
                <w:szCs w:val="20"/>
              </w:rPr>
            </w:pPr>
            <w:r w:rsidRPr="00C71CCF">
              <w:rPr>
                <w:rFonts w:cs="Arial"/>
                <w:color w:val="000000"/>
                <w:sz w:val="20"/>
                <w:szCs w:val="20"/>
              </w:rPr>
              <w:t>Cassava starch</w:t>
            </w:r>
          </w:p>
        </w:tc>
        <w:tc>
          <w:tcPr>
            <w:tcW w:w="1276" w:type="dxa"/>
            <w:tcBorders>
              <w:left w:val="none" w:sz="0" w:space="0" w:color="auto"/>
              <w:righ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113</w:t>
            </w:r>
          </w:p>
        </w:tc>
        <w:tc>
          <w:tcPr>
            <w:tcW w:w="1418" w:type="dxa"/>
            <w:tcBorders>
              <w:left w:val="none" w:sz="0" w:space="0" w:color="auto"/>
              <w:righ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P97.5</w:t>
            </w:r>
          </w:p>
        </w:tc>
        <w:tc>
          <w:tcPr>
            <w:tcW w:w="1417" w:type="dxa"/>
            <w:tcBorders>
              <w:left w:val="none" w:sz="0" w:space="0" w:color="auto"/>
              <w:righ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10</w:t>
            </w:r>
          </w:p>
        </w:tc>
        <w:tc>
          <w:tcPr>
            <w:tcW w:w="1596" w:type="dxa"/>
            <w:tcBorders>
              <w:lef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2</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noWrap/>
            <w:hideMark/>
          </w:tcPr>
          <w:p w:rsidR="00391A6C" w:rsidRPr="00C71CCF" w:rsidRDefault="00391A6C" w:rsidP="00A40AEA">
            <w:pPr>
              <w:rPr>
                <w:rFonts w:cs="Arial"/>
                <w:color w:val="000000"/>
                <w:sz w:val="20"/>
                <w:szCs w:val="20"/>
              </w:rPr>
            </w:pPr>
            <w:r w:rsidRPr="00C71CCF">
              <w:rPr>
                <w:rFonts w:cs="Arial"/>
                <w:color w:val="000000"/>
                <w:sz w:val="20"/>
                <w:szCs w:val="20"/>
              </w:rPr>
              <w:t>Cherry brandy</w:t>
            </w:r>
          </w:p>
        </w:tc>
        <w:tc>
          <w:tcPr>
            <w:tcW w:w="1276" w:type="dxa"/>
            <w:tcBorders>
              <w:left w:val="none" w:sz="0" w:space="0" w:color="auto"/>
              <w:righ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NC</w:t>
            </w:r>
          </w:p>
        </w:tc>
        <w:tc>
          <w:tcPr>
            <w:tcW w:w="1418" w:type="dxa"/>
            <w:tcBorders>
              <w:left w:val="none" w:sz="0" w:space="0" w:color="auto"/>
              <w:righ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NC</w:t>
            </w:r>
          </w:p>
        </w:tc>
        <w:tc>
          <w:tcPr>
            <w:tcW w:w="1417" w:type="dxa"/>
            <w:tcBorders>
              <w:left w:val="none" w:sz="0" w:space="0" w:color="auto"/>
              <w:righ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NC</w:t>
            </w:r>
          </w:p>
        </w:tc>
        <w:tc>
          <w:tcPr>
            <w:tcW w:w="1596" w:type="dxa"/>
            <w:tcBorders>
              <w:lef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NC</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noWrap/>
            <w:hideMark/>
          </w:tcPr>
          <w:p w:rsidR="00391A6C" w:rsidRPr="00C71CCF" w:rsidRDefault="00391A6C" w:rsidP="00A40AEA">
            <w:pPr>
              <w:rPr>
                <w:rFonts w:cs="Arial"/>
                <w:color w:val="000000"/>
                <w:sz w:val="20"/>
                <w:szCs w:val="20"/>
              </w:rPr>
            </w:pPr>
            <w:r w:rsidRPr="00C71CCF">
              <w:rPr>
                <w:rFonts w:cs="Arial"/>
                <w:color w:val="000000"/>
                <w:sz w:val="20"/>
                <w:szCs w:val="20"/>
              </w:rPr>
              <w:t>Lima bean</w:t>
            </w:r>
            <w:r w:rsidR="002B5904">
              <w:rPr>
                <w:rFonts w:cs="Arial"/>
                <w:color w:val="000000"/>
                <w:sz w:val="20"/>
                <w:szCs w:val="20"/>
              </w:rPr>
              <w:t>s</w:t>
            </w:r>
          </w:p>
        </w:tc>
        <w:tc>
          <w:tcPr>
            <w:tcW w:w="1276" w:type="dxa"/>
            <w:tcBorders>
              <w:left w:val="none" w:sz="0" w:space="0" w:color="auto"/>
              <w:righ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NC</w:t>
            </w:r>
          </w:p>
        </w:tc>
        <w:tc>
          <w:tcPr>
            <w:tcW w:w="1418" w:type="dxa"/>
            <w:tcBorders>
              <w:left w:val="none" w:sz="0" w:space="0" w:color="auto"/>
              <w:righ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NC</w:t>
            </w:r>
          </w:p>
        </w:tc>
        <w:tc>
          <w:tcPr>
            <w:tcW w:w="1417" w:type="dxa"/>
            <w:tcBorders>
              <w:left w:val="none" w:sz="0" w:space="0" w:color="auto"/>
              <w:righ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NC</w:t>
            </w:r>
          </w:p>
        </w:tc>
        <w:tc>
          <w:tcPr>
            <w:tcW w:w="1596" w:type="dxa"/>
            <w:tcBorders>
              <w:lef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NC</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noWrap/>
            <w:hideMark/>
          </w:tcPr>
          <w:p w:rsidR="00391A6C" w:rsidRPr="00C71CCF" w:rsidRDefault="00391A6C" w:rsidP="00A40AEA">
            <w:pPr>
              <w:rPr>
                <w:rFonts w:cs="Arial"/>
                <w:color w:val="000000"/>
                <w:sz w:val="20"/>
                <w:szCs w:val="20"/>
              </w:rPr>
            </w:pPr>
            <w:r w:rsidRPr="00C71CCF">
              <w:rPr>
                <w:rFonts w:cs="Arial"/>
                <w:color w:val="000000"/>
                <w:sz w:val="20"/>
                <w:szCs w:val="20"/>
              </w:rPr>
              <w:t>Linseed</w:t>
            </w:r>
            <w:r>
              <w:rPr>
                <w:rFonts w:cs="Arial"/>
                <w:color w:val="000000"/>
                <w:sz w:val="20"/>
                <w:szCs w:val="20"/>
              </w:rPr>
              <w:t>s</w:t>
            </w:r>
          </w:p>
        </w:tc>
        <w:tc>
          <w:tcPr>
            <w:tcW w:w="1276" w:type="dxa"/>
            <w:tcBorders>
              <w:left w:val="none" w:sz="0" w:space="0" w:color="auto"/>
              <w:righ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112</w:t>
            </w:r>
          </w:p>
        </w:tc>
        <w:tc>
          <w:tcPr>
            <w:tcW w:w="1418" w:type="dxa"/>
            <w:tcBorders>
              <w:left w:val="none" w:sz="0" w:space="0" w:color="auto"/>
              <w:righ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P97.5</w:t>
            </w:r>
          </w:p>
        </w:tc>
        <w:tc>
          <w:tcPr>
            <w:tcW w:w="1417" w:type="dxa"/>
            <w:tcBorders>
              <w:left w:val="none" w:sz="0" w:space="0" w:color="auto"/>
              <w:righ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4</w:t>
            </w:r>
          </w:p>
        </w:tc>
        <w:tc>
          <w:tcPr>
            <w:tcW w:w="1596" w:type="dxa"/>
            <w:tcBorders>
              <w:lef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28</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noWrap/>
            <w:hideMark/>
          </w:tcPr>
          <w:p w:rsidR="00391A6C" w:rsidRPr="00C71CCF" w:rsidRDefault="00391A6C" w:rsidP="00A40AEA">
            <w:pPr>
              <w:rPr>
                <w:rFonts w:cs="Arial"/>
                <w:color w:val="000000"/>
                <w:sz w:val="20"/>
                <w:szCs w:val="20"/>
              </w:rPr>
            </w:pPr>
            <w:r w:rsidRPr="00C71CCF">
              <w:rPr>
                <w:rFonts w:cs="Arial"/>
                <w:color w:val="000000"/>
                <w:sz w:val="20"/>
                <w:szCs w:val="20"/>
              </w:rPr>
              <w:t>Linseed oil</w:t>
            </w:r>
          </w:p>
        </w:tc>
        <w:tc>
          <w:tcPr>
            <w:tcW w:w="1276" w:type="dxa"/>
            <w:tcBorders>
              <w:left w:val="none" w:sz="0" w:space="0" w:color="auto"/>
              <w:righ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NC</w:t>
            </w:r>
          </w:p>
        </w:tc>
        <w:tc>
          <w:tcPr>
            <w:tcW w:w="1418" w:type="dxa"/>
            <w:tcBorders>
              <w:left w:val="none" w:sz="0" w:space="0" w:color="auto"/>
              <w:righ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NC</w:t>
            </w:r>
          </w:p>
        </w:tc>
        <w:tc>
          <w:tcPr>
            <w:tcW w:w="1417" w:type="dxa"/>
            <w:tcBorders>
              <w:left w:val="none" w:sz="0" w:space="0" w:color="auto"/>
              <w:righ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NC</w:t>
            </w:r>
          </w:p>
        </w:tc>
        <w:tc>
          <w:tcPr>
            <w:tcW w:w="1596" w:type="dxa"/>
            <w:tcBorders>
              <w:lef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NC</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noWrap/>
            <w:hideMark/>
          </w:tcPr>
          <w:p w:rsidR="00391A6C" w:rsidRPr="00C71CCF" w:rsidRDefault="00391A6C" w:rsidP="00A40AEA">
            <w:pPr>
              <w:rPr>
                <w:rFonts w:cs="Arial"/>
                <w:color w:val="000000"/>
                <w:sz w:val="20"/>
                <w:szCs w:val="20"/>
              </w:rPr>
            </w:pPr>
            <w:r w:rsidRPr="00C71CCF">
              <w:rPr>
                <w:rFonts w:cs="Arial"/>
                <w:color w:val="000000"/>
                <w:sz w:val="20"/>
                <w:szCs w:val="20"/>
              </w:rPr>
              <w:t>LSA mix</w:t>
            </w:r>
          </w:p>
        </w:tc>
        <w:tc>
          <w:tcPr>
            <w:tcW w:w="1276" w:type="dxa"/>
            <w:tcBorders>
              <w:left w:val="none" w:sz="0" w:space="0" w:color="auto"/>
              <w:righ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NC</w:t>
            </w:r>
          </w:p>
        </w:tc>
        <w:tc>
          <w:tcPr>
            <w:tcW w:w="1418" w:type="dxa"/>
            <w:tcBorders>
              <w:left w:val="none" w:sz="0" w:space="0" w:color="auto"/>
              <w:righ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NC</w:t>
            </w:r>
          </w:p>
        </w:tc>
        <w:tc>
          <w:tcPr>
            <w:tcW w:w="1417" w:type="dxa"/>
            <w:tcBorders>
              <w:left w:val="none" w:sz="0" w:space="0" w:color="auto"/>
              <w:righ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NC</w:t>
            </w:r>
          </w:p>
        </w:tc>
        <w:tc>
          <w:tcPr>
            <w:tcW w:w="1596" w:type="dxa"/>
            <w:tcBorders>
              <w:lef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NC</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noWrap/>
            <w:hideMark/>
          </w:tcPr>
          <w:p w:rsidR="00391A6C" w:rsidRPr="00C71CCF" w:rsidRDefault="00391A6C" w:rsidP="00A40AEA">
            <w:pPr>
              <w:rPr>
                <w:rFonts w:cs="Arial"/>
                <w:color w:val="000000"/>
                <w:sz w:val="20"/>
                <w:szCs w:val="20"/>
              </w:rPr>
            </w:pPr>
            <w:r w:rsidRPr="00C71CCF">
              <w:rPr>
                <w:rFonts w:cs="Arial"/>
                <w:color w:val="000000"/>
                <w:sz w:val="20"/>
                <w:szCs w:val="20"/>
              </w:rPr>
              <w:t>Marzipan</w:t>
            </w:r>
          </w:p>
        </w:tc>
        <w:tc>
          <w:tcPr>
            <w:tcW w:w="1276" w:type="dxa"/>
            <w:tcBorders>
              <w:left w:val="none" w:sz="0" w:space="0" w:color="auto"/>
              <w:righ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NC</w:t>
            </w:r>
          </w:p>
        </w:tc>
        <w:tc>
          <w:tcPr>
            <w:tcW w:w="1418" w:type="dxa"/>
            <w:tcBorders>
              <w:left w:val="none" w:sz="0" w:space="0" w:color="auto"/>
              <w:righ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NC</w:t>
            </w:r>
          </w:p>
        </w:tc>
        <w:tc>
          <w:tcPr>
            <w:tcW w:w="1417" w:type="dxa"/>
            <w:tcBorders>
              <w:left w:val="none" w:sz="0" w:space="0" w:color="auto"/>
              <w:righ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NC</w:t>
            </w:r>
          </w:p>
        </w:tc>
        <w:tc>
          <w:tcPr>
            <w:tcW w:w="1596" w:type="dxa"/>
            <w:tcBorders>
              <w:left w:val="none" w:sz="0" w:space="0" w:color="auto"/>
            </w:tcBorders>
            <w:noWrap/>
            <w:hideMark/>
          </w:tcPr>
          <w:p w:rsidR="00391A6C" w:rsidRPr="00C71CCF"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1CCF">
              <w:rPr>
                <w:rFonts w:cs="Arial"/>
                <w:color w:val="000000"/>
                <w:sz w:val="20"/>
                <w:szCs w:val="20"/>
              </w:rPr>
              <w:t>NC</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noWrap/>
            <w:hideMark/>
          </w:tcPr>
          <w:p w:rsidR="00391A6C" w:rsidRPr="00C71CCF" w:rsidRDefault="00391A6C" w:rsidP="00A40AEA">
            <w:pPr>
              <w:rPr>
                <w:rFonts w:cs="Arial"/>
                <w:color w:val="000000"/>
                <w:sz w:val="20"/>
                <w:szCs w:val="20"/>
              </w:rPr>
            </w:pPr>
            <w:r w:rsidRPr="00C71CCF">
              <w:rPr>
                <w:rFonts w:cs="Arial"/>
                <w:color w:val="000000"/>
                <w:sz w:val="20"/>
                <w:szCs w:val="20"/>
              </w:rPr>
              <w:t>Passionfruit</w:t>
            </w:r>
          </w:p>
        </w:tc>
        <w:tc>
          <w:tcPr>
            <w:tcW w:w="1276" w:type="dxa"/>
            <w:tcBorders>
              <w:left w:val="none" w:sz="0" w:space="0" w:color="auto"/>
              <w:bottom w:val="single" w:sz="8" w:space="0" w:color="7BA0CD" w:themeColor="accent1" w:themeTint="BF"/>
              <w:righ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49</w:t>
            </w:r>
          </w:p>
        </w:tc>
        <w:tc>
          <w:tcPr>
            <w:tcW w:w="1418" w:type="dxa"/>
            <w:tcBorders>
              <w:left w:val="none" w:sz="0" w:space="0" w:color="auto"/>
              <w:bottom w:val="single" w:sz="8" w:space="0" w:color="7BA0CD" w:themeColor="accent1" w:themeTint="BF"/>
              <w:righ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P97.5</w:t>
            </w:r>
          </w:p>
        </w:tc>
        <w:tc>
          <w:tcPr>
            <w:tcW w:w="1417" w:type="dxa"/>
            <w:tcBorders>
              <w:left w:val="none" w:sz="0" w:space="0" w:color="auto"/>
              <w:bottom w:val="single" w:sz="8" w:space="0" w:color="7BA0CD" w:themeColor="accent1" w:themeTint="BF"/>
              <w:right w:val="none" w:sz="0" w:space="0" w:color="auto"/>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23</w:t>
            </w:r>
          </w:p>
        </w:tc>
        <w:tc>
          <w:tcPr>
            <w:tcW w:w="1596" w:type="dxa"/>
            <w:tcBorders>
              <w:left w:val="none" w:sz="0" w:space="0" w:color="auto"/>
              <w:bottom w:val="single" w:sz="8" w:space="0" w:color="7BA0CD" w:themeColor="accent1" w:themeTint="BF"/>
            </w:tcBorders>
            <w:noWrap/>
            <w:hideMark/>
          </w:tcPr>
          <w:p w:rsidR="00391A6C" w:rsidRPr="00C71CCF"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1CCF">
              <w:rPr>
                <w:rFonts w:cs="Arial"/>
                <w:color w:val="000000"/>
                <w:sz w:val="20"/>
                <w:szCs w:val="20"/>
              </w:rPr>
              <w:t>7</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402" w:type="dxa"/>
            <w:tcBorders>
              <w:right w:val="single" w:sz="8" w:space="0" w:color="7BA0CD" w:themeColor="accent1" w:themeTint="BF"/>
            </w:tcBorders>
            <w:noWrap/>
            <w:hideMark/>
          </w:tcPr>
          <w:p w:rsidR="00391A6C" w:rsidRPr="00A93CEE" w:rsidRDefault="00391A6C" w:rsidP="00A40AEA">
            <w:pPr>
              <w:rPr>
                <w:rFonts w:cs="Arial"/>
                <w:color w:val="000000"/>
                <w:sz w:val="20"/>
                <w:szCs w:val="20"/>
              </w:rPr>
            </w:pPr>
            <w:r w:rsidRPr="00A93CEE">
              <w:rPr>
                <w:rFonts w:cs="Arial"/>
                <w:color w:val="000000"/>
                <w:sz w:val="20"/>
                <w:szCs w:val="20"/>
              </w:rPr>
              <w:t>Prune juice</w:t>
            </w:r>
          </w:p>
        </w:tc>
        <w:tc>
          <w:tcPr>
            <w:tcW w:w="1276" w:type="dxa"/>
            <w:tcBorders>
              <w:left w:val="single" w:sz="8" w:space="0" w:color="7BA0CD" w:themeColor="accent1" w:themeTint="BF"/>
              <w:right w:val="single" w:sz="8" w:space="0" w:color="7BA0CD" w:themeColor="accent1" w:themeTint="BF"/>
            </w:tcBorders>
            <w:noWrap/>
            <w:hideMark/>
          </w:tcPr>
          <w:p w:rsidR="00391A6C" w:rsidRPr="00A93CEE"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93CEE">
              <w:rPr>
                <w:rFonts w:cs="Arial"/>
                <w:color w:val="000000"/>
                <w:sz w:val="20"/>
                <w:szCs w:val="20"/>
              </w:rPr>
              <w:t>NC</w:t>
            </w:r>
          </w:p>
        </w:tc>
        <w:tc>
          <w:tcPr>
            <w:tcW w:w="1418" w:type="dxa"/>
            <w:tcBorders>
              <w:left w:val="single" w:sz="8" w:space="0" w:color="7BA0CD" w:themeColor="accent1" w:themeTint="BF"/>
              <w:right w:val="single" w:sz="8" w:space="0" w:color="7BA0CD" w:themeColor="accent1" w:themeTint="BF"/>
            </w:tcBorders>
            <w:noWrap/>
            <w:hideMark/>
          </w:tcPr>
          <w:p w:rsidR="00391A6C" w:rsidRPr="00A93CEE"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93CEE">
              <w:rPr>
                <w:rFonts w:cs="Arial"/>
                <w:color w:val="000000"/>
                <w:sz w:val="20"/>
                <w:szCs w:val="20"/>
              </w:rPr>
              <w:t>NC</w:t>
            </w:r>
          </w:p>
        </w:tc>
        <w:tc>
          <w:tcPr>
            <w:tcW w:w="1417" w:type="dxa"/>
            <w:tcBorders>
              <w:left w:val="single" w:sz="8" w:space="0" w:color="7BA0CD" w:themeColor="accent1" w:themeTint="BF"/>
              <w:right w:val="single" w:sz="8" w:space="0" w:color="7BA0CD" w:themeColor="accent1" w:themeTint="BF"/>
            </w:tcBorders>
            <w:noWrap/>
            <w:hideMark/>
          </w:tcPr>
          <w:p w:rsidR="00391A6C" w:rsidRPr="00A93CEE"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93CEE">
              <w:rPr>
                <w:rFonts w:cs="Arial"/>
                <w:color w:val="000000"/>
                <w:sz w:val="20"/>
                <w:szCs w:val="20"/>
              </w:rPr>
              <w:t>NC</w:t>
            </w:r>
          </w:p>
        </w:tc>
        <w:tc>
          <w:tcPr>
            <w:tcW w:w="1596" w:type="dxa"/>
            <w:tcBorders>
              <w:left w:val="single" w:sz="8" w:space="0" w:color="7BA0CD" w:themeColor="accent1" w:themeTint="BF"/>
            </w:tcBorders>
            <w:noWrap/>
            <w:hideMark/>
          </w:tcPr>
          <w:p w:rsidR="00391A6C" w:rsidRPr="00A93CEE"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93CEE">
              <w:rPr>
                <w:rFonts w:cs="Arial"/>
                <w:color w:val="000000"/>
                <w:sz w:val="20"/>
                <w:szCs w:val="20"/>
              </w:rPr>
              <w:t>NC</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noWrap/>
            <w:hideMark/>
          </w:tcPr>
          <w:p w:rsidR="00391A6C" w:rsidRPr="00A93CEE" w:rsidRDefault="00391A6C" w:rsidP="00A40AEA">
            <w:pPr>
              <w:rPr>
                <w:rFonts w:cs="Arial"/>
                <w:color w:val="000000"/>
                <w:sz w:val="20"/>
                <w:szCs w:val="20"/>
              </w:rPr>
            </w:pPr>
            <w:r w:rsidRPr="00A93CEE">
              <w:rPr>
                <w:rFonts w:cs="Arial"/>
                <w:color w:val="000000"/>
                <w:sz w:val="20"/>
                <w:szCs w:val="20"/>
              </w:rPr>
              <w:t>Pumpkin seed</w:t>
            </w:r>
            <w:r>
              <w:rPr>
                <w:rFonts w:cs="Arial"/>
                <w:color w:val="000000"/>
                <w:sz w:val="20"/>
                <w:szCs w:val="20"/>
              </w:rPr>
              <w:t>s</w:t>
            </w:r>
          </w:p>
        </w:tc>
        <w:tc>
          <w:tcPr>
            <w:tcW w:w="1276" w:type="dxa"/>
            <w:tcBorders>
              <w:left w:val="none" w:sz="0" w:space="0" w:color="auto"/>
              <w:bottom w:val="single" w:sz="8" w:space="0" w:color="7BA0CD" w:themeColor="accent1" w:themeTint="BF"/>
              <w:right w:val="none" w:sz="0" w:space="0" w:color="auto"/>
            </w:tcBorders>
            <w:noWrap/>
            <w:hideMark/>
          </w:tcPr>
          <w:p w:rsidR="00391A6C" w:rsidRPr="00A93CEE"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93CEE">
              <w:rPr>
                <w:rFonts w:cs="Arial"/>
                <w:color w:val="000000"/>
                <w:sz w:val="20"/>
                <w:szCs w:val="20"/>
              </w:rPr>
              <w:t>3</w:t>
            </w:r>
          </w:p>
        </w:tc>
        <w:tc>
          <w:tcPr>
            <w:tcW w:w="1418" w:type="dxa"/>
            <w:tcBorders>
              <w:left w:val="none" w:sz="0" w:space="0" w:color="auto"/>
              <w:bottom w:val="single" w:sz="8" w:space="0" w:color="7BA0CD" w:themeColor="accent1" w:themeTint="BF"/>
              <w:right w:val="none" w:sz="0" w:space="0" w:color="auto"/>
            </w:tcBorders>
            <w:noWrap/>
            <w:hideMark/>
          </w:tcPr>
          <w:p w:rsidR="00391A6C" w:rsidRPr="00A93CEE"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93CEE">
              <w:rPr>
                <w:rFonts w:cs="Arial"/>
                <w:color w:val="000000"/>
                <w:sz w:val="20"/>
                <w:szCs w:val="20"/>
              </w:rPr>
              <w:t>P50</w:t>
            </w:r>
          </w:p>
        </w:tc>
        <w:tc>
          <w:tcPr>
            <w:tcW w:w="1417" w:type="dxa"/>
            <w:tcBorders>
              <w:left w:val="none" w:sz="0" w:space="0" w:color="auto"/>
              <w:bottom w:val="single" w:sz="8" w:space="0" w:color="7BA0CD" w:themeColor="accent1" w:themeTint="BF"/>
              <w:right w:val="none" w:sz="0" w:space="0" w:color="auto"/>
            </w:tcBorders>
            <w:noWrap/>
            <w:hideMark/>
          </w:tcPr>
          <w:p w:rsidR="00391A6C" w:rsidRPr="00A93CEE"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93CEE">
              <w:rPr>
                <w:rFonts w:cs="Arial"/>
                <w:color w:val="000000"/>
                <w:sz w:val="20"/>
                <w:szCs w:val="20"/>
              </w:rPr>
              <w:t>8</w:t>
            </w:r>
          </w:p>
        </w:tc>
        <w:tc>
          <w:tcPr>
            <w:tcW w:w="1596" w:type="dxa"/>
            <w:tcBorders>
              <w:left w:val="none" w:sz="0" w:space="0" w:color="auto"/>
              <w:bottom w:val="single" w:sz="8" w:space="0" w:color="7BA0CD" w:themeColor="accent1" w:themeTint="BF"/>
            </w:tcBorders>
            <w:noWrap/>
            <w:hideMark/>
          </w:tcPr>
          <w:p w:rsidR="00391A6C" w:rsidRPr="00A93CEE"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93CEE">
              <w:rPr>
                <w:rFonts w:cs="Arial"/>
                <w:color w:val="000000"/>
                <w:sz w:val="20"/>
                <w:szCs w:val="20"/>
              </w:rPr>
              <w:t>1</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402" w:type="dxa"/>
            <w:tcBorders>
              <w:right w:val="single" w:sz="8" w:space="0" w:color="7BA0CD" w:themeColor="accent1" w:themeTint="BF"/>
            </w:tcBorders>
            <w:noWrap/>
            <w:hideMark/>
          </w:tcPr>
          <w:p w:rsidR="00391A6C" w:rsidRPr="00A93CEE" w:rsidRDefault="00391A6C" w:rsidP="00A40AEA">
            <w:pPr>
              <w:rPr>
                <w:rFonts w:cs="Arial"/>
                <w:color w:val="000000"/>
                <w:sz w:val="20"/>
                <w:szCs w:val="20"/>
              </w:rPr>
            </w:pPr>
            <w:r w:rsidRPr="00A93CEE">
              <w:rPr>
                <w:rFonts w:cs="Arial"/>
                <w:color w:val="000000"/>
                <w:sz w:val="20"/>
                <w:szCs w:val="20"/>
              </w:rPr>
              <w:t>Spinach</w:t>
            </w:r>
          </w:p>
        </w:tc>
        <w:tc>
          <w:tcPr>
            <w:tcW w:w="1276" w:type="dxa"/>
            <w:tcBorders>
              <w:left w:val="single" w:sz="8" w:space="0" w:color="7BA0CD" w:themeColor="accent1" w:themeTint="BF"/>
              <w:right w:val="single" w:sz="8" w:space="0" w:color="7BA0CD" w:themeColor="accent1" w:themeTint="BF"/>
            </w:tcBorders>
            <w:noWrap/>
            <w:hideMark/>
          </w:tcPr>
          <w:p w:rsidR="00391A6C" w:rsidRPr="00A93CEE"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93CEE">
              <w:rPr>
                <w:rFonts w:cs="Arial"/>
                <w:color w:val="000000"/>
                <w:sz w:val="20"/>
                <w:szCs w:val="20"/>
              </w:rPr>
              <w:t>12</w:t>
            </w:r>
          </w:p>
        </w:tc>
        <w:tc>
          <w:tcPr>
            <w:tcW w:w="1418" w:type="dxa"/>
            <w:tcBorders>
              <w:left w:val="single" w:sz="8" w:space="0" w:color="7BA0CD" w:themeColor="accent1" w:themeTint="BF"/>
              <w:right w:val="single" w:sz="8" w:space="0" w:color="7BA0CD" w:themeColor="accent1" w:themeTint="BF"/>
            </w:tcBorders>
            <w:noWrap/>
            <w:hideMark/>
          </w:tcPr>
          <w:p w:rsidR="00391A6C" w:rsidRPr="00A93CEE"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93CEE">
              <w:rPr>
                <w:rFonts w:cs="Arial"/>
                <w:color w:val="000000"/>
                <w:sz w:val="20"/>
                <w:szCs w:val="20"/>
              </w:rPr>
              <w:t>P50</w:t>
            </w:r>
          </w:p>
        </w:tc>
        <w:tc>
          <w:tcPr>
            <w:tcW w:w="1417" w:type="dxa"/>
            <w:tcBorders>
              <w:left w:val="single" w:sz="8" w:space="0" w:color="7BA0CD" w:themeColor="accent1" w:themeTint="BF"/>
              <w:right w:val="single" w:sz="8" w:space="0" w:color="7BA0CD" w:themeColor="accent1" w:themeTint="BF"/>
            </w:tcBorders>
            <w:noWrap/>
            <w:hideMark/>
          </w:tcPr>
          <w:p w:rsidR="00391A6C" w:rsidRPr="00A93CEE"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93CEE">
              <w:rPr>
                <w:rFonts w:cs="Arial"/>
                <w:color w:val="000000"/>
                <w:sz w:val="20"/>
                <w:szCs w:val="20"/>
              </w:rPr>
              <w:t>9</w:t>
            </w:r>
          </w:p>
        </w:tc>
        <w:tc>
          <w:tcPr>
            <w:tcW w:w="1596" w:type="dxa"/>
            <w:tcBorders>
              <w:left w:val="single" w:sz="8" w:space="0" w:color="7BA0CD" w:themeColor="accent1" w:themeTint="BF"/>
            </w:tcBorders>
            <w:noWrap/>
            <w:hideMark/>
          </w:tcPr>
          <w:p w:rsidR="00391A6C" w:rsidRPr="00A93CEE"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93CEE">
              <w:rPr>
                <w:rFonts w:cs="Arial"/>
                <w:color w:val="000000"/>
                <w:sz w:val="20"/>
                <w:szCs w:val="20"/>
              </w:rPr>
              <w:t>2</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noWrap/>
            <w:hideMark/>
          </w:tcPr>
          <w:p w:rsidR="00391A6C" w:rsidRPr="00A93CEE" w:rsidRDefault="00391A6C" w:rsidP="00A40AEA">
            <w:pPr>
              <w:rPr>
                <w:rFonts w:cs="Arial"/>
                <w:color w:val="000000"/>
                <w:sz w:val="20"/>
                <w:szCs w:val="20"/>
              </w:rPr>
            </w:pPr>
            <w:r w:rsidRPr="00A93CEE">
              <w:rPr>
                <w:rFonts w:cs="Arial"/>
                <w:color w:val="000000"/>
                <w:sz w:val="20"/>
                <w:szCs w:val="20"/>
              </w:rPr>
              <w:t>Sunflower seed</w:t>
            </w:r>
            <w:r>
              <w:rPr>
                <w:rFonts w:cs="Arial"/>
                <w:color w:val="000000"/>
                <w:sz w:val="20"/>
                <w:szCs w:val="20"/>
              </w:rPr>
              <w:t>s</w:t>
            </w:r>
          </w:p>
        </w:tc>
        <w:tc>
          <w:tcPr>
            <w:tcW w:w="1276" w:type="dxa"/>
            <w:tcBorders>
              <w:left w:val="none" w:sz="0" w:space="0" w:color="auto"/>
              <w:right w:val="none" w:sz="0" w:space="0" w:color="auto"/>
            </w:tcBorders>
            <w:noWrap/>
            <w:hideMark/>
          </w:tcPr>
          <w:p w:rsidR="00391A6C" w:rsidRPr="00A93CEE"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93CEE">
              <w:rPr>
                <w:rFonts w:cs="Arial"/>
                <w:color w:val="000000"/>
                <w:sz w:val="20"/>
                <w:szCs w:val="20"/>
              </w:rPr>
              <w:t>90</w:t>
            </w:r>
          </w:p>
        </w:tc>
        <w:tc>
          <w:tcPr>
            <w:tcW w:w="1418" w:type="dxa"/>
            <w:tcBorders>
              <w:left w:val="none" w:sz="0" w:space="0" w:color="auto"/>
              <w:right w:val="none" w:sz="0" w:space="0" w:color="auto"/>
            </w:tcBorders>
            <w:noWrap/>
            <w:hideMark/>
          </w:tcPr>
          <w:p w:rsidR="00391A6C" w:rsidRPr="00A93CEE"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93CEE">
              <w:rPr>
                <w:rFonts w:cs="Arial"/>
                <w:color w:val="000000"/>
                <w:sz w:val="20"/>
                <w:szCs w:val="20"/>
              </w:rPr>
              <w:t>P97.5</w:t>
            </w:r>
          </w:p>
        </w:tc>
        <w:tc>
          <w:tcPr>
            <w:tcW w:w="1417" w:type="dxa"/>
            <w:tcBorders>
              <w:left w:val="none" w:sz="0" w:space="0" w:color="auto"/>
              <w:right w:val="none" w:sz="0" w:space="0" w:color="auto"/>
            </w:tcBorders>
            <w:noWrap/>
            <w:hideMark/>
          </w:tcPr>
          <w:p w:rsidR="00391A6C" w:rsidRPr="00A93CEE"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93CEE">
              <w:rPr>
                <w:rFonts w:cs="Arial"/>
                <w:color w:val="000000"/>
                <w:sz w:val="20"/>
                <w:szCs w:val="20"/>
              </w:rPr>
              <w:t>8</w:t>
            </w:r>
          </w:p>
        </w:tc>
        <w:tc>
          <w:tcPr>
            <w:tcW w:w="1596" w:type="dxa"/>
            <w:tcBorders>
              <w:left w:val="none" w:sz="0" w:space="0" w:color="auto"/>
            </w:tcBorders>
            <w:noWrap/>
            <w:hideMark/>
          </w:tcPr>
          <w:p w:rsidR="00391A6C" w:rsidRPr="00A93CEE"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93CEE">
              <w:rPr>
                <w:rFonts w:cs="Arial"/>
                <w:color w:val="000000"/>
                <w:sz w:val="20"/>
                <w:szCs w:val="20"/>
              </w:rPr>
              <w:t>1</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402" w:type="dxa"/>
            <w:tcBorders>
              <w:right w:val="single" w:sz="8" w:space="0" w:color="7BA0CD" w:themeColor="accent1" w:themeTint="BF"/>
            </w:tcBorders>
            <w:noWrap/>
            <w:hideMark/>
          </w:tcPr>
          <w:p w:rsidR="00391A6C" w:rsidRPr="00A93CEE" w:rsidRDefault="00391A6C" w:rsidP="00A40AEA">
            <w:pPr>
              <w:rPr>
                <w:rFonts w:cs="Arial"/>
                <w:color w:val="000000"/>
                <w:sz w:val="20"/>
                <w:szCs w:val="20"/>
              </w:rPr>
            </w:pPr>
            <w:r w:rsidRPr="00A93CEE">
              <w:rPr>
                <w:rFonts w:cs="Arial"/>
                <w:color w:val="000000"/>
                <w:sz w:val="20"/>
                <w:szCs w:val="20"/>
              </w:rPr>
              <w:t>Taro</w:t>
            </w:r>
            <w:r>
              <w:rPr>
                <w:rFonts w:cs="Arial"/>
                <w:color w:val="000000"/>
                <w:sz w:val="20"/>
                <w:szCs w:val="20"/>
              </w:rPr>
              <w:t>, in m</w:t>
            </w:r>
            <w:r w:rsidRPr="00A93CEE">
              <w:rPr>
                <w:rFonts w:cs="Arial"/>
                <w:color w:val="000000"/>
                <w:sz w:val="20"/>
                <w:szCs w:val="20"/>
              </w:rPr>
              <w:t>ixed foods</w:t>
            </w:r>
          </w:p>
        </w:tc>
        <w:tc>
          <w:tcPr>
            <w:tcW w:w="1276" w:type="dxa"/>
            <w:tcBorders>
              <w:left w:val="single" w:sz="8" w:space="0" w:color="7BA0CD" w:themeColor="accent1" w:themeTint="BF"/>
              <w:right w:val="single" w:sz="8" w:space="0" w:color="7BA0CD" w:themeColor="accent1" w:themeTint="BF"/>
            </w:tcBorders>
            <w:noWrap/>
            <w:hideMark/>
          </w:tcPr>
          <w:p w:rsidR="00391A6C" w:rsidRPr="00A93CEE"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93CEE">
              <w:rPr>
                <w:rFonts w:cs="Arial"/>
                <w:color w:val="000000"/>
                <w:sz w:val="20"/>
                <w:szCs w:val="20"/>
              </w:rPr>
              <w:t>1</w:t>
            </w:r>
          </w:p>
        </w:tc>
        <w:tc>
          <w:tcPr>
            <w:tcW w:w="1418" w:type="dxa"/>
            <w:tcBorders>
              <w:left w:val="single" w:sz="8" w:space="0" w:color="7BA0CD" w:themeColor="accent1" w:themeTint="BF"/>
              <w:right w:val="single" w:sz="8" w:space="0" w:color="7BA0CD" w:themeColor="accent1" w:themeTint="BF"/>
            </w:tcBorders>
            <w:noWrap/>
            <w:hideMark/>
          </w:tcPr>
          <w:p w:rsidR="00391A6C" w:rsidRPr="00A93CEE"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93CEE">
              <w:rPr>
                <w:rFonts w:cs="Arial"/>
                <w:color w:val="000000"/>
                <w:sz w:val="20"/>
                <w:szCs w:val="20"/>
              </w:rPr>
              <w:t>P50</w:t>
            </w:r>
          </w:p>
        </w:tc>
        <w:tc>
          <w:tcPr>
            <w:tcW w:w="1417" w:type="dxa"/>
            <w:tcBorders>
              <w:left w:val="single" w:sz="8" w:space="0" w:color="7BA0CD" w:themeColor="accent1" w:themeTint="BF"/>
              <w:right w:val="single" w:sz="8" w:space="0" w:color="7BA0CD" w:themeColor="accent1" w:themeTint="BF"/>
            </w:tcBorders>
            <w:noWrap/>
            <w:hideMark/>
          </w:tcPr>
          <w:p w:rsidR="00391A6C" w:rsidRPr="00A93CEE"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93CEE">
              <w:rPr>
                <w:rFonts w:cs="Arial"/>
                <w:color w:val="000000"/>
                <w:sz w:val="20"/>
                <w:szCs w:val="20"/>
              </w:rPr>
              <w:t>68</w:t>
            </w:r>
          </w:p>
        </w:tc>
        <w:tc>
          <w:tcPr>
            <w:tcW w:w="1596" w:type="dxa"/>
            <w:tcBorders>
              <w:left w:val="single" w:sz="8" w:space="0" w:color="7BA0CD" w:themeColor="accent1" w:themeTint="BF"/>
            </w:tcBorders>
            <w:noWrap/>
            <w:hideMark/>
          </w:tcPr>
          <w:p w:rsidR="00391A6C" w:rsidRPr="00A93CEE"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93CEE">
              <w:rPr>
                <w:rFonts w:cs="Arial"/>
                <w:color w:val="000000"/>
                <w:sz w:val="20"/>
                <w:szCs w:val="20"/>
              </w:rPr>
              <w:t>12</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noWrap/>
            <w:hideMark/>
          </w:tcPr>
          <w:p w:rsidR="00391A6C" w:rsidRPr="00A93CEE" w:rsidRDefault="00391A6C" w:rsidP="00A40AEA">
            <w:pPr>
              <w:rPr>
                <w:rFonts w:cs="Arial"/>
                <w:color w:val="000000"/>
                <w:sz w:val="20"/>
                <w:szCs w:val="20"/>
              </w:rPr>
            </w:pPr>
            <w:r w:rsidRPr="00A93CEE">
              <w:rPr>
                <w:rFonts w:cs="Arial"/>
                <w:color w:val="000000"/>
                <w:sz w:val="20"/>
                <w:szCs w:val="20"/>
              </w:rPr>
              <w:t>Taro</w:t>
            </w:r>
            <w:r>
              <w:rPr>
                <w:rFonts w:cs="Arial"/>
                <w:color w:val="000000"/>
                <w:sz w:val="20"/>
                <w:szCs w:val="20"/>
              </w:rPr>
              <w:t>,</w:t>
            </w:r>
            <w:r w:rsidRPr="00A93CEE">
              <w:rPr>
                <w:rFonts w:cs="Arial"/>
                <w:color w:val="000000"/>
                <w:sz w:val="20"/>
                <w:szCs w:val="20"/>
              </w:rPr>
              <w:t xml:space="preserve"> leaves</w:t>
            </w:r>
            <w:r>
              <w:rPr>
                <w:rFonts w:cs="Arial"/>
                <w:color w:val="000000"/>
                <w:sz w:val="20"/>
                <w:szCs w:val="20"/>
              </w:rPr>
              <w:t xml:space="preserve"> only</w:t>
            </w:r>
          </w:p>
        </w:tc>
        <w:tc>
          <w:tcPr>
            <w:tcW w:w="1276" w:type="dxa"/>
            <w:tcBorders>
              <w:left w:val="none" w:sz="0" w:space="0" w:color="auto"/>
              <w:right w:val="none" w:sz="0" w:space="0" w:color="auto"/>
            </w:tcBorders>
            <w:noWrap/>
            <w:hideMark/>
          </w:tcPr>
          <w:p w:rsidR="00391A6C" w:rsidRPr="00A93CEE"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93CEE">
              <w:rPr>
                <w:rFonts w:cs="Arial"/>
                <w:color w:val="000000"/>
                <w:sz w:val="20"/>
                <w:szCs w:val="20"/>
              </w:rPr>
              <w:t>6</w:t>
            </w:r>
          </w:p>
        </w:tc>
        <w:tc>
          <w:tcPr>
            <w:tcW w:w="1418" w:type="dxa"/>
            <w:tcBorders>
              <w:left w:val="none" w:sz="0" w:space="0" w:color="auto"/>
              <w:right w:val="none" w:sz="0" w:space="0" w:color="auto"/>
            </w:tcBorders>
            <w:noWrap/>
            <w:hideMark/>
          </w:tcPr>
          <w:p w:rsidR="00391A6C" w:rsidRPr="00A93CEE"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93CEE">
              <w:rPr>
                <w:rFonts w:cs="Arial"/>
                <w:color w:val="000000"/>
                <w:sz w:val="20"/>
                <w:szCs w:val="20"/>
              </w:rPr>
              <w:t>P50</w:t>
            </w:r>
          </w:p>
        </w:tc>
        <w:tc>
          <w:tcPr>
            <w:tcW w:w="1417" w:type="dxa"/>
            <w:tcBorders>
              <w:left w:val="none" w:sz="0" w:space="0" w:color="auto"/>
              <w:right w:val="none" w:sz="0" w:space="0" w:color="auto"/>
            </w:tcBorders>
            <w:noWrap/>
            <w:hideMark/>
          </w:tcPr>
          <w:p w:rsidR="00391A6C" w:rsidRPr="00A93CEE"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93CEE">
              <w:rPr>
                <w:rFonts w:cs="Arial"/>
                <w:color w:val="000000"/>
                <w:sz w:val="20"/>
                <w:szCs w:val="20"/>
              </w:rPr>
              <w:t>72</w:t>
            </w:r>
          </w:p>
        </w:tc>
        <w:tc>
          <w:tcPr>
            <w:tcW w:w="1596" w:type="dxa"/>
            <w:tcBorders>
              <w:left w:val="none" w:sz="0" w:space="0" w:color="auto"/>
            </w:tcBorders>
            <w:noWrap/>
            <w:hideMark/>
          </w:tcPr>
          <w:p w:rsidR="00391A6C" w:rsidRPr="00A93CEE" w:rsidRDefault="00391A6C" w:rsidP="00A40AEA">
            <w:pPr>
              <w:jc w:val="right"/>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93CEE">
              <w:rPr>
                <w:rFonts w:cs="Arial"/>
                <w:color w:val="000000"/>
                <w:sz w:val="20"/>
                <w:szCs w:val="20"/>
              </w:rPr>
              <w:t>13</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402" w:type="dxa"/>
            <w:tcBorders>
              <w:right w:val="single" w:sz="8" w:space="0" w:color="7BA0CD" w:themeColor="accent1" w:themeTint="BF"/>
            </w:tcBorders>
            <w:noWrap/>
            <w:hideMark/>
          </w:tcPr>
          <w:p w:rsidR="00391A6C" w:rsidRPr="00A93CEE" w:rsidRDefault="00391A6C" w:rsidP="00A40AEA">
            <w:pPr>
              <w:rPr>
                <w:rFonts w:cs="Arial"/>
                <w:color w:val="000000"/>
                <w:sz w:val="20"/>
                <w:szCs w:val="20"/>
              </w:rPr>
            </w:pPr>
            <w:r w:rsidRPr="00A93CEE">
              <w:rPr>
                <w:rFonts w:cs="Arial"/>
                <w:color w:val="000000"/>
                <w:sz w:val="20"/>
                <w:szCs w:val="20"/>
              </w:rPr>
              <w:t>Vine leaves, stuffed</w:t>
            </w:r>
            <w:r>
              <w:rPr>
                <w:rFonts w:cs="Arial"/>
                <w:color w:val="000000"/>
                <w:sz w:val="20"/>
                <w:szCs w:val="20"/>
              </w:rPr>
              <w:t>,</w:t>
            </w:r>
            <w:r w:rsidRPr="00A93CEE">
              <w:rPr>
                <w:rFonts w:cs="Arial"/>
                <w:color w:val="000000"/>
                <w:sz w:val="20"/>
                <w:szCs w:val="20"/>
              </w:rPr>
              <w:t xml:space="preserve"> canned</w:t>
            </w:r>
          </w:p>
        </w:tc>
        <w:tc>
          <w:tcPr>
            <w:tcW w:w="1276" w:type="dxa"/>
            <w:tcBorders>
              <w:left w:val="single" w:sz="8" w:space="0" w:color="7BA0CD" w:themeColor="accent1" w:themeTint="BF"/>
              <w:right w:val="single" w:sz="8" w:space="0" w:color="7BA0CD" w:themeColor="accent1" w:themeTint="BF"/>
            </w:tcBorders>
            <w:noWrap/>
            <w:hideMark/>
          </w:tcPr>
          <w:p w:rsidR="00391A6C" w:rsidRPr="00A93CEE"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93CEE">
              <w:rPr>
                <w:rFonts w:cs="Arial"/>
                <w:color w:val="000000"/>
                <w:sz w:val="20"/>
                <w:szCs w:val="20"/>
              </w:rPr>
              <w:t>NC</w:t>
            </w:r>
          </w:p>
        </w:tc>
        <w:tc>
          <w:tcPr>
            <w:tcW w:w="1418" w:type="dxa"/>
            <w:tcBorders>
              <w:left w:val="single" w:sz="8" w:space="0" w:color="7BA0CD" w:themeColor="accent1" w:themeTint="BF"/>
              <w:right w:val="single" w:sz="8" w:space="0" w:color="7BA0CD" w:themeColor="accent1" w:themeTint="BF"/>
            </w:tcBorders>
            <w:noWrap/>
            <w:hideMark/>
          </w:tcPr>
          <w:p w:rsidR="00391A6C" w:rsidRPr="00A93CEE"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93CEE">
              <w:rPr>
                <w:rFonts w:cs="Arial"/>
                <w:color w:val="000000"/>
                <w:sz w:val="20"/>
                <w:szCs w:val="20"/>
              </w:rPr>
              <w:t>NC</w:t>
            </w:r>
          </w:p>
        </w:tc>
        <w:tc>
          <w:tcPr>
            <w:tcW w:w="1417" w:type="dxa"/>
            <w:tcBorders>
              <w:left w:val="single" w:sz="8" w:space="0" w:color="7BA0CD" w:themeColor="accent1" w:themeTint="BF"/>
              <w:right w:val="single" w:sz="8" w:space="0" w:color="7BA0CD" w:themeColor="accent1" w:themeTint="BF"/>
            </w:tcBorders>
            <w:noWrap/>
            <w:hideMark/>
          </w:tcPr>
          <w:p w:rsidR="00391A6C" w:rsidRPr="00A93CEE"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93CEE">
              <w:rPr>
                <w:rFonts w:cs="Arial"/>
                <w:color w:val="000000"/>
                <w:sz w:val="20"/>
                <w:szCs w:val="20"/>
              </w:rPr>
              <w:t>NC</w:t>
            </w:r>
          </w:p>
        </w:tc>
        <w:tc>
          <w:tcPr>
            <w:tcW w:w="1596" w:type="dxa"/>
            <w:tcBorders>
              <w:left w:val="single" w:sz="8" w:space="0" w:color="7BA0CD" w:themeColor="accent1" w:themeTint="BF"/>
            </w:tcBorders>
            <w:noWrap/>
            <w:hideMark/>
          </w:tcPr>
          <w:p w:rsidR="00391A6C" w:rsidRPr="00A93CEE"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93CEE">
              <w:rPr>
                <w:rFonts w:cs="Arial"/>
                <w:color w:val="000000"/>
                <w:sz w:val="20"/>
                <w:szCs w:val="20"/>
              </w:rPr>
              <w:t>NC</w:t>
            </w:r>
          </w:p>
        </w:tc>
      </w:tr>
    </w:tbl>
    <w:p w:rsidR="00391A6C" w:rsidRPr="00A93CEE" w:rsidRDefault="00391A6C" w:rsidP="00391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A93CEE">
        <w:rPr>
          <w:rFonts w:cs="Arial"/>
          <w:sz w:val="18"/>
          <w:szCs w:val="18"/>
        </w:rPr>
        <w:t>NC = not consumed.</w:t>
      </w:r>
    </w:p>
    <w:p w:rsidR="00391A6C" w:rsidRPr="00966234" w:rsidRDefault="00391A6C" w:rsidP="00391A6C">
      <w:pPr>
        <w:rPr>
          <w:sz w:val="18"/>
          <w:szCs w:val="18"/>
        </w:rPr>
      </w:pPr>
      <w:r w:rsidRPr="00BB153A">
        <w:rPr>
          <w:sz w:val="18"/>
          <w:szCs w:val="18"/>
          <w:vertAlign w:val="superscript"/>
        </w:rPr>
        <w:t>a</w:t>
      </w:r>
      <w:r w:rsidRPr="00966234">
        <w:rPr>
          <w:sz w:val="18"/>
          <w:szCs w:val="18"/>
        </w:rPr>
        <w:t xml:space="preserve"> Survey 2, EU method</w:t>
      </w:r>
      <w:r>
        <w:rPr>
          <w:sz w:val="18"/>
          <w:szCs w:val="18"/>
        </w:rPr>
        <w:t>.</w:t>
      </w:r>
    </w:p>
    <w:p w:rsidR="00391A6C" w:rsidRPr="00966234" w:rsidRDefault="00391A6C" w:rsidP="00391A6C">
      <w:pPr>
        <w:rPr>
          <w:sz w:val="18"/>
          <w:szCs w:val="18"/>
        </w:rPr>
      </w:pPr>
      <w:r w:rsidRPr="00BB153A">
        <w:rPr>
          <w:sz w:val="18"/>
          <w:szCs w:val="18"/>
          <w:vertAlign w:val="superscript"/>
        </w:rPr>
        <w:t>b</w:t>
      </w:r>
      <w:r w:rsidRPr="00966234">
        <w:rPr>
          <w:sz w:val="18"/>
          <w:szCs w:val="18"/>
        </w:rPr>
        <w:t xml:space="preserve"> Survey 1</w:t>
      </w:r>
      <w:r>
        <w:rPr>
          <w:sz w:val="18"/>
          <w:szCs w:val="18"/>
        </w:rPr>
        <w:t>.</w:t>
      </w:r>
    </w:p>
    <w:p w:rsidR="00391A6C" w:rsidRDefault="00391A6C" w:rsidP="00391A6C">
      <w:pPr>
        <w:rPr>
          <w:sz w:val="18"/>
          <w:szCs w:val="18"/>
        </w:rPr>
      </w:pPr>
      <w:r w:rsidRPr="00BB153A">
        <w:rPr>
          <w:sz w:val="18"/>
          <w:szCs w:val="18"/>
          <w:vertAlign w:val="superscript"/>
        </w:rPr>
        <w:t>c</w:t>
      </w:r>
      <w:r w:rsidRPr="00966234">
        <w:rPr>
          <w:sz w:val="18"/>
          <w:szCs w:val="18"/>
        </w:rPr>
        <w:t xml:space="preserve"> Survey 3, sweet </w:t>
      </w:r>
      <w:r w:rsidR="003F1E1D">
        <w:rPr>
          <w:sz w:val="18"/>
          <w:szCs w:val="18"/>
        </w:rPr>
        <w:t xml:space="preserve">cassava </w:t>
      </w:r>
      <w:r w:rsidRPr="00966234">
        <w:rPr>
          <w:sz w:val="18"/>
          <w:szCs w:val="18"/>
        </w:rPr>
        <w:t>only</w:t>
      </w:r>
      <w:r>
        <w:rPr>
          <w:sz w:val="18"/>
          <w:szCs w:val="18"/>
        </w:rPr>
        <w:t>.</w:t>
      </w:r>
    </w:p>
    <w:p w:rsidR="008F5465" w:rsidRPr="0036079D" w:rsidRDefault="008F5465" w:rsidP="008F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AB6F48">
        <w:rPr>
          <w:rFonts w:cs="Arial"/>
          <w:bCs/>
          <w:sz w:val="18"/>
          <w:szCs w:val="18"/>
          <w:vertAlign w:val="superscript"/>
        </w:rPr>
        <w:t>d</w:t>
      </w:r>
      <w:r>
        <w:rPr>
          <w:rFonts w:cs="Arial"/>
          <w:bCs/>
          <w:sz w:val="18"/>
          <w:szCs w:val="18"/>
        </w:rPr>
        <w:t xml:space="preserve"> Consumption level based on </w:t>
      </w:r>
      <w:r w:rsidRPr="00AB6F48">
        <w:rPr>
          <w:rFonts w:cs="Arial"/>
          <w:bCs/>
          <w:sz w:val="18"/>
          <w:szCs w:val="18"/>
        </w:rPr>
        <w:t>recommended serves/recommended maximum consumption levels</w:t>
      </w:r>
      <w:r>
        <w:rPr>
          <w:rFonts w:cs="Arial"/>
          <w:bCs/>
          <w:sz w:val="18"/>
          <w:szCs w:val="18"/>
        </w:rPr>
        <w:t xml:space="preserve">. </w:t>
      </w:r>
    </w:p>
    <w:p w:rsidR="008F5465" w:rsidRPr="00966234" w:rsidRDefault="008F5465" w:rsidP="00391A6C">
      <w:pPr>
        <w:rPr>
          <w:sz w:val="18"/>
          <w:szCs w:val="18"/>
        </w:rPr>
      </w:pPr>
    </w:p>
    <w:p w:rsidR="00391A6C" w:rsidRDefault="00391A6C" w:rsidP="00391A6C">
      <w:pPr>
        <w:rPr>
          <w:rFonts w:cs="Arial"/>
          <w:b/>
        </w:rPr>
      </w:pPr>
      <w:r>
        <w:br w:type="page"/>
      </w:r>
    </w:p>
    <w:p w:rsidR="00391A6C" w:rsidRPr="0064728F" w:rsidRDefault="00F57293" w:rsidP="0064728F">
      <w:pPr>
        <w:rPr>
          <w:rFonts w:asciiTheme="minorHAnsi" w:hAnsiTheme="minorHAnsi"/>
          <w:b/>
        </w:rPr>
      </w:pPr>
      <w:r w:rsidRPr="0064728F">
        <w:rPr>
          <w:rFonts w:asciiTheme="minorHAnsi" w:hAnsiTheme="minorHAnsi"/>
          <w:b/>
        </w:rPr>
        <w:lastRenderedPageBreak/>
        <w:t xml:space="preserve">Table A10.6. </w:t>
      </w:r>
      <w:r w:rsidR="00391A6C" w:rsidRPr="0064728F">
        <w:rPr>
          <w:rFonts w:asciiTheme="minorHAnsi" w:hAnsiTheme="minorHAnsi"/>
          <w:b/>
        </w:rPr>
        <w:t>Estimated acute dietary exposures to total HCN for New Zealand children aged 5-14 years</w:t>
      </w:r>
    </w:p>
    <w:tbl>
      <w:tblPr>
        <w:tblStyle w:val="MediumShading1-Accent1"/>
        <w:tblW w:w="9180" w:type="dxa"/>
        <w:tblBorders>
          <w:insideV w:val="single" w:sz="8" w:space="0" w:color="7BA0CD" w:themeColor="accent1" w:themeTint="BF"/>
        </w:tblBorders>
        <w:tblLayout w:type="fixed"/>
        <w:tblLook w:val="04A0" w:firstRow="1" w:lastRow="0" w:firstColumn="1" w:lastColumn="0" w:noHBand="0" w:noVBand="1"/>
      </w:tblPr>
      <w:tblGrid>
        <w:gridCol w:w="3544"/>
        <w:gridCol w:w="1276"/>
        <w:gridCol w:w="1417"/>
        <w:gridCol w:w="1418"/>
        <w:gridCol w:w="1525"/>
      </w:tblGrid>
      <w:tr w:rsidR="00391A6C" w:rsidRPr="00A93CEE" w:rsidTr="00A40AEA">
        <w:trPr>
          <w:cnfStyle w:val="100000000000" w:firstRow="1" w:lastRow="0" w:firstColumn="0" w:lastColumn="0" w:oddVBand="0" w:evenVBand="0" w:oddHBand="0" w:evenHBand="0" w:firstRowFirstColumn="0" w:firstRowLastColumn="0" w:lastRowFirstColumn="0" w:lastRowLastColumn="0"/>
          <w:trHeight w:val="1047"/>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left w:val="none" w:sz="0" w:space="0" w:color="auto"/>
              <w:bottom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bCs w:val="0"/>
                <w:sz w:val="20"/>
                <w:szCs w:val="20"/>
                <w:lang w:eastAsia="en-GB"/>
              </w:rPr>
              <w:t>Food</w:t>
            </w:r>
          </w:p>
        </w:tc>
        <w:tc>
          <w:tcPr>
            <w:tcW w:w="1276" w:type="dxa"/>
            <w:tcBorders>
              <w:top w:val="none" w:sz="0" w:space="0" w:color="auto"/>
              <w:left w:val="none" w:sz="0" w:space="0" w:color="auto"/>
              <w:bottom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A93CEE">
              <w:rPr>
                <w:rFonts w:cs="Arial"/>
                <w:sz w:val="20"/>
                <w:szCs w:val="20"/>
              </w:rPr>
              <w:t>Number of consumers</w:t>
            </w:r>
          </w:p>
        </w:tc>
        <w:tc>
          <w:tcPr>
            <w:tcW w:w="1417" w:type="dxa"/>
            <w:tcBorders>
              <w:top w:val="none" w:sz="0" w:space="0" w:color="auto"/>
              <w:left w:val="none" w:sz="0" w:space="0" w:color="auto"/>
              <w:bottom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A93CEE">
              <w:rPr>
                <w:rFonts w:cs="Arial"/>
                <w:sz w:val="20"/>
                <w:szCs w:val="20"/>
              </w:rPr>
              <w:t>Consumption level used</w:t>
            </w:r>
          </w:p>
        </w:tc>
        <w:tc>
          <w:tcPr>
            <w:tcW w:w="1418" w:type="dxa"/>
            <w:tcBorders>
              <w:top w:val="none" w:sz="0" w:space="0" w:color="auto"/>
              <w:left w:val="none" w:sz="0" w:space="0" w:color="auto"/>
              <w:bottom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A93CEE">
              <w:rPr>
                <w:rFonts w:cs="Arial"/>
                <w:sz w:val="20"/>
                <w:szCs w:val="20"/>
              </w:rPr>
              <w:t>Consumption amount</w:t>
            </w:r>
          </w:p>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A93CEE">
              <w:rPr>
                <w:rFonts w:cs="Arial"/>
                <w:sz w:val="20"/>
                <w:szCs w:val="20"/>
              </w:rPr>
              <w:t>(g/day)</w:t>
            </w:r>
          </w:p>
        </w:tc>
        <w:tc>
          <w:tcPr>
            <w:tcW w:w="1525" w:type="dxa"/>
            <w:tcBorders>
              <w:top w:val="none" w:sz="0" w:space="0" w:color="auto"/>
              <w:left w:val="none" w:sz="0" w:space="0" w:color="auto"/>
              <w:bottom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A93CEE">
              <w:rPr>
                <w:rFonts w:cs="Arial"/>
                <w:bCs w:val="0"/>
                <w:sz w:val="20"/>
                <w:szCs w:val="20"/>
                <w:lang w:eastAsia="en-GB"/>
              </w:rPr>
              <w:t xml:space="preserve">Estimated </w:t>
            </w:r>
            <w:r>
              <w:rPr>
                <w:rFonts w:cs="Arial"/>
                <w:bCs w:val="0"/>
                <w:sz w:val="20"/>
                <w:szCs w:val="20"/>
                <w:lang w:eastAsia="en-GB"/>
              </w:rPr>
              <w:t xml:space="preserve">acute </w:t>
            </w:r>
            <w:r w:rsidRPr="00A93CEE">
              <w:rPr>
                <w:rFonts w:cs="Arial"/>
                <w:bCs w:val="0"/>
                <w:sz w:val="20"/>
                <w:szCs w:val="20"/>
                <w:lang w:eastAsia="en-GB"/>
              </w:rPr>
              <w:t xml:space="preserve">exposure to total </w:t>
            </w:r>
            <w:r w:rsidRPr="00A93CEE">
              <w:rPr>
                <w:rFonts w:cs="Arial"/>
                <w:sz w:val="20"/>
                <w:szCs w:val="20"/>
              </w:rPr>
              <w:t>HCN</w:t>
            </w:r>
          </w:p>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A93CEE">
              <w:rPr>
                <w:rFonts w:cs="Arial"/>
                <w:sz w:val="20"/>
                <w:szCs w:val="20"/>
              </w:rPr>
              <w:t>(µg/kg bw/day)</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Almonds</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128</w:t>
            </w:r>
          </w:p>
        </w:tc>
        <w:tc>
          <w:tcPr>
            <w:tcW w:w="1417"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P97.5</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21</w:t>
            </w:r>
          </w:p>
        </w:tc>
        <w:tc>
          <w:tcPr>
            <w:tcW w:w="1525"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6</w:t>
            </w:r>
          </w:p>
        </w:tc>
      </w:tr>
      <w:tr w:rsidR="00391A6C" w:rsidRPr="001A34CB"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sz w:val="20"/>
                <w:szCs w:val="20"/>
              </w:rPr>
              <w:t>Almond oil</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NC</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NC</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NC</w:t>
            </w:r>
          </w:p>
        </w:tc>
        <w:tc>
          <w:tcPr>
            <w:tcW w:w="1525"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NC</w:t>
            </w:r>
          </w:p>
        </w:tc>
      </w:tr>
      <w:tr w:rsidR="00391A6C" w:rsidRPr="001A34CB"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color w:val="000000"/>
                <w:sz w:val="20"/>
                <w:szCs w:val="20"/>
              </w:rPr>
              <w:t>Apple juice</w:t>
            </w:r>
            <w:r w:rsidRPr="00966234">
              <w:rPr>
                <w:rFonts w:cs="Arial"/>
                <w:color w:val="000000"/>
                <w:sz w:val="20"/>
                <w:szCs w:val="20"/>
                <w:vertAlign w:val="superscript"/>
              </w:rPr>
              <w:t>a</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350</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P97.5</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741</w:t>
            </w:r>
          </w:p>
        </w:tc>
        <w:tc>
          <w:tcPr>
            <w:tcW w:w="1525"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3</w:t>
            </w:r>
          </w:p>
        </w:tc>
      </w:tr>
      <w:tr w:rsidR="00391A6C" w:rsidRPr="001A34CB"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sz w:val="20"/>
                <w:szCs w:val="20"/>
              </w:rPr>
              <w:t>Apple sauce</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12</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P50</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17</w:t>
            </w:r>
          </w:p>
        </w:tc>
        <w:tc>
          <w:tcPr>
            <w:tcW w:w="1525"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2</w:t>
            </w:r>
          </w:p>
        </w:tc>
      </w:tr>
      <w:tr w:rsidR="00391A6C" w:rsidRPr="001A34CB"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sz w:val="20"/>
                <w:szCs w:val="20"/>
              </w:rPr>
              <w:t>Apple cider vinegar</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2882</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P97.5</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13</w:t>
            </w:r>
          </w:p>
        </w:tc>
        <w:tc>
          <w:tcPr>
            <w:tcW w:w="1525"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1</w:t>
            </w:r>
          </w:p>
        </w:tc>
      </w:tr>
      <w:tr w:rsidR="00391A6C" w:rsidRPr="001A34CB"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sz w:val="20"/>
                <w:szCs w:val="20"/>
              </w:rPr>
              <w:t>Apricots, canned</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75</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P97.5</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116</w:t>
            </w:r>
          </w:p>
        </w:tc>
        <w:tc>
          <w:tcPr>
            <w:tcW w:w="1525"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11</w:t>
            </w:r>
          </w:p>
        </w:tc>
      </w:tr>
      <w:tr w:rsidR="00391A6C" w:rsidRPr="001A34CB"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szCs w:val="20"/>
              </w:rPr>
            </w:pPr>
            <w:r w:rsidRPr="001A34CB">
              <w:rPr>
                <w:rFonts w:cs="Arial"/>
                <w:color w:val="000000"/>
                <w:sz w:val="20"/>
                <w:szCs w:val="20"/>
              </w:rPr>
              <w:t>Apricot jam</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2</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P50</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1</w:t>
            </w:r>
          </w:p>
        </w:tc>
        <w:tc>
          <w:tcPr>
            <w:tcW w:w="1525"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&lt;1</w:t>
            </w:r>
          </w:p>
        </w:tc>
      </w:tr>
      <w:tr w:rsidR="00391A6C" w:rsidRPr="001A34CB"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color w:val="000000"/>
                <w:sz w:val="20"/>
                <w:szCs w:val="20"/>
              </w:rPr>
              <w:t>Apricot nectar</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39</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P</w:t>
            </w:r>
            <w:r>
              <w:rPr>
                <w:rFonts w:cs="Arial"/>
                <w:sz w:val="20"/>
                <w:szCs w:val="20"/>
              </w:rPr>
              <w:t>97.5</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244</w:t>
            </w:r>
          </w:p>
        </w:tc>
        <w:tc>
          <w:tcPr>
            <w:tcW w:w="1525" w:type="dxa"/>
            <w:tcBorders>
              <w:left w:val="none" w:sz="0" w:space="0" w:color="auto"/>
            </w:tcBorders>
          </w:tcPr>
          <w:p w:rsidR="00391A6C" w:rsidRPr="001A34CB" w:rsidRDefault="007E50AD"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29</w:t>
            </w:r>
          </w:p>
        </w:tc>
      </w:tr>
      <w:tr w:rsidR="00391A6C" w:rsidRPr="001A34CB"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sz w:val="20"/>
                <w:szCs w:val="20"/>
              </w:rPr>
              <w:t>Bamboo shoots</w:t>
            </w:r>
            <w:r w:rsidRPr="00966234">
              <w:rPr>
                <w:rFonts w:cs="Arial"/>
                <w:sz w:val="20"/>
                <w:szCs w:val="20"/>
                <w:vertAlign w:val="superscript"/>
              </w:rPr>
              <w:t>b</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39</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P97.5</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33</w:t>
            </w:r>
          </w:p>
        </w:tc>
        <w:tc>
          <w:tcPr>
            <w:tcW w:w="1525"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35</w:t>
            </w:r>
          </w:p>
        </w:tc>
      </w:tr>
      <w:tr w:rsidR="00391A6C" w:rsidRPr="001A34CB"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szCs w:val="20"/>
              </w:rPr>
            </w:pPr>
            <w:r w:rsidRPr="001A34CB">
              <w:rPr>
                <w:rFonts w:cs="Arial"/>
                <w:color w:val="000000"/>
                <w:sz w:val="20"/>
                <w:szCs w:val="20"/>
              </w:rPr>
              <w:t>Biscuits, amaretti</w:t>
            </w:r>
            <w:r w:rsidR="008F5465" w:rsidRPr="008F5465">
              <w:rPr>
                <w:rFonts w:cs="Arial"/>
                <w:color w:val="000000"/>
                <w:sz w:val="20"/>
                <w:szCs w:val="20"/>
                <w:vertAlign w:val="superscript"/>
              </w:rPr>
              <w:t>d</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color w:val="000000"/>
                <w:sz w:val="20"/>
                <w:szCs w:val="20"/>
              </w:rPr>
              <w:t>1 serve</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color w:val="000000"/>
                <w:sz w:val="20"/>
                <w:szCs w:val="20"/>
              </w:rPr>
              <w:t>30</w:t>
            </w:r>
          </w:p>
        </w:tc>
        <w:tc>
          <w:tcPr>
            <w:tcW w:w="1525"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color w:val="000000"/>
                <w:sz w:val="20"/>
                <w:szCs w:val="20"/>
              </w:rPr>
              <w:t>24</w:t>
            </w:r>
          </w:p>
        </w:tc>
      </w:tr>
      <w:tr w:rsidR="00391A6C" w:rsidRPr="001A34CB"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color w:val="000000"/>
                <w:sz w:val="20"/>
                <w:szCs w:val="20"/>
              </w:rPr>
              <w:t>Biscuits, almond fingers/apple fingers</w:t>
            </w:r>
            <w:r w:rsidR="008F5465" w:rsidRPr="008F5465">
              <w:rPr>
                <w:rFonts w:cs="Arial"/>
                <w:color w:val="000000"/>
                <w:sz w:val="20"/>
                <w:szCs w:val="20"/>
                <w:vertAlign w:val="superscript"/>
              </w:rPr>
              <w:t>d</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1 serve</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47</w:t>
            </w:r>
          </w:p>
        </w:tc>
        <w:tc>
          <w:tcPr>
            <w:tcW w:w="1525"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15</w:t>
            </w:r>
          </w:p>
        </w:tc>
      </w:tr>
      <w:tr w:rsidR="00391A6C" w:rsidRPr="001A34CB"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sz w:val="20"/>
                <w:szCs w:val="20"/>
              </w:rPr>
              <w:t>Bread containing linseed</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784</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P97.5</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248</w:t>
            </w:r>
          </w:p>
        </w:tc>
        <w:tc>
          <w:tcPr>
            <w:tcW w:w="1525"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289</w:t>
            </w:r>
          </w:p>
        </w:tc>
      </w:tr>
      <w:tr w:rsidR="00391A6C" w:rsidRPr="001A34CB"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sz w:val="20"/>
                <w:szCs w:val="20"/>
              </w:rPr>
              <w:t>Butter beans</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23</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P50</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4</w:t>
            </w:r>
          </w:p>
        </w:tc>
        <w:tc>
          <w:tcPr>
            <w:tcW w:w="1525"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&lt;1</w:t>
            </w:r>
          </w:p>
        </w:tc>
      </w:tr>
      <w:tr w:rsidR="00391A6C" w:rsidRPr="001A34CB"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rPr>
                <w:rFonts w:cs="Arial"/>
                <w:color w:val="000000"/>
                <w:sz w:val="20"/>
                <w:szCs w:val="20"/>
              </w:rPr>
            </w:pPr>
            <w:r w:rsidRPr="001A34CB">
              <w:rPr>
                <w:rFonts w:cs="Arial"/>
                <w:color w:val="000000"/>
                <w:sz w:val="20"/>
                <w:szCs w:val="20"/>
              </w:rPr>
              <w:t>Cassava roots, cooked</w:t>
            </w:r>
            <w:r w:rsidRPr="00966234">
              <w:rPr>
                <w:rFonts w:cs="Arial"/>
                <w:bCs w:val="0"/>
                <w:sz w:val="20"/>
                <w:vertAlign w:val="superscript"/>
              </w:rPr>
              <w:t>c</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7</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P50</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47</w:t>
            </w:r>
          </w:p>
        </w:tc>
        <w:tc>
          <w:tcPr>
            <w:tcW w:w="1525"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29</w:t>
            </w:r>
          </w:p>
        </w:tc>
      </w:tr>
      <w:tr w:rsidR="00391A6C" w:rsidRPr="001A34CB"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rPr>
                <w:rFonts w:cs="Arial"/>
                <w:color w:val="000000"/>
                <w:sz w:val="20"/>
                <w:szCs w:val="20"/>
              </w:rPr>
            </w:pPr>
            <w:r w:rsidRPr="001A34CB">
              <w:rPr>
                <w:rFonts w:cs="Arial"/>
                <w:color w:val="000000"/>
                <w:sz w:val="20"/>
                <w:szCs w:val="20"/>
              </w:rPr>
              <w:t>Cassava starch</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585</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P97.5</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10</w:t>
            </w:r>
          </w:p>
        </w:tc>
        <w:tc>
          <w:tcPr>
            <w:tcW w:w="1525"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&lt;1</w:t>
            </w:r>
          </w:p>
        </w:tc>
      </w:tr>
      <w:tr w:rsidR="00391A6C" w:rsidRPr="001A34CB"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sz w:val="20"/>
                <w:szCs w:val="20"/>
              </w:rPr>
              <w:t>Cherry brandy</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9</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P50</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5</w:t>
            </w:r>
          </w:p>
        </w:tc>
        <w:tc>
          <w:tcPr>
            <w:tcW w:w="1525"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&lt;1</w:t>
            </w:r>
          </w:p>
        </w:tc>
      </w:tr>
      <w:tr w:rsidR="00391A6C" w:rsidRPr="001A34CB"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sz w:val="20"/>
                <w:szCs w:val="20"/>
              </w:rPr>
              <w:t>Lima beans</w:t>
            </w:r>
          </w:p>
        </w:tc>
        <w:tc>
          <w:tcPr>
            <w:tcW w:w="1276" w:type="dxa"/>
            <w:tcBorders>
              <w:left w:val="none" w:sz="0" w:space="0" w:color="auto"/>
              <w:right w:val="none" w:sz="0" w:space="0" w:color="auto"/>
            </w:tcBorders>
          </w:tcPr>
          <w:p w:rsidR="00391A6C" w:rsidRPr="001A34CB"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NC</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NC</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NC</w:t>
            </w:r>
          </w:p>
        </w:tc>
        <w:tc>
          <w:tcPr>
            <w:tcW w:w="1525"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NC</w:t>
            </w:r>
          </w:p>
        </w:tc>
      </w:tr>
      <w:tr w:rsidR="00391A6C" w:rsidRPr="001A34CB"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sz w:val="20"/>
                <w:szCs w:val="20"/>
              </w:rPr>
              <w:t>Linseed</w:t>
            </w:r>
            <w:r>
              <w:rPr>
                <w:rFonts w:cs="Arial"/>
                <w:sz w:val="20"/>
                <w:szCs w:val="20"/>
              </w:rPr>
              <w:t>s</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545</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P97.5</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3</w:t>
            </w:r>
          </w:p>
        </w:tc>
        <w:tc>
          <w:tcPr>
            <w:tcW w:w="1525"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14</w:t>
            </w:r>
          </w:p>
        </w:tc>
      </w:tr>
      <w:tr w:rsidR="00391A6C" w:rsidRPr="001A34CB"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sz w:val="20"/>
                <w:szCs w:val="20"/>
              </w:rPr>
              <w:t>Linseed oil</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NC</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NC</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NC</w:t>
            </w:r>
          </w:p>
        </w:tc>
        <w:tc>
          <w:tcPr>
            <w:tcW w:w="1525"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NC</w:t>
            </w:r>
          </w:p>
        </w:tc>
      </w:tr>
      <w:tr w:rsidR="00391A6C" w:rsidRPr="001A34CB"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sz w:val="20"/>
                <w:szCs w:val="20"/>
              </w:rPr>
              <w:t>LSA mix</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NC</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NC</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NC</w:t>
            </w:r>
          </w:p>
        </w:tc>
        <w:tc>
          <w:tcPr>
            <w:tcW w:w="1525"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NC</w:t>
            </w:r>
          </w:p>
        </w:tc>
      </w:tr>
      <w:tr w:rsidR="00391A6C" w:rsidRPr="001A34CB"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sz w:val="20"/>
                <w:szCs w:val="20"/>
              </w:rPr>
              <w:t>Marzipan</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NC</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NC</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NC</w:t>
            </w:r>
          </w:p>
        </w:tc>
        <w:tc>
          <w:tcPr>
            <w:tcW w:w="1525"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NC</w:t>
            </w:r>
          </w:p>
        </w:tc>
      </w:tr>
      <w:tr w:rsidR="00391A6C" w:rsidRPr="001A34CB"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sz w:val="20"/>
                <w:szCs w:val="20"/>
              </w:rPr>
              <w:t>Passionfruit</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250</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P97.5</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48</w:t>
            </w:r>
          </w:p>
        </w:tc>
        <w:tc>
          <w:tcPr>
            <w:tcW w:w="1525"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8</w:t>
            </w:r>
          </w:p>
        </w:tc>
      </w:tr>
      <w:tr w:rsidR="00391A6C" w:rsidRPr="001A34CB"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sz w:val="20"/>
                <w:szCs w:val="20"/>
              </w:rPr>
              <w:t>Prune juice</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NC</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NC</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NC</w:t>
            </w:r>
          </w:p>
        </w:tc>
        <w:tc>
          <w:tcPr>
            <w:tcW w:w="1525"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NC</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sz w:val="20"/>
                <w:szCs w:val="20"/>
              </w:rPr>
              <w:t>Pumpkin seed</w:t>
            </w:r>
            <w:r>
              <w:rPr>
                <w:rFonts w:cs="Arial"/>
                <w:sz w:val="20"/>
                <w:szCs w:val="20"/>
              </w:rPr>
              <w:t>s</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12</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P50</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3</w:t>
            </w:r>
          </w:p>
        </w:tc>
        <w:tc>
          <w:tcPr>
            <w:tcW w:w="1525"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&lt;1</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Spinach</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67</w:t>
            </w:r>
          </w:p>
        </w:tc>
        <w:tc>
          <w:tcPr>
            <w:tcW w:w="1417"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P97.5</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148</w:t>
            </w:r>
          </w:p>
        </w:tc>
        <w:tc>
          <w:tcPr>
            <w:tcW w:w="1525"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14</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Sunflower seed</w:t>
            </w:r>
            <w:r>
              <w:rPr>
                <w:rFonts w:cs="Arial"/>
                <w:sz w:val="20"/>
                <w:szCs w:val="20"/>
              </w:rPr>
              <w:t>s</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479</w:t>
            </w:r>
          </w:p>
        </w:tc>
        <w:tc>
          <w:tcPr>
            <w:tcW w:w="1417"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P97.5</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6</w:t>
            </w:r>
          </w:p>
        </w:tc>
        <w:tc>
          <w:tcPr>
            <w:tcW w:w="1525"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&lt;1</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Taro</w:t>
            </w:r>
            <w:r>
              <w:rPr>
                <w:rFonts w:cs="Arial"/>
                <w:sz w:val="20"/>
                <w:szCs w:val="20"/>
              </w:rPr>
              <w:t xml:space="preserve">, </w:t>
            </w:r>
            <w:r w:rsidRPr="00A93CEE">
              <w:rPr>
                <w:rFonts w:cs="Arial"/>
                <w:sz w:val="20"/>
                <w:szCs w:val="20"/>
              </w:rPr>
              <w:t xml:space="preserve">in mixed foods </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4</w:t>
            </w:r>
          </w:p>
        </w:tc>
        <w:tc>
          <w:tcPr>
            <w:tcW w:w="1417"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P50</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68</w:t>
            </w:r>
          </w:p>
        </w:tc>
        <w:tc>
          <w:tcPr>
            <w:tcW w:w="1525"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7</w:t>
            </w:r>
          </w:p>
        </w:tc>
      </w:tr>
      <w:tr w:rsidR="00391A6C" w:rsidRPr="00A93CEE"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Taro</w:t>
            </w:r>
            <w:r>
              <w:rPr>
                <w:rFonts w:cs="Arial"/>
                <w:sz w:val="20"/>
                <w:szCs w:val="20"/>
              </w:rPr>
              <w:t>,</w:t>
            </w:r>
            <w:r w:rsidRPr="00A93CEE">
              <w:rPr>
                <w:rFonts w:cs="Arial"/>
                <w:sz w:val="20"/>
                <w:szCs w:val="20"/>
              </w:rPr>
              <w:t xml:space="preserve"> leaves only</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23</w:t>
            </w:r>
          </w:p>
        </w:tc>
        <w:tc>
          <w:tcPr>
            <w:tcW w:w="1417"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P50</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72</w:t>
            </w:r>
          </w:p>
        </w:tc>
        <w:tc>
          <w:tcPr>
            <w:tcW w:w="1525"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A93CEE">
              <w:rPr>
                <w:rFonts w:cs="Arial"/>
                <w:sz w:val="20"/>
                <w:szCs w:val="20"/>
              </w:rPr>
              <w:t>7</w:t>
            </w:r>
          </w:p>
        </w:tc>
      </w:tr>
      <w:tr w:rsidR="00391A6C" w:rsidRPr="00A93CEE"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A93CEE">
              <w:rPr>
                <w:rFonts w:cs="Arial"/>
                <w:sz w:val="20"/>
                <w:szCs w:val="20"/>
              </w:rPr>
              <w:t>Vine leaves, stuffed, canned</w:t>
            </w:r>
          </w:p>
        </w:tc>
        <w:tc>
          <w:tcPr>
            <w:tcW w:w="1276"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NC</w:t>
            </w:r>
          </w:p>
        </w:tc>
        <w:tc>
          <w:tcPr>
            <w:tcW w:w="1417"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NC</w:t>
            </w:r>
          </w:p>
        </w:tc>
        <w:tc>
          <w:tcPr>
            <w:tcW w:w="1418" w:type="dxa"/>
            <w:tcBorders>
              <w:left w:val="none" w:sz="0" w:space="0" w:color="auto"/>
              <w:righ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NC</w:t>
            </w:r>
          </w:p>
        </w:tc>
        <w:tc>
          <w:tcPr>
            <w:tcW w:w="1525" w:type="dxa"/>
            <w:tcBorders>
              <w:left w:val="none" w:sz="0" w:space="0" w:color="auto"/>
            </w:tcBorders>
          </w:tcPr>
          <w:p w:rsidR="00391A6C" w:rsidRPr="00A93CEE"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A93CEE">
              <w:rPr>
                <w:rFonts w:cs="Arial"/>
                <w:sz w:val="20"/>
                <w:szCs w:val="20"/>
              </w:rPr>
              <w:t>NC</w:t>
            </w:r>
          </w:p>
        </w:tc>
      </w:tr>
    </w:tbl>
    <w:p w:rsidR="00391A6C" w:rsidRPr="0054216E" w:rsidRDefault="00391A6C" w:rsidP="00391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54216E">
        <w:rPr>
          <w:rFonts w:cs="Arial"/>
          <w:sz w:val="18"/>
          <w:szCs w:val="18"/>
        </w:rPr>
        <w:t>NC = not consumed.</w:t>
      </w:r>
    </w:p>
    <w:p w:rsidR="00391A6C" w:rsidRPr="00966234" w:rsidRDefault="00391A6C" w:rsidP="00391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BB153A">
        <w:rPr>
          <w:rFonts w:cs="Arial"/>
          <w:sz w:val="18"/>
          <w:szCs w:val="18"/>
          <w:vertAlign w:val="superscript"/>
        </w:rPr>
        <w:t>a</w:t>
      </w:r>
      <w:r w:rsidRPr="00966234">
        <w:rPr>
          <w:rFonts w:cs="Arial"/>
          <w:sz w:val="18"/>
          <w:szCs w:val="18"/>
        </w:rPr>
        <w:t xml:space="preserve"> Survey 2, EU method</w:t>
      </w:r>
      <w:r>
        <w:rPr>
          <w:rFonts w:cs="Arial"/>
          <w:sz w:val="18"/>
          <w:szCs w:val="18"/>
        </w:rPr>
        <w:t>.</w:t>
      </w:r>
    </w:p>
    <w:p w:rsidR="00391A6C" w:rsidRPr="00966234" w:rsidRDefault="00391A6C" w:rsidP="00391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BB153A">
        <w:rPr>
          <w:rFonts w:cs="Arial"/>
          <w:sz w:val="18"/>
          <w:szCs w:val="18"/>
          <w:vertAlign w:val="superscript"/>
        </w:rPr>
        <w:t>b</w:t>
      </w:r>
      <w:r w:rsidRPr="00966234">
        <w:rPr>
          <w:rFonts w:cs="Arial"/>
          <w:sz w:val="18"/>
          <w:szCs w:val="18"/>
        </w:rPr>
        <w:t xml:space="preserve"> Survey 1</w:t>
      </w:r>
      <w:r>
        <w:rPr>
          <w:rFonts w:cs="Arial"/>
          <w:sz w:val="18"/>
          <w:szCs w:val="18"/>
        </w:rPr>
        <w:t>.</w:t>
      </w:r>
    </w:p>
    <w:p w:rsidR="00391A6C" w:rsidRDefault="00391A6C" w:rsidP="00391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BB153A">
        <w:rPr>
          <w:rFonts w:cs="Arial"/>
          <w:sz w:val="18"/>
          <w:szCs w:val="18"/>
          <w:vertAlign w:val="superscript"/>
        </w:rPr>
        <w:t>c</w:t>
      </w:r>
      <w:r w:rsidRPr="00966234">
        <w:rPr>
          <w:rFonts w:cs="Arial"/>
          <w:sz w:val="18"/>
          <w:szCs w:val="18"/>
        </w:rPr>
        <w:t xml:space="preserve"> Survey 3, sweet </w:t>
      </w:r>
      <w:r w:rsidR="003F1E1D">
        <w:rPr>
          <w:rFonts w:cs="Arial"/>
          <w:sz w:val="18"/>
          <w:szCs w:val="18"/>
        </w:rPr>
        <w:t xml:space="preserve">cassava </w:t>
      </w:r>
      <w:r w:rsidRPr="00966234">
        <w:rPr>
          <w:rFonts w:cs="Arial"/>
          <w:sz w:val="18"/>
          <w:szCs w:val="18"/>
        </w:rPr>
        <w:t>only</w:t>
      </w:r>
      <w:r>
        <w:rPr>
          <w:rFonts w:cs="Arial"/>
          <w:sz w:val="18"/>
          <w:szCs w:val="18"/>
        </w:rPr>
        <w:t>.</w:t>
      </w:r>
    </w:p>
    <w:p w:rsidR="008F5465" w:rsidRPr="0036079D" w:rsidRDefault="008F5465" w:rsidP="008F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AB6F48">
        <w:rPr>
          <w:rFonts w:cs="Arial"/>
          <w:bCs/>
          <w:sz w:val="18"/>
          <w:szCs w:val="18"/>
          <w:vertAlign w:val="superscript"/>
        </w:rPr>
        <w:t>d</w:t>
      </w:r>
      <w:r>
        <w:rPr>
          <w:rFonts w:cs="Arial"/>
          <w:bCs/>
          <w:sz w:val="18"/>
          <w:szCs w:val="18"/>
        </w:rPr>
        <w:t xml:space="preserve"> Consumption level based on </w:t>
      </w:r>
      <w:r w:rsidRPr="00AB6F48">
        <w:rPr>
          <w:rFonts w:cs="Arial"/>
          <w:bCs/>
          <w:sz w:val="18"/>
          <w:szCs w:val="18"/>
        </w:rPr>
        <w:t>recommended serves/recommended maximum consumption levels</w:t>
      </w:r>
      <w:r>
        <w:rPr>
          <w:rFonts w:cs="Arial"/>
          <w:bCs/>
          <w:sz w:val="18"/>
          <w:szCs w:val="18"/>
        </w:rPr>
        <w:t xml:space="preserve">. </w:t>
      </w:r>
    </w:p>
    <w:p w:rsidR="008F5465" w:rsidRPr="00966234" w:rsidRDefault="008F5465" w:rsidP="00391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p>
    <w:p w:rsidR="00391A6C" w:rsidRPr="002309E8" w:rsidRDefault="00391A6C" w:rsidP="00391A6C">
      <w:pPr>
        <w:rPr>
          <w:rFonts w:cs="Arial"/>
          <w:b/>
        </w:rPr>
      </w:pPr>
      <w:r w:rsidRPr="002309E8">
        <w:rPr>
          <w:rFonts w:cs="Arial"/>
          <w:b/>
        </w:rPr>
        <w:br w:type="page"/>
      </w:r>
    </w:p>
    <w:p w:rsidR="00391A6C" w:rsidRPr="0064728F" w:rsidRDefault="00F57293" w:rsidP="0064728F">
      <w:pPr>
        <w:rPr>
          <w:rFonts w:asciiTheme="minorHAnsi" w:hAnsiTheme="minorHAnsi"/>
          <w:b/>
        </w:rPr>
      </w:pPr>
      <w:r w:rsidRPr="0064728F">
        <w:rPr>
          <w:rFonts w:asciiTheme="minorHAnsi" w:hAnsiTheme="minorHAnsi"/>
          <w:b/>
        </w:rPr>
        <w:lastRenderedPageBreak/>
        <w:t xml:space="preserve">Table A10.7. </w:t>
      </w:r>
      <w:r w:rsidR="00391A6C" w:rsidRPr="0064728F">
        <w:rPr>
          <w:rFonts w:asciiTheme="minorHAnsi" w:hAnsiTheme="minorHAnsi"/>
          <w:b/>
        </w:rPr>
        <w:t>Estimated acute dietary exposures to total HCN for New Zealanders 15 years and above</w:t>
      </w:r>
    </w:p>
    <w:tbl>
      <w:tblPr>
        <w:tblStyle w:val="MediumShading1-Accent1"/>
        <w:tblW w:w="9072" w:type="dxa"/>
        <w:tblBorders>
          <w:insideV w:val="single" w:sz="8" w:space="0" w:color="7BA0CD" w:themeColor="accent1" w:themeTint="BF"/>
        </w:tblBorders>
        <w:tblLayout w:type="fixed"/>
        <w:tblLook w:val="04A0" w:firstRow="1" w:lastRow="0" w:firstColumn="1" w:lastColumn="0" w:noHBand="0" w:noVBand="1"/>
      </w:tblPr>
      <w:tblGrid>
        <w:gridCol w:w="3544"/>
        <w:gridCol w:w="1276"/>
        <w:gridCol w:w="1417"/>
        <w:gridCol w:w="1418"/>
        <w:gridCol w:w="1417"/>
      </w:tblGrid>
      <w:tr w:rsidR="00391A6C" w:rsidRPr="001A34CB" w:rsidTr="00A40AEA">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left w:val="none" w:sz="0" w:space="0" w:color="auto"/>
              <w:bottom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bCs w:val="0"/>
                <w:sz w:val="20"/>
                <w:szCs w:val="20"/>
                <w:lang w:eastAsia="en-GB"/>
              </w:rPr>
              <w:t>Food</w:t>
            </w:r>
          </w:p>
        </w:tc>
        <w:tc>
          <w:tcPr>
            <w:tcW w:w="1276" w:type="dxa"/>
            <w:tcBorders>
              <w:top w:val="none" w:sz="0" w:space="0" w:color="auto"/>
              <w:left w:val="none" w:sz="0" w:space="0" w:color="auto"/>
              <w:bottom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1A34CB">
              <w:rPr>
                <w:rFonts w:cs="Arial"/>
                <w:sz w:val="20"/>
                <w:szCs w:val="20"/>
              </w:rPr>
              <w:t>Number of consumers</w:t>
            </w:r>
          </w:p>
        </w:tc>
        <w:tc>
          <w:tcPr>
            <w:tcW w:w="1417" w:type="dxa"/>
            <w:tcBorders>
              <w:top w:val="none" w:sz="0" w:space="0" w:color="auto"/>
              <w:left w:val="none" w:sz="0" w:space="0" w:color="auto"/>
              <w:bottom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1A34CB">
              <w:rPr>
                <w:rFonts w:cs="Arial"/>
                <w:sz w:val="20"/>
                <w:szCs w:val="20"/>
              </w:rPr>
              <w:t>Consumption level used</w:t>
            </w:r>
          </w:p>
        </w:tc>
        <w:tc>
          <w:tcPr>
            <w:tcW w:w="1418" w:type="dxa"/>
            <w:tcBorders>
              <w:top w:val="none" w:sz="0" w:space="0" w:color="auto"/>
              <w:left w:val="none" w:sz="0" w:space="0" w:color="auto"/>
              <w:bottom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1A34CB">
              <w:rPr>
                <w:rFonts w:cs="Arial"/>
                <w:sz w:val="20"/>
                <w:szCs w:val="20"/>
              </w:rPr>
              <w:t>Consumption amount</w:t>
            </w:r>
          </w:p>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1A34CB">
              <w:rPr>
                <w:rFonts w:cs="Arial"/>
                <w:sz w:val="20"/>
                <w:szCs w:val="20"/>
              </w:rPr>
              <w:t>(g/day)</w:t>
            </w:r>
          </w:p>
        </w:tc>
        <w:tc>
          <w:tcPr>
            <w:tcW w:w="1417" w:type="dxa"/>
            <w:tcBorders>
              <w:top w:val="none" w:sz="0" w:space="0" w:color="auto"/>
              <w:left w:val="none" w:sz="0" w:space="0" w:color="auto"/>
              <w:bottom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1A34CB">
              <w:rPr>
                <w:rFonts w:cs="Arial"/>
                <w:bCs w:val="0"/>
                <w:sz w:val="20"/>
                <w:szCs w:val="20"/>
                <w:lang w:eastAsia="en-GB"/>
              </w:rPr>
              <w:t xml:space="preserve">Estimated </w:t>
            </w:r>
            <w:r>
              <w:rPr>
                <w:rFonts w:cs="Arial"/>
                <w:bCs w:val="0"/>
                <w:sz w:val="20"/>
                <w:szCs w:val="20"/>
                <w:lang w:eastAsia="en-GB"/>
              </w:rPr>
              <w:t xml:space="preserve">acute </w:t>
            </w:r>
            <w:r w:rsidRPr="001A34CB">
              <w:rPr>
                <w:rFonts w:cs="Arial"/>
                <w:bCs w:val="0"/>
                <w:sz w:val="20"/>
                <w:szCs w:val="20"/>
                <w:lang w:eastAsia="en-GB"/>
              </w:rPr>
              <w:t xml:space="preserve">exposure to total </w:t>
            </w:r>
            <w:r w:rsidRPr="001A34CB">
              <w:rPr>
                <w:rFonts w:cs="Arial"/>
                <w:sz w:val="20"/>
                <w:szCs w:val="20"/>
              </w:rPr>
              <w:t>HCN</w:t>
            </w:r>
          </w:p>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1A34CB">
              <w:rPr>
                <w:rFonts w:cs="Arial"/>
                <w:sz w:val="20"/>
                <w:szCs w:val="20"/>
              </w:rPr>
              <w:t>(µg/kg bw/day)</w:t>
            </w:r>
          </w:p>
        </w:tc>
      </w:tr>
      <w:tr w:rsidR="00391A6C" w:rsidRPr="001A34CB"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sz w:val="20"/>
                <w:szCs w:val="20"/>
              </w:rPr>
              <w:t>Almonds</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378</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P97.5</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30</w:t>
            </w:r>
          </w:p>
        </w:tc>
        <w:tc>
          <w:tcPr>
            <w:tcW w:w="1417"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5</w:t>
            </w:r>
          </w:p>
        </w:tc>
      </w:tr>
      <w:tr w:rsidR="00391A6C" w:rsidRPr="001A34CB"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sz w:val="20"/>
                <w:szCs w:val="20"/>
              </w:rPr>
              <w:t>Almond oil</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NC</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NC</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NC</w:t>
            </w:r>
          </w:p>
        </w:tc>
        <w:tc>
          <w:tcPr>
            <w:tcW w:w="1417"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NC</w:t>
            </w:r>
          </w:p>
        </w:tc>
      </w:tr>
      <w:tr w:rsidR="00391A6C" w:rsidRPr="001A34CB"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Pr>
                <w:rFonts w:cs="Arial"/>
                <w:color w:val="000000"/>
                <w:sz w:val="20"/>
                <w:szCs w:val="20"/>
              </w:rPr>
              <w:t>Apple juice</w:t>
            </w:r>
            <w:r w:rsidRPr="00062AB2">
              <w:rPr>
                <w:rFonts w:cs="Arial"/>
                <w:color w:val="000000"/>
                <w:sz w:val="20"/>
                <w:szCs w:val="20"/>
                <w:vertAlign w:val="superscript"/>
              </w:rPr>
              <w:t>a</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244</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P97.5</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855</w:t>
            </w:r>
          </w:p>
        </w:tc>
        <w:tc>
          <w:tcPr>
            <w:tcW w:w="1417"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w:t>
            </w:r>
          </w:p>
        </w:tc>
      </w:tr>
      <w:tr w:rsidR="00391A6C" w:rsidRPr="001A34CB"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sz w:val="20"/>
                <w:szCs w:val="20"/>
              </w:rPr>
              <w:t>Apple sauce</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33</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P50</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33</w:t>
            </w:r>
          </w:p>
        </w:tc>
        <w:tc>
          <w:tcPr>
            <w:tcW w:w="1417"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2</w:t>
            </w:r>
          </w:p>
        </w:tc>
      </w:tr>
      <w:tr w:rsidR="00391A6C" w:rsidRPr="001A34CB"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sz w:val="20"/>
                <w:szCs w:val="20"/>
              </w:rPr>
              <w:t>Apple cider vinegar</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3591</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P97.5</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18</w:t>
            </w:r>
          </w:p>
        </w:tc>
        <w:tc>
          <w:tcPr>
            <w:tcW w:w="1417"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1</w:t>
            </w:r>
          </w:p>
        </w:tc>
      </w:tr>
      <w:tr w:rsidR="00391A6C" w:rsidRPr="001A34CB"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sz w:val="20"/>
                <w:szCs w:val="20"/>
              </w:rPr>
              <w:t>Apricots, canned</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141</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P97.5</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240</w:t>
            </w:r>
          </w:p>
        </w:tc>
        <w:tc>
          <w:tcPr>
            <w:tcW w:w="1417"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14</w:t>
            </w:r>
          </w:p>
        </w:tc>
      </w:tr>
      <w:tr w:rsidR="00391A6C" w:rsidRPr="001A34CB"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szCs w:val="20"/>
              </w:rPr>
            </w:pPr>
            <w:r w:rsidRPr="001A34CB">
              <w:rPr>
                <w:rFonts w:cs="Arial"/>
                <w:color w:val="000000"/>
                <w:sz w:val="20"/>
                <w:szCs w:val="20"/>
              </w:rPr>
              <w:t>Apricot jam</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31</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A34CB">
              <w:rPr>
                <w:rFonts w:cs="Arial"/>
                <w:color w:val="000000"/>
                <w:sz w:val="20"/>
                <w:szCs w:val="20"/>
              </w:rPr>
              <w:t>P50</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&lt;1</w:t>
            </w:r>
          </w:p>
        </w:tc>
        <w:tc>
          <w:tcPr>
            <w:tcW w:w="1417"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&lt;1</w:t>
            </w:r>
          </w:p>
        </w:tc>
      </w:tr>
      <w:tr w:rsidR="00391A6C" w:rsidRPr="001A34CB"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color w:val="000000"/>
                <w:sz w:val="20"/>
                <w:szCs w:val="20"/>
              </w:rPr>
              <w:t>Apricot kernels, with skin</w:t>
            </w:r>
            <w:r w:rsidR="008F5465" w:rsidRPr="008F5465">
              <w:rPr>
                <w:rFonts w:cs="Arial"/>
                <w:color w:val="000000"/>
                <w:sz w:val="20"/>
                <w:szCs w:val="20"/>
                <w:vertAlign w:val="superscript"/>
              </w:rPr>
              <w:t>d</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color w:val="000000"/>
                <w:sz w:val="20"/>
                <w:szCs w:val="20"/>
              </w:rPr>
              <w:t>32 kernels/d</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19</w:t>
            </w:r>
            <w:r>
              <w:rPr>
                <w:rFonts w:cs="Arial"/>
                <w:sz w:val="20"/>
                <w:szCs w:val="20"/>
              </w:rPr>
              <w:t>.0</w:t>
            </w:r>
          </w:p>
        </w:tc>
        <w:tc>
          <w:tcPr>
            <w:tcW w:w="1417"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755</w:t>
            </w:r>
          </w:p>
        </w:tc>
      </w:tr>
      <w:tr w:rsidR="00391A6C" w:rsidRPr="001A34CB"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color w:val="000000"/>
                <w:sz w:val="20"/>
                <w:szCs w:val="20"/>
              </w:rPr>
              <w:t>4 kernels/d</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2.4</w:t>
            </w:r>
          </w:p>
        </w:tc>
        <w:tc>
          <w:tcPr>
            <w:tcW w:w="1417"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95</w:t>
            </w:r>
          </w:p>
        </w:tc>
      </w:tr>
      <w:tr w:rsidR="00391A6C" w:rsidRPr="001A34CB"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color w:val="000000"/>
                <w:sz w:val="20"/>
                <w:szCs w:val="20"/>
              </w:rPr>
              <w:t>Apricot kernels, without skin</w:t>
            </w:r>
            <w:r w:rsidR="008F5465" w:rsidRPr="008F5465">
              <w:rPr>
                <w:rFonts w:cs="Arial"/>
                <w:color w:val="000000"/>
                <w:sz w:val="20"/>
                <w:szCs w:val="20"/>
                <w:vertAlign w:val="superscript"/>
              </w:rPr>
              <w:t>d</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color w:val="000000"/>
                <w:sz w:val="20"/>
                <w:szCs w:val="20"/>
              </w:rPr>
              <w:t>32 kernels/d</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19</w:t>
            </w:r>
            <w:r>
              <w:rPr>
                <w:rFonts w:cs="Arial"/>
                <w:sz w:val="20"/>
                <w:szCs w:val="20"/>
              </w:rPr>
              <w:t>.0</w:t>
            </w:r>
          </w:p>
        </w:tc>
        <w:tc>
          <w:tcPr>
            <w:tcW w:w="1417"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118</w:t>
            </w:r>
          </w:p>
        </w:tc>
      </w:tr>
      <w:tr w:rsidR="00391A6C" w:rsidRPr="001A34CB"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color w:val="000000"/>
                <w:sz w:val="20"/>
                <w:szCs w:val="20"/>
              </w:rPr>
              <w:t>4 kernels/d</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2.4</w:t>
            </w:r>
          </w:p>
        </w:tc>
        <w:tc>
          <w:tcPr>
            <w:tcW w:w="1417"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15</w:t>
            </w:r>
          </w:p>
        </w:tc>
      </w:tr>
      <w:tr w:rsidR="00391A6C" w:rsidRPr="001A34CB"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color w:val="000000"/>
                <w:sz w:val="20"/>
                <w:szCs w:val="20"/>
              </w:rPr>
              <w:t>Apricot nectar</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NC</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NC</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NC</w:t>
            </w:r>
          </w:p>
        </w:tc>
        <w:tc>
          <w:tcPr>
            <w:tcW w:w="1417"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NC</w:t>
            </w:r>
          </w:p>
        </w:tc>
      </w:tr>
      <w:tr w:rsidR="00391A6C" w:rsidRPr="001A34CB"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sz w:val="20"/>
                <w:szCs w:val="20"/>
              </w:rPr>
              <w:t>Bamboo shoots</w:t>
            </w:r>
            <w:r w:rsidRPr="00062AB2">
              <w:rPr>
                <w:rFonts w:cs="Arial"/>
                <w:sz w:val="20"/>
                <w:szCs w:val="20"/>
                <w:vertAlign w:val="superscript"/>
              </w:rPr>
              <w:t>b</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14</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P50</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4</w:t>
            </w:r>
          </w:p>
        </w:tc>
        <w:tc>
          <w:tcPr>
            <w:tcW w:w="1417"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w:t>
            </w:r>
          </w:p>
        </w:tc>
      </w:tr>
      <w:tr w:rsidR="00391A6C" w:rsidRPr="001A34CB"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szCs w:val="20"/>
              </w:rPr>
            </w:pPr>
            <w:r w:rsidRPr="001A34CB">
              <w:rPr>
                <w:rFonts w:cs="Arial"/>
                <w:color w:val="000000"/>
                <w:sz w:val="20"/>
                <w:szCs w:val="20"/>
              </w:rPr>
              <w:t>Biscuits, amaretti</w:t>
            </w:r>
            <w:r w:rsidR="008F5465" w:rsidRPr="008F5465">
              <w:rPr>
                <w:rFonts w:cs="Arial"/>
                <w:color w:val="000000"/>
                <w:sz w:val="20"/>
                <w:szCs w:val="20"/>
                <w:vertAlign w:val="superscript"/>
              </w:rPr>
              <w:t>d</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color w:val="000000"/>
                <w:sz w:val="20"/>
                <w:szCs w:val="20"/>
              </w:rPr>
              <w:t>1 serve</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color w:val="000000"/>
                <w:sz w:val="20"/>
                <w:szCs w:val="20"/>
              </w:rPr>
              <w:t>30</w:t>
            </w:r>
          </w:p>
        </w:tc>
        <w:tc>
          <w:tcPr>
            <w:tcW w:w="1417"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color w:val="000000"/>
                <w:sz w:val="20"/>
                <w:szCs w:val="20"/>
              </w:rPr>
              <w:t>14</w:t>
            </w:r>
          </w:p>
        </w:tc>
      </w:tr>
      <w:tr w:rsidR="00391A6C" w:rsidRPr="001A34CB"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color w:val="000000"/>
                <w:sz w:val="20"/>
                <w:szCs w:val="20"/>
              </w:rPr>
              <w:t>Biscuits, almond fingers/apple fingers</w:t>
            </w:r>
            <w:r w:rsidR="008F5465" w:rsidRPr="008F5465">
              <w:rPr>
                <w:rFonts w:cs="Arial"/>
                <w:color w:val="000000"/>
                <w:sz w:val="20"/>
                <w:szCs w:val="20"/>
                <w:vertAlign w:val="superscript"/>
              </w:rPr>
              <w:t>d</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1 serve</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47</w:t>
            </w:r>
          </w:p>
        </w:tc>
        <w:tc>
          <w:tcPr>
            <w:tcW w:w="1417"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9</w:t>
            </w:r>
          </w:p>
        </w:tc>
      </w:tr>
      <w:tr w:rsidR="00391A6C" w:rsidRPr="001A34CB"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sz w:val="20"/>
                <w:szCs w:val="20"/>
              </w:rPr>
              <w:t>Bread containing linseed</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1714</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P97.5</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288</w:t>
            </w:r>
          </w:p>
        </w:tc>
        <w:tc>
          <w:tcPr>
            <w:tcW w:w="1417"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199</w:t>
            </w:r>
          </w:p>
        </w:tc>
      </w:tr>
      <w:tr w:rsidR="00391A6C" w:rsidRPr="001A34CB"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sz w:val="20"/>
                <w:szCs w:val="20"/>
              </w:rPr>
              <w:t>Butter beans</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NC</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NC</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NC</w:t>
            </w:r>
          </w:p>
        </w:tc>
        <w:tc>
          <w:tcPr>
            <w:tcW w:w="1417"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NC</w:t>
            </w:r>
          </w:p>
        </w:tc>
      </w:tr>
      <w:tr w:rsidR="00391A6C" w:rsidRPr="001A34CB"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rPr>
                <w:rFonts w:cs="Arial"/>
                <w:color w:val="000000"/>
                <w:sz w:val="20"/>
                <w:szCs w:val="20"/>
              </w:rPr>
            </w:pPr>
            <w:r w:rsidRPr="001A34CB">
              <w:rPr>
                <w:rFonts w:cs="Arial"/>
                <w:color w:val="000000"/>
                <w:sz w:val="20"/>
                <w:szCs w:val="20"/>
              </w:rPr>
              <w:t>Cassava roots, cooked</w:t>
            </w:r>
            <w:r w:rsidRPr="00062AB2">
              <w:rPr>
                <w:rFonts w:cs="Arial"/>
                <w:bCs w:val="0"/>
                <w:sz w:val="20"/>
                <w:vertAlign w:val="superscript"/>
              </w:rPr>
              <w:t>c</w:t>
            </w:r>
          </w:p>
        </w:tc>
        <w:tc>
          <w:tcPr>
            <w:tcW w:w="1276" w:type="dxa"/>
            <w:tcBorders>
              <w:left w:val="none" w:sz="0" w:space="0" w:color="auto"/>
              <w:right w:val="none" w:sz="0" w:space="0" w:color="auto"/>
            </w:tcBorders>
          </w:tcPr>
          <w:p w:rsidR="00391A6C" w:rsidRPr="001A34CB" w:rsidDel="000672F9"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9</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P50</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217</w:t>
            </w:r>
          </w:p>
        </w:tc>
        <w:tc>
          <w:tcPr>
            <w:tcW w:w="1417"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80</w:t>
            </w:r>
          </w:p>
        </w:tc>
      </w:tr>
      <w:tr w:rsidR="00391A6C" w:rsidRPr="001A34CB"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rPr>
                <w:rFonts w:cs="Arial"/>
                <w:color w:val="000000"/>
                <w:sz w:val="20"/>
                <w:szCs w:val="20"/>
              </w:rPr>
            </w:pPr>
            <w:r w:rsidRPr="001A34CB">
              <w:rPr>
                <w:rFonts w:cs="Arial"/>
                <w:color w:val="000000"/>
                <w:sz w:val="20"/>
                <w:szCs w:val="20"/>
              </w:rPr>
              <w:t>Cassava starch</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13</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P50</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7</w:t>
            </w:r>
          </w:p>
        </w:tc>
        <w:tc>
          <w:tcPr>
            <w:tcW w:w="1417"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&lt;1</w:t>
            </w:r>
          </w:p>
        </w:tc>
      </w:tr>
      <w:tr w:rsidR="00391A6C" w:rsidRPr="001A34CB"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sz w:val="20"/>
                <w:szCs w:val="20"/>
              </w:rPr>
              <w:t>Cherry brandy</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39</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P97.5</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145</w:t>
            </w:r>
          </w:p>
        </w:tc>
        <w:tc>
          <w:tcPr>
            <w:tcW w:w="1417"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8</w:t>
            </w:r>
          </w:p>
        </w:tc>
      </w:tr>
      <w:tr w:rsidR="00391A6C" w:rsidRPr="001A34CB"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sz w:val="20"/>
                <w:szCs w:val="20"/>
              </w:rPr>
              <w:t>Lima beans</w:t>
            </w:r>
          </w:p>
        </w:tc>
        <w:tc>
          <w:tcPr>
            <w:tcW w:w="1276" w:type="dxa"/>
            <w:tcBorders>
              <w:left w:val="none" w:sz="0" w:space="0" w:color="auto"/>
              <w:right w:val="none" w:sz="0" w:space="0" w:color="auto"/>
            </w:tcBorders>
          </w:tcPr>
          <w:p w:rsidR="00391A6C" w:rsidRPr="001A34CB" w:rsidRDefault="00391A6C" w:rsidP="00A40AEA">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13</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P50</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6</w:t>
            </w:r>
          </w:p>
        </w:tc>
        <w:tc>
          <w:tcPr>
            <w:tcW w:w="1417"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3</w:t>
            </w:r>
          </w:p>
        </w:tc>
      </w:tr>
      <w:tr w:rsidR="00391A6C" w:rsidRPr="001A34CB"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sz w:val="20"/>
                <w:szCs w:val="20"/>
              </w:rPr>
              <w:t>Linseed</w:t>
            </w:r>
            <w:r>
              <w:rPr>
                <w:rFonts w:cs="Arial"/>
                <w:sz w:val="20"/>
                <w:szCs w:val="20"/>
              </w:rPr>
              <w:t>s</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NC</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NC</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NC</w:t>
            </w:r>
          </w:p>
        </w:tc>
        <w:tc>
          <w:tcPr>
            <w:tcW w:w="1417" w:type="dxa"/>
            <w:tcBorders>
              <w:lef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1A34CB">
              <w:rPr>
                <w:rFonts w:cs="Arial"/>
                <w:sz w:val="20"/>
                <w:szCs w:val="20"/>
              </w:rPr>
              <w:t>NC</w:t>
            </w:r>
          </w:p>
        </w:tc>
      </w:tr>
      <w:tr w:rsidR="00391A6C" w:rsidRPr="00BC6E15"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1A34CB">
              <w:rPr>
                <w:rFonts w:cs="Arial"/>
                <w:sz w:val="20"/>
                <w:szCs w:val="20"/>
              </w:rPr>
              <w:t>Linseed oil</w:t>
            </w:r>
          </w:p>
        </w:tc>
        <w:tc>
          <w:tcPr>
            <w:tcW w:w="1276"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NC</w:t>
            </w:r>
          </w:p>
        </w:tc>
        <w:tc>
          <w:tcPr>
            <w:tcW w:w="1417"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NC</w:t>
            </w:r>
          </w:p>
        </w:tc>
        <w:tc>
          <w:tcPr>
            <w:tcW w:w="1418" w:type="dxa"/>
            <w:tcBorders>
              <w:left w:val="none" w:sz="0" w:space="0" w:color="auto"/>
              <w:right w:val="none" w:sz="0" w:space="0" w:color="auto"/>
            </w:tcBorders>
          </w:tcPr>
          <w:p w:rsidR="00391A6C" w:rsidRPr="001A34CB"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NC</w:t>
            </w:r>
          </w:p>
        </w:tc>
        <w:tc>
          <w:tcPr>
            <w:tcW w:w="1417" w:type="dxa"/>
            <w:tcBorders>
              <w:lef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1A34CB">
              <w:rPr>
                <w:rFonts w:cs="Arial"/>
                <w:sz w:val="20"/>
                <w:szCs w:val="20"/>
              </w:rPr>
              <w:t>NC</w:t>
            </w:r>
          </w:p>
        </w:tc>
      </w:tr>
      <w:tr w:rsidR="00391A6C" w:rsidRPr="00BC6E15"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BC6E15">
              <w:rPr>
                <w:rFonts w:cs="Arial"/>
                <w:sz w:val="20"/>
                <w:szCs w:val="20"/>
              </w:rPr>
              <w:t>LSA mix</w:t>
            </w:r>
          </w:p>
        </w:tc>
        <w:tc>
          <w:tcPr>
            <w:tcW w:w="1276" w:type="dxa"/>
            <w:tcBorders>
              <w:left w:val="none" w:sz="0" w:space="0" w:color="auto"/>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BC6E15">
              <w:rPr>
                <w:rFonts w:cs="Arial"/>
                <w:sz w:val="20"/>
                <w:szCs w:val="20"/>
              </w:rPr>
              <w:t>NC</w:t>
            </w:r>
          </w:p>
        </w:tc>
        <w:tc>
          <w:tcPr>
            <w:tcW w:w="1417" w:type="dxa"/>
            <w:tcBorders>
              <w:left w:val="none" w:sz="0" w:space="0" w:color="auto"/>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BC6E15">
              <w:rPr>
                <w:rFonts w:cs="Arial"/>
                <w:sz w:val="20"/>
                <w:szCs w:val="20"/>
              </w:rPr>
              <w:t>NC</w:t>
            </w:r>
          </w:p>
        </w:tc>
        <w:tc>
          <w:tcPr>
            <w:tcW w:w="1418" w:type="dxa"/>
            <w:tcBorders>
              <w:left w:val="none" w:sz="0" w:space="0" w:color="auto"/>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BC6E15">
              <w:rPr>
                <w:rFonts w:cs="Arial"/>
                <w:sz w:val="20"/>
                <w:szCs w:val="20"/>
              </w:rPr>
              <w:t>NC</w:t>
            </w:r>
          </w:p>
        </w:tc>
        <w:tc>
          <w:tcPr>
            <w:tcW w:w="1417" w:type="dxa"/>
            <w:tcBorders>
              <w:lef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BC6E15">
              <w:rPr>
                <w:rFonts w:cs="Arial"/>
                <w:sz w:val="20"/>
                <w:szCs w:val="20"/>
              </w:rPr>
              <w:t>NC</w:t>
            </w:r>
          </w:p>
        </w:tc>
      </w:tr>
      <w:tr w:rsidR="00391A6C" w:rsidRPr="00BC6E15"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BC6E15">
              <w:rPr>
                <w:rFonts w:cs="Arial"/>
                <w:sz w:val="20"/>
                <w:szCs w:val="20"/>
              </w:rPr>
              <w:t>Marzipan</w:t>
            </w:r>
          </w:p>
        </w:tc>
        <w:tc>
          <w:tcPr>
            <w:tcW w:w="1276" w:type="dxa"/>
            <w:tcBorders>
              <w:left w:val="none" w:sz="0" w:space="0" w:color="auto"/>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BC6E15">
              <w:rPr>
                <w:rFonts w:cs="Arial"/>
                <w:sz w:val="20"/>
                <w:szCs w:val="20"/>
              </w:rPr>
              <w:t>NC</w:t>
            </w:r>
          </w:p>
        </w:tc>
        <w:tc>
          <w:tcPr>
            <w:tcW w:w="1417" w:type="dxa"/>
            <w:tcBorders>
              <w:left w:val="none" w:sz="0" w:space="0" w:color="auto"/>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BC6E15">
              <w:rPr>
                <w:rFonts w:cs="Arial"/>
                <w:sz w:val="20"/>
                <w:szCs w:val="20"/>
              </w:rPr>
              <w:t>NC</w:t>
            </w:r>
          </w:p>
        </w:tc>
        <w:tc>
          <w:tcPr>
            <w:tcW w:w="1418" w:type="dxa"/>
            <w:tcBorders>
              <w:left w:val="none" w:sz="0" w:space="0" w:color="auto"/>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BC6E15">
              <w:rPr>
                <w:rFonts w:cs="Arial"/>
                <w:sz w:val="20"/>
                <w:szCs w:val="20"/>
              </w:rPr>
              <w:t>NC</w:t>
            </w:r>
          </w:p>
        </w:tc>
        <w:tc>
          <w:tcPr>
            <w:tcW w:w="1417" w:type="dxa"/>
            <w:tcBorders>
              <w:lef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BC6E15">
              <w:rPr>
                <w:rFonts w:cs="Arial"/>
                <w:sz w:val="20"/>
                <w:szCs w:val="20"/>
              </w:rPr>
              <w:t>NC</w:t>
            </w:r>
          </w:p>
        </w:tc>
      </w:tr>
      <w:tr w:rsidR="00391A6C" w:rsidRPr="00BC6E15"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BC6E15">
              <w:rPr>
                <w:rFonts w:cs="Arial"/>
                <w:sz w:val="20"/>
                <w:szCs w:val="20"/>
              </w:rPr>
              <w:t>Passionfruit</w:t>
            </w:r>
          </w:p>
        </w:tc>
        <w:tc>
          <w:tcPr>
            <w:tcW w:w="1276" w:type="dxa"/>
            <w:tcBorders>
              <w:left w:val="none" w:sz="0" w:space="0" w:color="auto"/>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BC6E15">
              <w:rPr>
                <w:rFonts w:cs="Arial"/>
                <w:sz w:val="20"/>
                <w:szCs w:val="20"/>
              </w:rPr>
              <w:t>153</w:t>
            </w:r>
          </w:p>
        </w:tc>
        <w:tc>
          <w:tcPr>
            <w:tcW w:w="1417" w:type="dxa"/>
            <w:tcBorders>
              <w:left w:val="none" w:sz="0" w:space="0" w:color="auto"/>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BC6E15">
              <w:rPr>
                <w:rFonts w:cs="Arial"/>
                <w:sz w:val="20"/>
                <w:szCs w:val="20"/>
              </w:rPr>
              <w:t>P97.5</w:t>
            </w:r>
          </w:p>
        </w:tc>
        <w:tc>
          <w:tcPr>
            <w:tcW w:w="1418" w:type="dxa"/>
            <w:tcBorders>
              <w:left w:val="none" w:sz="0" w:space="0" w:color="auto"/>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BC6E15">
              <w:rPr>
                <w:rFonts w:cs="Arial"/>
                <w:sz w:val="20"/>
                <w:szCs w:val="20"/>
              </w:rPr>
              <w:t>36.0</w:t>
            </w:r>
          </w:p>
        </w:tc>
        <w:tc>
          <w:tcPr>
            <w:tcW w:w="1417" w:type="dxa"/>
            <w:tcBorders>
              <w:lef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BC6E15">
              <w:rPr>
                <w:rFonts w:cs="Arial"/>
                <w:sz w:val="20"/>
                <w:szCs w:val="20"/>
              </w:rPr>
              <w:t>3</w:t>
            </w:r>
          </w:p>
        </w:tc>
      </w:tr>
      <w:tr w:rsidR="00391A6C" w:rsidRPr="00BC6E15"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BC6E15">
              <w:rPr>
                <w:rFonts w:cs="Arial"/>
                <w:sz w:val="20"/>
                <w:szCs w:val="20"/>
              </w:rPr>
              <w:t>Prune juice</w:t>
            </w:r>
          </w:p>
        </w:tc>
        <w:tc>
          <w:tcPr>
            <w:tcW w:w="1276" w:type="dxa"/>
            <w:tcBorders>
              <w:left w:val="none" w:sz="0" w:space="0" w:color="auto"/>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BC6E15">
              <w:rPr>
                <w:rFonts w:cs="Arial"/>
                <w:sz w:val="20"/>
                <w:szCs w:val="20"/>
              </w:rPr>
              <w:t>3</w:t>
            </w:r>
          </w:p>
        </w:tc>
        <w:tc>
          <w:tcPr>
            <w:tcW w:w="1417" w:type="dxa"/>
            <w:tcBorders>
              <w:left w:val="none" w:sz="0" w:space="0" w:color="auto"/>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BC6E15">
              <w:rPr>
                <w:rFonts w:cs="Arial"/>
                <w:sz w:val="20"/>
                <w:szCs w:val="20"/>
              </w:rPr>
              <w:t>P50</w:t>
            </w:r>
          </w:p>
        </w:tc>
        <w:tc>
          <w:tcPr>
            <w:tcW w:w="1418" w:type="dxa"/>
            <w:tcBorders>
              <w:left w:val="none" w:sz="0" w:space="0" w:color="auto"/>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BC6E15">
              <w:rPr>
                <w:rFonts w:cs="Arial"/>
                <w:sz w:val="20"/>
                <w:szCs w:val="20"/>
              </w:rPr>
              <w:t>216</w:t>
            </w:r>
          </w:p>
        </w:tc>
        <w:tc>
          <w:tcPr>
            <w:tcW w:w="1417" w:type="dxa"/>
            <w:tcBorders>
              <w:lef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BC6E15">
              <w:rPr>
                <w:rFonts w:cs="Arial"/>
                <w:sz w:val="20"/>
                <w:szCs w:val="20"/>
              </w:rPr>
              <w:t>12</w:t>
            </w:r>
          </w:p>
        </w:tc>
      </w:tr>
      <w:tr w:rsidR="00391A6C" w:rsidRPr="00BC6E15"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BC6E15">
              <w:rPr>
                <w:rFonts w:cs="Arial"/>
                <w:sz w:val="20"/>
                <w:szCs w:val="20"/>
              </w:rPr>
              <w:t>Pumpkin seed</w:t>
            </w:r>
            <w:r>
              <w:rPr>
                <w:rFonts w:cs="Arial"/>
                <w:sz w:val="20"/>
                <w:szCs w:val="20"/>
              </w:rPr>
              <w:t>s</w:t>
            </w:r>
          </w:p>
        </w:tc>
        <w:tc>
          <w:tcPr>
            <w:tcW w:w="1276" w:type="dxa"/>
            <w:tcBorders>
              <w:left w:val="none" w:sz="0" w:space="0" w:color="auto"/>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BC6E15">
              <w:rPr>
                <w:rFonts w:cs="Arial"/>
                <w:sz w:val="20"/>
                <w:szCs w:val="20"/>
              </w:rPr>
              <w:t>NC</w:t>
            </w:r>
          </w:p>
        </w:tc>
        <w:tc>
          <w:tcPr>
            <w:tcW w:w="1417" w:type="dxa"/>
            <w:tcBorders>
              <w:left w:val="none" w:sz="0" w:space="0" w:color="auto"/>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BC6E15">
              <w:rPr>
                <w:rFonts w:cs="Arial"/>
                <w:sz w:val="20"/>
                <w:szCs w:val="20"/>
              </w:rPr>
              <w:t>NC</w:t>
            </w:r>
          </w:p>
        </w:tc>
        <w:tc>
          <w:tcPr>
            <w:tcW w:w="1418" w:type="dxa"/>
            <w:tcBorders>
              <w:left w:val="none" w:sz="0" w:space="0" w:color="auto"/>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BC6E15">
              <w:rPr>
                <w:rFonts w:cs="Arial"/>
                <w:sz w:val="20"/>
                <w:szCs w:val="20"/>
              </w:rPr>
              <w:t>NC</w:t>
            </w:r>
          </w:p>
        </w:tc>
        <w:tc>
          <w:tcPr>
            <w:tcW w:w="1417" w:type="dxa"/>
            <w:tcBorders>
              <w:lef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BC6E15">
              <w:rPr>
                <w:rFonts w:cs="Arial"/>
                <w:sz w:val="20"/>
                <w:szCs w:val="20"/>
              </w:rPr>
              <w:t>NC</w:t>
            </w:r>
          </w:p>
        </w:tc>
      </w:tr>
      <w:tr w:rsidR="00391A6C" w:rsidRPr="00BC6E15"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BC6E15">
              <w:rPr>
                <w:rFonts w:cs="Arial"/>
                <w:sz w:val="20"/>
                <w:szCs w:val="20"/>
              </w:rPr>
              <w:t>Spinach</w:t>
            </w:r>
          </w:p>
        </w:tc>
        <w:tc>
          <w:tcPr>
            <w:tcW w:w="1276" w:type="dxa"/>
            <w:tcBorders>
              <w:left w:val="none" w:sz="0" w:space="0" w:color="auto"/>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BC6E15">
              <w:rPr>
                <w:rFonts w:cs="Arial"/>
                <w:sz w:val="20"/>
                <w:szCs w:val="20"/>
              </w:rPr>
              <w:t>92</w:t>
            </w:r>
          </w:p>
        </w:tc>
        <w:tc>
          <w:tcPr>
            <w:tcW w:w="1417" w:type="dxa"/>
            <w:tcBorders>
              <w:left w:val="none" w:sz="0" w:space="0" w:color="auto"/>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BC6E15">
              <w:rPr>
                <w:rFonts w:cs="Arial"/>
                <w:sz w:val="20"/>
                <w:szCs w:val="20"/>
              </w:rPr>
              <w:t>P97.5</w:t>
            </w:r>
          </w:p>
        </w:tc>
        <w:tc>
          <w:tcPr>
            <w:tcW w:w="1418" w:type="dxa"/>
            <w:tcBorders>
              <w:left w:val="none" w:sz="0" w:space="0" w:color="auto"/>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BC6E15">
              <w:rPr>
                <w:rFonts w:cs="Arial"/>
                <w:sz w:val="20"/>
                <w:szCs w:val="20"/>
              </w:rPr>
              <w:t>218</w:t>
            </w:r>
          </w:p>
        </w:tc>
        <w:tc>
          <w:tcPr>
            <w:tcW w:w="1417" w:type="dxa"/>
            <w:tcBorders>
              <w:lef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BC6E15">
              <w:rPr>
                <w:rFonts w:cs="Arial"/>
                <w:sz w:val="20"/>
                <w:szCs w:val="20"/>
              </w:rPr>
              <w:t>12</w:t>
            </w:r>
          </w:p>
        </w:tc>
      </w:tr>
      <w:tr w:rsidR="00391A6C" w:rsidRPr="00BC6E15"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BC6E15">
              <w:rPr>
                <w:rFonts w:cs="Arial"/>
                <w:sz w:val="20"/>
                <w:szCs w:val="20"/>
              </w:rPr>
              <w:t>Sunflower seed</w:t>
            </w:r>
            <w:r>
              <w:rPr>
                <w:rFonts w:cs="Arial"/>
                <w:sz w:val="20"/>
                <w:szCs w:val="20"/>
              </w:rPr>
              <w:t>s</w:t>
            </w:r>
          </w:p>
        </w:tc>
        <w:tc>
          <w:tcPr>
            <w:tcW w:w="1276" w:type="dxa"/>
            <w:tcBorders>
              <w:left w:val="none" w:sz="0" w:space="0" w:color="auto"/>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BC6E15">
              <w:rPr>
                <w:rFonts w:cs="Arial"/>
                <w:sz w:val="20"/>
                <w:szCs w:val="20"/>
              </w:rPr>
              <w:t>214</w:t>
            </w:r>
          </w:p>
        </w:tc>
        <w:tc>
          <w:tcPr>
            <w:tcW w:w="1417" w:type="dxa"/>
            <w:tcBorders>
              <w:left w:val="none" w:sz="0" w:space="0" w:color="auto"/>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BC6E15">
              <w:rPr>
                <w:rFonts w:cs="Arial"/>
                <w:sz w:val="20"/>
                <w:szCs w:val="20"/>
              </w:rPr>
              <w:t>P97.5</w:t>
            </w:r>
          </w:p>
        </w:tc>
        <w:tc>
          <w:tcPr>
            <w:tcW w:w="1418" w:type="dxa"/>
            <w:tcBorders>
              <w:left w:val="none" w:sz="0" w:space="0" w:color="auto"/>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BC6E15">
              <w:rPr>
                <w:rFonts w:cs="Arial"/>
                <w:sz w:val="20"/>
                <w:szCs w:val="20"/>
              </w:rPr>
              <w:t>16</w:t>
            </w:r>
          </w:p>
        </w:tc>
        <w:tc>
          <w:tcPr>
            <w:tcW w:w="1417" w:type="dxa"/>
            <w:tcBorders>
              <w:lef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BC6E15">
              <w:rPr>
                <w:rFonts w:cs="Arial"/>
                <w:sz w:val="20"/>
                <w:szCs w:val="20"/>
              </w:rPr>
              <w:t>&lt;1</w:t>
            </w:r>
          </w:p>
        </w:tc>
      </w:tr>
      <w:tr w:rsidR="00391A6C" w:rsidRPr="00BC6E15"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BC6E15">
              <w:rPr>
                <w:rFonts w:cs="Arial"/>
                <w:sz w:val="20"/>
                <w:szCs w:val="20"/>
              </w:rPr>
              <w:t>Taro</w:t>
            </w:r>
            <w:r>
              <w:rPr>
                <w:rFonts w:cs="Arial"/>
                <w:sz w:val="20"/>
                <w:szCs w:val="20"/>
              </w:rPr>
              <w:t>,</w:t>
            </w:r>
            <w:r w:rsidRPr="00BC6E15">
              <w:rPr>
                <w:rFonts w:cs="Arial"/>
                <w:sz w:val="20"/>
                <w:szCs w:val="20"/>
              </w:rPr>
              <w:t xml:space="preserve"> in mixed foods </w:t>
            </w:r>
          </w:p>
        </w:tc>
        <w:tc>
          <w:tcPr>
            <w:tcW w:w="1276" w:type="dxa"/>
            <w:tcBorders>
              <w:left w:val="none" w:sz="0" w:space="0" w:color="auto"/>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BC6E15">
              <w:rPr>
                <w:rFonts w:cs="Arial"/>
                <w:sz w:val="20"/>
                <w:szCs w:val="20"/>
              </w:rPr>
              <w:t>5</w:t>
            </w:r>
          </w:p>
        </w:tc>
        <w:tc>
          <w:tcPr>
            <w:tcW w:w="1417" w:type="dxa"/>
            <w:tcBorders>
              <w:left w:val="none" w:sz="0" w:space="0" w:color="auto"/>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BC6E15">
              <w:rPr>
                <w:rFonts w:cs="Arial"/>
                <w:sz w:val="20"/>
                <w:szCs w:val="20"/>
              </w:rPr>
              <w:t>P50</w:t>
            </w:r>
          </w:p>
        </w:tc>
        <w:tc>
          <w:tcPr>
            <w:tcW w:w="1418" w:type="dxa"/>
            <w:tcBorders>
              <w:left w:val="none" w:sz="0" w:space="0" w:color="auto"/>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BC6E15">
              <w:rPr>
                <w:rFonts w:cs="Arial"/>
                <w:sz w:val="20"/>
                <w:szCs w:val="20"/>
              </w:rPr>
              <w:t>243</w:t>
            </w:r>
          </w:p>
        </w:tc>
        <w:tc>
          <w:tcPr>
            <w:tcW w:w="1417" w:type="dxa"/>
            <w:tcBorders>
              <w:lef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BC6E15">
              <w:rPr>
                <w:rFonts w:cs="Arial"/>
                <w:sz w:val="20"/>
                <w:szCs w:val="20"/>
              </w:rPr>
              <w:t>14</w:t>
            </w:r>
          </w:p>
        </w:tc>
      </w:tr>
      <w:tr w:rsidR="00391A6C" w:rsidRPr="00BC6E15" w:rsidTr="00A40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BC6E15">
              <w:rPr>
                <w:rFonts w:cs="Arial"/>
                <w:sz w:val="20"/>
                <w:szCs w:val="20"/>
              </w:rPr>
              <w:t>Taro</w:t>
            </w:r>
            <w:r>
              <w:rPr>
                <w:rFonts w:cs="Arial"/>
                <w:sz w:val="20"/>
                <w:szCs w:val="20"/>
              </w:rPr>
              <w:t>,</w:t>
            </w:r>
            <w:r w:rsidRPr="00BC6E15">
              <w:rPr>
                <w:rFonts w:cs="Arial"/>
                <w:sz w:val="20"/>
                <w:szCs w:val="20"/>
              </w:rPr>
              <w:t xml:space="preserve"> leaves only</w:t>
            </w:r>
          </w:p>
        </w:tc>
        <w:tc>
          <w:tcPr>
            <w:tcW w:w="1276" w:type="dxa"/>
            <w:tcBorders>
              <w:left w:val="none" w:sz="0" w:space="0" w:color="auto"/>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BC6E15">
              <w:rPr>
                <w:rFonts w:cs="Arial"/>
                <w:sz w:val="20"/>
                <w:szCs w:val="20"/>
              </w:rPr>
              <w:t>7</w:t>
            </w:r>
          </w:p>
        </w:tc>
        <w:tc>
          <w:tcPr>
            <w:tcW w:w="1417" w:type="dxa"/>
            <w:tcBorders>
              <w:left w:val="none" w:sz="0" w:space="0" w:color="auto"/>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BC6E15">
              <w:rPr>
                <w:rFonts w:cs="Arial"/>
                <w:sz w:val="20"/>
                <w:szCs w:val="20"/>
              </w:rPr>
              <w:t>P50</w:t>
            </w:r>
          </w:p>
        </w:tc>
        <w:tc>
          <w:tcPr>
            <w:tcW w:w="1418" w:type="dxa"/>
            <w:tcBorders>
              <w:left w:val="none" w:sz="0" w:space="0" w:color="auto"/>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BC6E15">
              <w:rPr>
                <w:rFonts w:cs="Arial"/>
                <w:sz w:val="20"/>
                <w:szCs w:val="20"/>
              </w:rPr>
              <w:t>77</w:t>
            </w:r>
          </w:p>
        </w:tc>
        <w:tc>
          <w:tcPr>
            <w:tcW w:w="1417" w:type="dxa"/>
            <w:tcBorders>
              <w:lef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BC6E15">
              <w:rPr>
                <w:rFonts w:cs="Arial"/>
                <w:sz w:val="20"/>
                <w:szCs w:val="20"/>
              </w:rPr>
              <w:t>4</w:t>
            </w:r>
          </w:p>
        </w:tc>
      </w:tr>
      <w:tr w:rsidR="00391A6C" w:rsidRPr="00BC6E15" w:rsidTr="00A4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BC6E15">
              <w:rPr>
                <w:rFonts w:cs="Arial"/>
                <w:sz w:val="20"/>
                <w:szCs w:val="20"/>
              </w:rPr>
              <w:t>Vine leaves, stuffed, canned</w:t>
            </w:r>
          </w:p>
        </w:tc>
        <w:tc>
          <w:tcPr>
            <w:tcW w:w="1276" w:type="dxa"/>
            <w:tcBorders>
              <w:left w:val="none" w:sz="0" w:space="0" w:color="auto"/>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BC6E15">
              <w:rPr>
                <w:rFonts w:cs="Arial"/>
                <w:sz w:val="20"/>
                <w:szCs w:val="20"/>
              </w:rPr>
              <w:t>NC</w:t>
            </w:r>
          </w:p>
        </w:tc>
        <w:tc>
          <w:tcPr>
            <w:tcW w:w="1417" w:type="dxa"/>
            <w:tcBorders>
              <w:left w:val="none" w:sz="0" w:space="0" w:color="auto"/>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BC6E15">
              <w:rPr>
                <w:rFonts w:cs="Arial"/>
                <w:sz w:val="20"/>
                <w:szCs w:val="20"/>
              </w:rPr>
              <w:t>NC</w:t>
            </w:r>
          </w:p>
        </w:tc>
        <w:tc>
          <w:tcPr>
            <w:tcW w:w="1418" w:type="dxa"/>
            <w:tcBorders>
              <w:left w:val="none" w:sz="0" w:space="0" w:color="auto"/>
              <w:righ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BC6E15">
              <w:rPr>
                <w:rFonts w:cs="Arial"/>
                <w:sz w:val="20"/>
                <w:szCs w:val="20"/>
              </w:rPr>
              <w:t>NC</w:t>
            </w:r>
          </w:p>
        </w:tc>
        <w:tc>
          <w:tcPr>
            <w:tcW w:w="1417" w:type="dxa"/>
            <w:tcBorders>
              <w:left w:val="none" w:sz="0" w:space="0" w:color="auto"/>
            </w:tcBorders>
          </w:tcPr>
          <w:p w:rsidR="00391A6C" w:rsidRPr="00BC6E15" w:rsidRDefault="00391A6C" w:rsidP="00A4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BC6E15">
              <w:rPr>
                <w:rFonts w:cs="Arial"/>
                <w:sz w:val="20"/>
                <w:szCs w:val="20"/>
              </w:rPr>
              <w:t>NC</w:t>
            </w:r>
          </w:p>
        </w:tc>
      </w:tr>
    </w:tbl>
    <w:p w:rsidR="00391A6C" w:rsidRPr="00BC6E15" w:rsidRDefault="00391A6C" w:rsidP="00391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BC6E15">
        <w:rPr>
          <w:rFonts w:cs="Arial"/>
          <w:sz w:val="18"/>
          <w:szCs w:val="18"/>
        </w:rPr>
        <w:t>NC = not consumed.</w:t>
      </w:r>
    </w:p>
    <w:p w:rsidR="00391A6C" w:rsidRPr="00966234" w:rsidRDefault="00391A6C" w:rsidP="00391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BB153A">
        <w:rPr>
          <w:rFonts w:cs="Arial"/>
          <w:sz w:val="18"/>
          <w:szCs w:val="18"/>
          <w:vertAlign w:val="superscript"/>
        </w:rPr>
        <w:t>a</w:t>
      </w:r>
      <w:r w:rsidRPr="00966234">
        <w:rPr>
          <w:rFonts w:cs="Arial"/>
          <w:sz w:val="18"/>
          <w:szCs w:val="18"/>
        </w:rPr>
        <w:t xml:space="preserve"> Survey 2, EU method</w:t>
      </w:r>
      <w:r>
        <w:rPr>
          <w:rFonts w:cs="Arial"/>
          <w:sz w:val="18"/>
          <w:szCs w:val="18"/>
        </w:rPr>
        <w:t>.</w:t>
      </w:r>
    </w:p>
    <w:p w:rsidR="00391A6C" w:rsidRPr="00966234" w:rsidRDefault="00391A6C" w:rsidP="00391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BB153A">
        <w:rPr>
          <w:rFonts w:cs="Arial"/>
          <w:sz w:val="18"/>
          <w:szCs w:val="18"/>
          <w:vertAlign w:val="superscript"/>
        </w:rPr>
        <w:t>b</w:t>
      </w:r>
      <w:r w:rsidRPr="00966234">
        <w:rPr>
          <w:rFonts w:cs="Arial"/>
          <w:sz w:val="18"/>
          <w:szCs w:val="18"/>
        </w:rPr>
        <w:t xml:space="preserve"> Survey 1</w:t>
      </w:r>
      <w:r>
        <w:rPr>
          <w:rFonts w:cs="Arial"/>
          <w:sz w:val="18"/>
          <w:szCs w:val="18"/>
        </w:rPr>
        <w:t>.</w:t>
      </w:r>
    </w:p>
    <w:p w:rsidR="00391A6C" w:rsidRDefault="00391A6C" w:rsidP="00391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BB153A">
        <w:rPr>
          <w:rFonts w:cs="Arial"/>
          <w:sz w:val="18"/>
          <w:szCs w:val="18"/>
          <w:vertAlign w:val="superscript"/>
        </w:rPr>
        <w:t>c</w:t>
      </w:r>
      <w:r w:rsidRPr="00966234">
        <w:rPr>
          <w:rFonts w:cs="Arial"/>
          <w:sz w:val="18"/>
          <w:szCs w:val="18"/>
        </w:rPr>
        <w:t xml:space="preserve"> Survey 3, sweet </w:t>
      </w:r>
      <w:r w:rsidR="003F1E1D">
        <w:rPr>
          <w:rFonts w:cs="Arial"/>
          <w:sz w:val="18"/>
          <w:szCs w:val="18"/>
        </w:rPr>
        <w:t xml:space="preserve">cassava </w:t>
      </w:r>
      <w:r w:rsidRPr="00966234">
        <w:rPr>
          <w:rFonts w:cs="Arial"/>
          <w:sz w:val="18"/>
          <w:szCs w:val="18"/>
        </w:rPr>
        <w:t>only</w:t>
      </w:r>
      <w:r>
        <w:rPr>
          <w:rFonts w:cs="Arial"/>
          <w:sz w:val="18"/>
          <w:szCs w:val="18"/>
        </w:rPr>
        <w:t>.</w:t>
      </w:r>
    </w:p>
    <w:p w:rsidR="008F5465" w:rsidRPr="0036079D" w:rsidRDefault="008F5465" w:rsidP="008F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AB6F48">
        <w:rPr>
          <w:rFonts w:cs="Arial"/>
          <w:bCs/>
          <w:sz w:val="18"/>
          <w:szCs w:val="18"/>
          <w:vertAlign w:val="superscript"/>
        </w:rPr>
        <w:t>d</w:t>
      </w:r>
      <w:r>
        <w:rPr>
          <w:rFonts w:cs="Arial"/>
          <w:bCs/>
          <w:sz w:val="18"/>
          <w:szCs w:val="18"/>
        </w:rPr>
        <w:t xml:space="preserve"> Consumption level based on </w:t>
      </w:r>
      <w:r w:rsidRPr="00AB6F48">
        <w:rPr>
          <w:rFonts w:cs="Arial"/>
          <w:bCs/>
          <w:sz w:val="18"/>
          <w:szCs w:val="18"/>
        </w:rPr>
        <w:t>recommended serves/recommended maximum consumption levels</w:t>
      </w:r>
      <w:r>
        <w:rPr>
          <w:rFonts w:cs="Arial"/>
          <w:bCs/>
          <w:sz w:val="18"/>
          <w:szCs w:val="18"/>
        </w:rPr>
        <w:t xml:space="preserve">. </w:t>
      </w:r>
    </w:p>
    <w:p w:rsidR="008F5465" w:rsidRPr="00065A5C" w:rsidRDefault="009504DD" w:rsidP="00391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Cs w:val="22"/>
        </w:rPr>
      </w:pPr>
      <w:r>
        <w:rPr>
          <w:rFonts w:cs="Arial"/>
          <w:sz w:val="18"/>
          <w:szCs w:val="18"/>
        </w:rPr>
        <w:br w:type="column"/>
      </w:r>
      <w:r w:rsidRPr="00065A5C">
        <w:rPr>
          <w:rFonts w:asciiTheme="minorHAnsi" w:hAnsiTheme="minorHAnsi" w:cs="Arial"/>
          <w:b/>
          <w:szCs w:val="22"/>
        </w:rPr>
        <w:lastRenderedPageBreak/>
        <w:t>Table A10.8</w:t>
      </w:r>
      <w:r w:rsidR="00065A5C">
        <w:rPr>
          <w:rFonts w:asciiTheme="minorHAnsi" w:hAnsiTheme="minorHAnsi" w:cs="Arial"/>
          <w:b/>
          <w:szCs w:val="22"/>
        </w:rPr>
        <w:t>.</w:t>
      </w:r>
      <w:r w:rsidRPr="00065A5C">
        <w:rPr>
          <w:rFonts w:asciiTheme="minorHAnsi" w:hAnsiTheme="minorHAnsi" w:cs="Arial"/>
          <w:b/>
          <w:szCs w:val="22"/>
        </w:rPr>
        <w:t xml:space="preserve"> Summary of consumption levels used in acute </w:t>
      </w:r>
      <w:r w:rsidR="00F23DB7" w:rsidRPr="00065A5C">
        <w:rPr>
          <w:rFonts w:asciiTheme="minorHAnsi" w:hAnsiTheme="minorHAnsi" w:cs="Arial"/>
          <w:b/>
          <w:szCs w:val="22"/>
        </w:rPr>
        <w:t>d</w:t>
      </w:r>
      <w:r w:rsidRPr="00065A5C">
        <w:rPr>
          <w:rFonts w:asciiTheme="minorHAnsi" w:hAnsiTheme="minorHAnsi" w:cs="Arial"/>
          <w:b/>
          <w:szCs w:val="22"/>
        </w:rPr>
        <w:t xml:space="preserve">ietary </w:t>
      </w:r>
      <w:r w:rsidR="00F23DB7" w:rsidRPr="00065A5C">
        <w:rPr>
          <w:rFonts w:asciiTheme="minorHAnsi" w:hAnsiTheme="minorHAnsi" w:cs="Arial"/>
          <w:b/>
          <w:szCs w:val="22"/>
        </w:rPr>
        <w:t>e</w:t>
      </w:r>
      <w:r w:rsidRPr="00065A5C">
        <w:rPr>
          <w:rFonts w:asciiTheme="minorHAnsi" w:hAnsiTheme="minorHAnsi" w:cs="Arial"/>
          <w:b/>
          <w:szCs w:val="22"/>
        </w:rPr>
        <w:t xml:space="preserve">xposure </w:t>
      </w:r>
      <w:r w:rsidR="00F23DB7" w:rsidRPr="00065A5C">
        <w:rPr>
          <w:rFonts w:asciiTheme="minorHAnsi" w:hAnsiTheme="minorHAnsi" w:cs="Arial"/>
          <w:b/>
          <w:szCs w:val="22"/>
        </w:rPr>
        <w:t>a</w:t>
      </w:r>
      <w:r w:rsidRPr="00065A5C">
        <w:rPr>
          <w:rFonts w:asciiTheme="minorHAnsi" w:hAnsiTheme="minorHAnsi" w:cs="Arial"/>
          <w:b/>
          <w:szCs w:val="22"/>
        </w:rPr>
        <w:t>ssessments</w:t>
      </w:r>
    </w:p>
    <w:tbl>
      <w:tblPr>
        <w:tblStyle w:val="MediumShading1-Accent11"/>
        <w:tblW w:w="5000" w:type="pct"/>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Layout w:type="fixed"/>
        <w:tblLook w:val="04A0" w:firstRow="1" w:lastRow="0" w:firstColumn="1" w:lastColumn="0" w:noHBand="0" w:noVBand="1"/>
      </w:tblPr>
      <w:tblGrid>
        <w:gridCol w:w="3271"/>
        <w:gridCol w:w="1095"/>
        <w:gridCol w:w="1098"/>
        <w:gridCol w:w="1165"/>
        <w:gridCol w:w="1029"/>
        <w:gridCol w:w="1098"/>
        <w:gridCol w:w="1098"/>
      </w:tblGrid>
      <w:tr w:rsidR="00226FD1" w:rsidRPr="007C28D3" w:rsidTr="002A5F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vMerge w:val="restart"/>
            <w:tcBorders>
              <w:left w:val="single" w:sz="8" w:space="0" w:color="7BA0CD" w:themeColor="accent1" w:themeTint="BF"/>
              <w:right w:val="single" w:sz="8" w:space="0" w:color="7BA0CD" w:themeColor="accent1" w:themeTint="BF"/>
            </w:tcBorders>
            <w:noWrap/>
            <w:hideMark/>
          </w:tcPr>
          <w:p w:rsidR="00226FD1" w:rsidRPr="00DC2684" w:rsidRDefault="00226FD1" w:rsidP="009504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DC2684">
              <w:rPr>
                <w:rFonts w:cs="Arial"/>
                <w:sz w:val="20"/>
                <w:szCs w:val="20"/>
              </w:rPr>
              <w:t>Food</w:t>
            </w:r>
          </w:p>
        </w:tc>
        <w:tc>
          <w:tcPr>
            <w:tcW w:w="3340" w:type="pct"/>
            <w:gridSpan w:val="6"/>
            <w:tcBorders>
              <w:left w:val="single" w:sz="8" w:space="0" w:color="7BA0CD" w:themeColor="accent1" w:themeTint="BF"/>
              <w:bottom w:val="single" w:sz="8" w:space="0" w:color="7BA0CD" w:themeColor="accent1" w:themeTint="BF"/>
              <w:right w:val="single" w:sz="8" w:space="0" w:color="7BA0CD" w:themeColor="accent1" w:themeTint="BF"/>
            </w:tcBorders>
            <w:vAlign w:val="center"/>
            <w:hideMark/>
          </w:tcPr>
          <w:p w:rsidR="00226FD1" w:rsidRDefault="00226FD1" w:rsidP="00226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DC2684">
              <w:rPr>
                <w:rFonts w:cs="Arial"/>
                <w:sz w:val="20"/>
                <w:szCs w:val="20"/>
              </w:rPr>
              <w:t>Consumption level used</w:t>
            </w:r>
          </w:p>
          <w:p w:rsidR="00226FD1" w:rsidRPr="00DC2684" w:rsidRDefault="00226FD1" w:rsidP="00226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jc w:val="center"/>
              <w:cnfStyle w:val="100000000000" w:firstRow="1" w:lastRow="0" w:firstColumn="0" w:lastColumn="0" w:oddVBand="0" w:evenVBand="0" w:oddHBand="0" w:evenHBand="0" w:firstRowFirstColumn="0" w:firstRowLastColumn="0" w:lastRowFirstColumn="0" w:lastRowLastColumn="0"/>
              <w:rPr>
                <w:rFonts w:cs="Arial"/>
                <w:sz w:val="20"/>
                <w:szCs w:val="20"/>
              </w:rPr>
            </w:pPr>
          </w:p>
        </w:tc>
      </w:tr>
      <w:tr w:rsidR="00226FD1" w:rsidRPr="007C28D3" w:rsidTr="00226FD1">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660" w:type="pct"/>
            <w:vMerge/>
            <w:tcBorders>
              <w:left w:val="single" w:sz="8" w:space="0" w:color="7BA0CD" w:themeColor="accent1" w:themeTint="BF"/>
              <w:right w:val="single" w:sz="8" w:space="0" w:color="7BA0CD" w:themeColor="accent1" w:themeTint="BF"/>
            </w:tcBorders>
            <w:shd w:val="clear" w:color="auto" w:fill="4F81BD" w:themeFill="accent1"/>
            <w:noWrap/>
          </w:tcPr>
          <w:p w:rsidR="00226FD1" w:rsidRPr="00DC2684" w:rsidRDefault="00226FD1" w:rsidP="009504DD">
            <w:pPr>
              <w:rPr>
                <w:rFonts w:cs="Arial"/>
                <w:color w:val="FFFFFF" w:themeColor="background1"/>
                <w:sz w:val="20"/>
                <w:szCs w:val="20"/>
              </w:rPr>
            </w:pPr>
          </w:p>
        </w:tc>
        <w:tc>
          <w:tcPr>
            <w:tcW w:w="1704" w:type="pct"/>
            <w:gridSpan w:val="3"/>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noWrap/>
            <w:vAlign w:val="center"/>
          </w:tcPr>
          <w:p w:rsidR="00226FD1" w:rsidRPr="00DC2684" w:rsidRDefault="00226FD1" w:rsidP="00226FD1">
            <w:pPr>
              <w:jc w:val="center"/>
              <w:cnfStyle w:val="000000100000" w:firstRow="0" w:lastRow="0" w:firstColumn="0" w:lastColumn="0" w:oddVBand="0" w:evenVBand="0" w:oddHBand="1" w:evenHBand="0" w:firstRowFirstColumn="0" w:firstRowLastColumn="0" w:lastRowFirstColumn="0" w:lastRowLastColumn="0"/>
              <w:rPr>
                <w:rFonts w:cs="Arial"/>
                <w:b/>
                <w:color w:val="FFFFFF" w:themeColor="background1"/>
                <w:sz w:val="20"/>
                <w:szCs w:val="20"/>
              </w:rPr>
            </w:pPr>
            <w:r w:rsidRPr="00DC2684">
              <w:rPr>
                <w:rFonts w:cs="Arial"/>
                <w:b/>
                <w:color w:val="FFFFFF" w:themeColor="background1"/>
                <w:sz w:val="20"/>
                <w:szCs w:val="20"/>
              </w:rPr>
              <w:t>Australia</w:t>
            </w:r>
          </w:p>
        </w:tc>
        <w:tc>
          <w:tcPr>
            <w:tcW w:w="1636" w:type="pct"/>
            <w:gridSpan w:val="3"/>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4F81BD" w:themeFill="accent1"/>
            <w:vAlign w:val="center"/>
          </w:tcPr>
          <w:p w:rsidR="00226FD1" w:rsidRPr="00DC2684" w:rsidRDefault="00226FD1" w:rsidP="00226FD1">
            <w:pPr>
              <w:jc w:val="center"/>
              <w:cnfStyle w:val="000000100000" w:firstRow="0" w:lastRow="0" w:firstColumn="0" w:lastColumn="0" w:oddVBand="0" w:evenVBand="0" w:oddHBand="1" w:evenHBand="0" w:firstRowFirstColumn="0" w:firstRowLastColumn="0" w:lastRowFirstColumn="0" w:lastRowLastColumn="0"/>
              <w:rPr>
                <w:rFonts w:cs="Arial"/>
                <w:b/>
                <w:color w:val="FFFFFF" w:themeColor="background1"/>
                <w:sz w:val="20"/>
                <w:szCs w:val="20"/>
              </w:rPr>
            </w:pPr>
            <w:r w:rsidRPr="00DC2684">
              <w:rPr>
                <w:rFonts w:cs="Arial"/>
                <w:b/>
                <w:color w:val="FFFFFF" w:themeColor="background1"/>
                <w:sz w:val="20"/>
                <w:szCs w:val="20"/>
              </w:rPr>
              <w:t>New Zealand</w:t>
            </w:r>
          </w:p>
        </w:tc>
      </w:tr>
      <w:tr w:rsidR="00226FD1" w:rsidRPr="007C28D3" w:rsidTr="002A5F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vMerge/>
            <w:tcBorders>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noWrap/>
          </w:tcPr>
          <w:p w:rsidR="00226FD1" w:rsidRPr="00DC2684" w:rsidRDefault="00226FD1" w:rsidP="009504DD">
            <w:pPr>
              <w:rPr>
                <w:rFonts w:cs="Arial"/>
                <w:color w:val="FFFFFF" w:themeColor="background1"/>
                <w:sz w:val="20"/>
                <w:szCs w:val="20"/>
              </w:rPr>
            </w:pPr>
          </w:p>
        </w:tc>
        <w:tc>
          <w:tcPr>
            <w:tcW w:w="556"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noWrap/>
            <w:vAlign w:val="center"/>
          </w:tcPr>
          <w:p w:rsidR="00226FD1" w:rsidRPr="00DC2684" w:rsidRDefault="00226FD1" w:rsidP="00226FD1">
            <w:pPr>
              <w:jc w:val="right"/>
              <w:cnfStyle w:val="000000010000" w:firstRow="0" w:lastRow="0" w:firstColumn="0" w:lastColumn="0" w:oddVBand="0" w:evenVBand="0" w:oddHBand="0" w:evenHBand="1" w:firstRowFirstColumn="0" w:firstRowLastColumn="0" w:lastRowFirstColumn="0" w:lastRowLastColumn="0"/>
              <w:rPr>
                <w:rFonts w:cs="Arial"/>
                <w:b/>
                <w:color w:val="FFFFFF" w:themeColor="background1"/>
                <w:sz w:val="20"/>
                <w:szCs w:val="20"/>
              </w:rPr>
            </w:pPr>
            <w:r w:rsidRPr="00DC2684">
              <w:rPr>
                <w:rFonts w:cs="Arial"/>
                <w:b/>
                <w:color w:val="FFFFFF" w:themeColor="background1"/>
                <w:sz w:val="20"/>
                <w:szCs w:val="20"/>
              </w:rPr>
              <w:t xml:space="preserve">2-6 </w:t>
            </w:r>
            <w:r>
              <w:rPr>
                <w:rFonts w:cs="Arial"/>
                <w:b/>
                <w:color w:val="FFFFFF" w:themeColor="background1"/>
                <w:sz w:val="20"/>
                <w:szCs w:val="20"/>
              </w:rPr>
              <w:t>years</w:t>
            </w:r>
          </w:p>
        </w:tc>
        <w:tc>
          <w:tcPr>
            <w:tcW w:w="55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vAlign w:val="center"/>
          </w:tcPr>
          <w:p w:rsidR="00226FD1" w:rsidRPr="00DC2684" w:rsidRDefault="00226FD1" w:rsidP="00226FD1">
            <w:pPr>
              <w:jc w:val="right"/>
              <w:cnfStyle w:val="000000010000" w:firstRow="0" w:lastRow="0" w:firstColumn="0" w:lastColumn="0" w:oddVBand="0" w:evenVBand="0" w:oddHBand="0" w:evenHBand="1" w:firstRowFirstColumn="0" w:firstRowLastColumn="0" w:lastRowFirstColumn="0" w:lastRowLastColumn="0"/>
              <w:rPr>
                <w:rFonts w:cs="Arial"/>
                <w:b/>
                <w:color w:val="FFFFFF" w:themeColor="background1"/>
                <w:sz w:val="20"/>
                <w:szCs w:val="20"/>
              </w:rPr>
            </w:pPr>
            <w:r w:rsidRPr="00DC2684">
              <w:rPr>
                <w:rFonts w:cs="Arial"/>
                <w:b/>
                <w:color w:val="FFFFFF" w:themeColor="background1"/>
                <w:sz w:val="20"/>
                <w:szCs w:val="20"/>
              </w:rPr>
              <w:t xml:space="preserve">2-16 </w:t>
            </w:r>
            <w:r>
              <w:rPr>
                <w:rFonts w:cs="Arial"/>
                <w:b/>
                <w:color w:val="FFFFFF" w:themeColor="background1"/>
                <w:sz w:val="20"/>
                <w:szCs w:val="20"/>
              </w:rPr>
              <w:t>years</w:t>
            </w:r>
          </w:p>
        </w:tc>
        <w:tc>
          <w:tcPr>
            <w:tcW w:w="5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vAlign w:val="center"/>
          </w:tcPr>
          <w:p w:rsidR="00226FD1" w:rsidRPr="00DC2684" w:rsidRDefault="00226FD1" w:rsidP="00226FD1">
            <w:pPr>
              <w:jc w:val="right"/>
              <w:cnfStyle w:val="000000010000" w:firstRow="0" w:lastRow="0" w:firstColumn="0" w:lastColumn="0" w:oddVBand="0" w:evenVBand="0" w:oddHBand="0" w:evenHBand="1" w:firstRowFirstColumn="0" w:firstRowLastColumn="0" w:lastRowFirstColumn="0" w:lastRowLastColumn="0"/>
              <w:rPr>
                <w:rFonts w:cs="Arial"/>
                <w:b/>
                <w:color w:val="FFFFFF" w:themeColor="background1"/>
                <w:sz w:val="20"/>
                <w:szCs w:val="20"/>
              </w:rPr>
            </w:pPr>
            <w:r w:rsidRPr="00DC2684">
              <w:rPr>
                <w:rFonts w:cs="Arial"/>
                <w:b/>
                <w:color w:val="FFFFFF" w:themeColor="background1"/>
                <w:sz w:val="20"/>
                <w:szCs w:val="20"/>
              </w:rPr>
              <w:t>17</w:t>
            </w:r>
            <w:r>
              <w:rPr>
                <w:rFonts w:cs="Arial"/>
                <w:b/>
                <w:color w:val="FFFFFF" w:themeColor="background1"/>
                <w:sz w:val="20"/>
                <w:szCs w:val="20"/>
              </w:rPr>
              <w:t xml:space="preserve"> years and above</w:t>
            </w:r>
          </w:p>
        </w:tc>
        <w:tc>
          <w:tcPr>
            <w:tcW w:w="52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vAlign w:val="center"/>
          </w:tcPr>
          <w:p w:rsidR="00226FD1" w:rsidRPr="00DC2684" w:rsidRDefault="00226FD1" w:rsidP="00226FD1">
            <w:pPr>
              <w:jc w:val="right"/>
              <w:cnfStyle w:val="000000010000" w:firstRow="0" w:lastRow="0" w:firstColumn="0" w:lastColumn="0" w:oddVBand="0" w:evenVBand="0" w:oddHBand="0" w:evenHBand="1" w:firstRowFirstColumn="0" w:firstRowLastColumn="0" w:lastRowFirstColumn="0" w:lastRowLastColumn="0"/>
              <w:rPr>
                <w:rFonts w:cs="Arial"/>
                <w:b/>
                <w:color w:val="FFFFFF" w:themeColor="background1"/>
                <w:sz w:val="20"/>
                <w:szCs w:val="20"/>
              </w:rPr>
            </w:pPr>
            <w:r w:rsidRPr="00DC2684">
              <w:rPr>
                <w:rFonts w:cs="Arial"/>
                <w:b/>
                <w:color w:val="FFFFFF" w:themeColor="background1"/>
                <w:sz w:val="20"/>
                <w:szCs w:val="20"/>
              </w:rPr>
              <w:t xml:space="preserve">5-6 </w:t>
            </w:r>
            <w:r>
              <w:rPr>
                <w:rFonts w:cs="Arial"/>
                <w:b/>
                <w:color w:val="FFFFFF" w:themeColor="background1"/>
                <w:sz w:val="20"/>
                <w:szCs w:val="20"/>
              </w:rPr>
              <w:t>years</w:t>
            </w:r>
          </w:p>
        </w:tc>
        <w:tc>
          <w:tcPr>
            <w:tcW w:w="55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vAlign w:val="center"/>
          </w:tcPr>
          <w:p w:rsidR="00226FD1" w:rsidRPr="00DC2684" w:rsidRDefault="00226FD1" w:rsidP="00226FD1">
            <w:pPr>
              <w:jc w:val="right"/>
              <w:cnfStyle w:val="000000010000" w:firstRow="0" w:lastRow="0" w:firstColumn="0" w:lastColumn="0" w:oddVBand="0" w:evenVBand="0" w:oddHBand="0" w:evenHBand="1" w:firstRowFirstColumn="0" w:firstRowLastColumn="0" w:lastRowFirstColumn="0" w:lastRowLastColumn="0"/>
              <w:rPr>
                <w:rFonts w:cs="Arial"/>
                <w:b/>
                <w:color w:val="FFFFFF" w:themeColor="background1"/>
                <w:sz w:val="20"/>
                <w:szCs w:val="20"/>
              </w:rPr>
            </w:pPr>
            <w:r w:rsidRPr="00DC2684">
              <w:rPr>
                <w:rFonts w:cs="Arial"/>
                <w:b/>
                <w:color w:val="FFFFFF" w:themeColor="background1"/>
                <w:sz w:val="20"/>
                <w:szCs w:val="20"/>
              </w:rPr>
              <w:t xml:space="preserve">5-14 </w:t>
            </w:r>
            <w:r>
              <w:rPr>
                <w:rFonts w:cs="Arial"/>
                <w:b/>
                <w:color w:val="FFFFFF" w:themeColor="background1"/>
                <w:sz w:val="20"/>
                <w:szCs w:val="20"/>
              </w:rPr>
              <w:t>years</w:t>
            </w:r>
          </w:p>
        </w:tc>
        <w:tc>
          <w:tcPr>
            <w:tcW w:w="557" w:type="pct"/>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4F81BD" w:themeFill="accent1"/>
            <w:vAlign w:val="center"/>
          </w:tcPr>
          <w:p w:rsidR="00226FD1" w:rsidRPr="00DC2684" w:rsidRDefault="00226FD1" w:rsidP="00226FD1">
            <w:pPr>
              <w:jc w:val="right"/>
              <w:cnfStyle w:val="000000010000" w:firstRow="0" w:lastRow="0" w:firstColumn="0" w:lastColumn="0" w:oddVBand="0" w:evenVBand="0" w:oddHBand="0" w:evenHBand="1" w:firstRowFirstColumn="0" w:firstRowLastColumn="0" w:lastRowFirstColumn="0" w:lastRowLastColumn="0"/>
              <w:rPr>
                <w:rFonts w:cs="Arial"/>
                <w:b/>
                <w:color w:val="FFFFFF" w:themeColor="background1"/>
                <w:sz w:val="20"/>
                <w:szCs w:val="20"/>
              </w:rPr>
            </w:pPr>
            <w:r>
              <w:rPr>
                <w:rFonts w:cs="Arial"/>
                <w:b/>
                <w:color w:val="FFFFFF" w:themeColor="background1"/>
                <w:sz w:val="20"/>
                <w:szCs w:val="20"/>
              </w:rPr>
              <w:t>15 years and above</w:t>
            </w:r>
          </w:p>
        </w:tc>
      </w:tr>
      <w:tr w:rsidR="009504DD" w:rsidRPr="007C28D3" w:rsidTr="00226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tcBorders>
              <w:right w:val="single" w:sz="8" w:space="0" w:color="7BA0CD" w:themeColor="accent1" w:themeTint="BF"/>
            </w:tcBorders>
            <w:noWrap/>
            <w:hideMark/>
          </w:tcPr>
          <w:p w:rsidR="009504DD" w:rsidRPr="00132AB8" w:rsidRDefault="009504DD" w:rsidP="009504DD">
            <w:pPr>
              <w:rPr>
                <w:rFonts w:cs="Arial"/>
                <w:sz w:val="20"/>
                <w:szCs w:val="20"/>
              </w:rPr>
            </w:pPr>
            <w:r w:rsidRPr="00132AB8">
              <w:rPr>
                <w:rFonts w:cs="Arial"/>
                <w:sz w:val="20"/>
                <w:szCs w:val="20"/>
              </w:rPr>
              <w:t>Almonds</w:t>
            </w:r>
          </w:p>
        </w:tc>
        <w:tc>
          <w:tcPr>
            <w:tcW w:w="556" w:type="pct"/>
            <w:tcBorders>
              <w:left w:val="single" w:sz="8" w:space="0" w:color="7BA0CD" w:themeColor="accent1" w:themeTint="BF"/>
              <w:right w:val="single" w:sz="8" w:space="0" w:color="7BA0CD" w:themeColor="accent1" w:themeTint="BF"/>
            </w:tcBorders>
            <w:noWrap/>
            <w:vAlign w:val="center"/>
            <w:hideMark/>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c>
          <w:tcPr>
            <w:tcW w:w="591"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c>
          <w:tcPr>
            <w:tcW w:w="522"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P50</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c>
          <w:tcPr>
            <w:tcW w:w="557" w:type="pct"/>
            <w:tcBorders>
              <w:lef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r>
      <w:tr w:rsidR="009504DD" w:rsidRPr="007C28D3" w:rsidTr="00226F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tcBorders>
              <w:right w:val="single" w:sz="8" w:space="0" w:color="7BA0CD" w:themeColor="accent1" w:themeTint="BF"/>
            </w:tcBorders>
            <w:noWrap/>
            <w:hideMark/>
          </w:tcPr>
          <w:p w:rsidR="009504DD" w:rsidRPr="00132AB8" w:rsidRDefault="009504DD" w:rsidP="009504DD">
            <w:pPr>
              <w:rPr>
                <w:rFonts w:cs="Arial"/>
                <w:sz w:val="20"/>
                <w:szCs w:val="20"/>
              </w:rPr>
            </w:pPr>
            <w:r w:rsidRPr="00132AB8">
              <w:rPr>
                <w:rFonts w:cs="Arial"/>
                <w:sz w:val="20"/>
                <w:szCs w:val="20"/>
              </w:rPr>
              <w:t>Almond oil</w:t>
            </w:r>
          </w:p>
        </w:tc>
        <w:tc>
          <w:tcPr>
            <w:tcW w:w="556" w:type="pct"/>
            <w:tcBorders>
              <w:left w:val="single" w:sz="8" w:space="0" w:color="7BA0CD" w:themeColor="accent1" w:themeTint="BF"/>
              <w:right w:val="single" w:sz="8" w:space="0" w:color="7BA0CD" w:themeColor="accent1" w:themeTint="BF"/>
            </w:tcBorders>
            <w:noWrap/>
            <w:vAlign w:val="center"/>
            <w:hideMark/>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NC</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NC</w:t>
            </w:r>
          </w:p>
        </w:tc>
        <w:tc>
          <w:tcPr>
            <w:tcW w:w="591"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NC</w:t>
            </w:r>
          </w:p>
        </w:tc>
        <w:tc>
          <w:tcPr>
            <w:tcW w:w="522"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NC</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NC</w:t>
            </w:r>
          </w:p>
        </w:tc>
        <w:tc>
          <w:tcPr>
            <w:tcW w:w="557" w:type="pct"/>
            <w:tcBorders>
              <w:lef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NC</w:t>
            </w:r>
          </w:p>
        </w:tc>
      </w:tr>
      <w:tr w:rsidR="009504DD" w:rsidRPr="007C28D3" w:rsidTr="00226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tcBorders>
              <w:right w:val="single" w:sz="8" w:space="0" w:color="7BA0CD" w:themeColor="accent1" w:themeTint="BF"/>
            </w:tcBorders>
            <w:noWrap/>
          </w:tcPr>
          <w:p w:rsidR="009504DD" w:rsidRPr="00132AB8" w:rsidRDefault="009504DD" w:rsidP="009504DD">
            <w:pPr>
              <w:rPr>
                <w:rFonts w:cs="Arial"/>
                <w:sz w:val="20"/>
                <w:szCs w:val="20"/>
              </w:rPr>
            </w:pPr>
            <w:r w:rsidRPr="00132AB8">
              <w:rPr>
                <w:rFonts w:cs="Arial"/>
                <w:sz w:val="20"/>
                <w:szCs w:val="20"/>
              </w:rPr>
              <w:t>Apple juice</w:t>
            </w:r>
            <w:r w:rsidRPr="00132AB8">
              <w:rPr>
                <w:rFonts w:cs="Arial"/>
                <w:color w:val="000000"/>
                <w:sz w:val="20"/>
                <w:szCs w:val="20"/>
                <w:vertAlign w:val="superscript"/>
              </w:rPr>
              <w:t>a</w:t>
            </w:r>
          </w:p>
        </w:tc>
        <w:tc>
          <w:tcPr>
            <w:tcW w:w="556" w:type="pct"/>
            <w:tcBorders>
              <w:left w:val="single" w:sz="8" w:space="0" w:color="7BA0CD" w:themeColor="accent1" w:themeTint="BF"/>
              <w:right w:val="single" w:sz="8" w:space="0" w:color="7BA0CD" w:themeColor="accent1" w:themeTint="BF"/>
            </w:tcBorders>
            <w:noWrap/>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c>
          <w:tcPr>
            <w:tcW w:w="591"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c>
          <w:tcPr>
            <w:tcW w:w="522"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c>
          <w:tcPr>
            <w:tcW w:w="557" w:type="pct"/>
            <w:tcBorders>
              <w:lef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r>
      <w:tr w:rsidR="009504DD" w:rsidRPr="007C28D3" w:rsidTr="00226F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tcBorders>
              <w:right w:val="single" w:sz="8" w:space="0" w:color="7BA0CD" w:themeColor="accent1" w:themeTint="BF"/>
            </w:tcBorders>
            <w:noWrap/>
          </w:tcPr>
          <w:p w:rsidR="009504DD" w:rsidRPr="00132AB8" w:rsidRDefault="009504DD" w:rsidP="009504DD">
            <w:pPr>
              <w:rPr>
                <w:rFonts w:cs="Arial"/>
                <w:sz w:val="20"/>
                <w:szCs w:val="20"/>
              </w:rPr>
            </w:pPr>
            <w:r w:rsidRPr="00132AB8">
              <w:rPr>
                <w:rFonts w:cs="Arial"/>
                <w:sz w:val="20"/>
                <w:szCs w:val="20"/>
              </w:rPr>
              <w:t>Apple sauce</w:t>
            </w:r>
          </w:p>
        </w:tc>
        <w:tc>
          <w:tcPr>
            <w:tcW w:w="556" w:type="pct"/>
            <w:tcBorders>
              <w:left w:val="single" w:sz="8" w:space="0" w:color="7BA0CD" w:themeColor="accent1" w:themeTint="BF"/>
              <w:right w:val="single" w:sz="8" w:space="0" w:color="7BA0CD" w:themeColor="accent1" w:themeTint="BF"/>
            </w:tcBorders>
            <w:noWrap/>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NC</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NC</w:t>
            </w:r>
          </w:p>
        </w:tc>
        <w:tc>
          <w:tcPr>
            <w:tcW w:w="591"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P50</w:t>
            </w:r>
          </w:p>
        </w:tc>
        <w:tc>
          <w:tcPr>
            <w:tcW w:w="522"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P50</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P50</w:t>
            </w:r>
          </w:p>
        </w:tc>
        <w:tc>
          <w:tcPr>
            <w:tcW w:w="557" w:type="pct"/>
            <w:tcBorders>
              <w:lef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P50</w:t>
            </w:r>
          </w:p>
        </w:tc>
      </w:tr>
      <w:tr w:rsidR="009504DD" w:rsidRPr="007C28D3" w:rsidTr="00226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tcBorders>
              <w:right w:val="single" w:sz="8" w:space="0" w:color="7BA0CD" w:themeColor="accent1" w:themeTint="BF"/>
            </w:tcBorders>
            <w:noWrap/>
          </w:tcPr>
          <w:p w:rsidR="009504DD" w:rsidRPr="00132AB8" w:rsidRDefault="009504DD" w:rsidP="009504DD">
            <w:pPr>
              <w:rPr>
                <w:rFonts w:cs="Arial"/>
                <w:sz w:val="20"/>
                <w:szCs w:val="20"/>
              </w:rPr>
            </w:pPr>
            <w:r w:rsidRPr="00132AB8">
              <w:rPr>
                <w:rFonts w:cs="Arial"/>
                <w:sz w:val="20"/>
                <w:szCs w:val="20"/>
              </w:rPr>
              <w:t>Apple cider vinegar</w:t>
            </w:r>
          </w:p>
        </w:tc>
        <w:tc>
          <w:tcPr>
            <w:tcW w:w="556" w:type="pct"/>
            <w:tcBorders>
              <w:left w:val="single" w:sz="8" w:space="0" w:color="7BA0CD" w:themeColor="accent1" w:themeTint="BF"/>
              <w:right w:val="single" w:sz="8" w:space="0" w:color="7BA0CD" w:themeColor="accent1" w:themeTint="BF"/>
            </w:tcBorders>
            <w:noWrap/>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c>
          <w:tcPr>
            <w:tcW w:w="591"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c>
          <w:tcPr>
            <w:tcW w:w="522"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c>
          <w:tcPr>
            <w:tcW w:w="557" w:type="pct"/>
            <w:tcBorders>
              <w:lef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r>
      <w:tr w:rsidR="009504DD" w:rsidRPr="007C28D3" w:rsidTr="00226F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tcBorders>
              <w:right w:val="single" w:sz="8" w:space="0" w:color="7BA0CD" w:themeColor="accent1" w:themeTint="BF"/>
            </w:tcBorders>
            <w:noWrap/>
          </w:tcPr>
          <w:p w:rsidR="009504DD" w:rsidRPr="00132AB8" w:rsidRDefault="009504DD" w:rsidP="009504DD">
            <w:pPr>
              <w:rPr>
                <w:rFonts w:cs="Arial"/>
                <w:sz w:val="20"/>
                <w:szCs w:val="20"/>
              </w:rPr>
            </w:pPr>
            <w:r w:rsidRPr="00132AB8">
              <w:rPr>
                <w:rFonts w:cs="Arial"/>
                <w:sz w:val="20"/>
                <w:szCs w:val="20"/>
              </w:rPr>
              <w:t>Apricots, canned</w:t>
            </w:r>
          </w:p>
        </w:tc>
        <w:tc>
          <w:tcPr>
            <w:tcW w:w="556" w:type="pct"/>
            <w:tcBorders>
              <w:left w:val="single" w:sz="8" w:space="0" w:color="7BA0CD" w:themeColor="accent1" w:themeTint="BF"/>
              <w:right w:val="single" w:sz="8" w:space="0" w:color="7BA0CD" w:themeColor="accent1" w:themeTint="BF"/>
            </w:tcBorders>
            <w:noWrap/>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P97.5</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P97.5</w:t>
            </w:r>
          </w:p>
        </w:tc>
        <w:tc>
          <w:tcPr>
            <w:tcW w:w="591"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P97.5</w:t>
            </w:r>
          </w:p>
        </w:tc>
        <w:tc>
          <w:tcPr>
            <w:tcW w:w="522"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P50</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P97.5</w:t>
            </w:r>
          </w:p>
        </w:tc>
        <w:tc>
          <w:tcPr>
            <w:tcW w:w="557" w:type="pct"/>
            <w:tcBorders>
              <w:lef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P97.5</w:t>
            </w:r>
          </w:p>
        </w:tc>
      </w:tr>
      <w:tr w:rsidR="009504DD" w:rsidRPr="007C28D3" w:rsidTr="00226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tcBorders>
              <w:right w:val="single" w:sz="8" w:space="0" w:color="7BA0CD" w:themeColor="accent1" w:themeTint="BF"/>
            </w:tcBorders>
            <w:noWrap/>
          </w:tcPr>
          <w:p w:rsidR="009504DD" w:rsidRPr="00132AB8" w:rsidRDefault="009504DD" w:rsidP="009504DD">
            <w:pPr>
              <w:rPr>
                <w:rFonts w:cs="Arial"/>
                <w:sz w:val="20"/>
                <w:szCs w:val="20"/>
              </w:rPr>
            </w:pPr>
            <w:r w:rsidRPr="00132AB8">
              <w:rPr>
                <w:rFonts w:cs="Arial"/>
                <w:sz w:val="20"/>
                <w:szCs w:val="20"/>
              </w:rPr>
              <w:t>Apricot jam</w:t>
            </w:r>
          </w:p>
        </w:tc>
        <w:tc>
          <w:tcPr>
            <w:tcW w:w="556" w:type="pct"/>
            <w:tcBorders>
              <w:left w:val="single" w:sz="8" w:space="0" w:color="7BA0CD" w:themeColor="accent1" w:themeTint="BF"/>
              <w:right w:val="single" w:sz="8" w:space="0" w:color="7BA0CD" w:themeColor="accent1" w:themeTint="BF"/>
            </w:tcBorders>
            <w:noWrap/>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c>
          <w:tcPr>
            <w:tcW w:w="591"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c>
          <w:tcPr>
            <w:tcW w:w="522"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NC</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P50</w:t>
            </w:r>
          </w:p>
        </w:tc>
        <w:tc>
          <w:tcPr>
            <w:tcW w:w="557" w:type="pct"/>
            <w:tcBorders>
              <w:lef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P50</w:t>
            </w:r>
          </w:p>
        </w:tc>
      </w:tr>
      <w:tr w:rsidR="009504DD" w:rsidRPr="007C28D3" w:rsidTr="00226F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tcBorders>
              <w:right w:val="single" w:sz="8" w:space="0" w:color="7BA0CD" w:themeColor="accent1" w:themeTint="BF"/>
            </w:tcBorders>
            <w:noWrap/>
          </w:tcPr>
          <w:p w:rsidR="009504DD" w:rsidRPr="00132AB8" w:rsidRDefault="009504DD" w:rsidP="009504DD">
            <w:pPr>
              <w:rPr>
                <w:rFonts w:cs="Arial"/>
                <w:sz w:val="20"/>
                <w:szCs w:val="20"/>
              </w:rPr>
            </w:pPr>
            <w:r w:rsidRPr="00132AB8">
              <w:rPr>
                <w:rFonts w:cs="Arial"/>
                <w:sz w:val="20"/>
                <w:szCs w:val="20"/>
              </w:rPr>
              <w:t>Apricot nectar</w:t>
            </w:r>
          </w:p>
        </w:tc>
        <w:tc>
          <w:tcPr>
            <w:tcW w:w="556" w:type="pct"/>
            <w:tcBorders>
              <w:left w:val="single" w:sz="8" w:space="0" w:color="7BA0CD" w:themeColor="accent1" w:themeTint="BF"/>
              <w:right w:val="single" w:sz="8" w:space="0" w:color="7BA0CD" w:themeColor="accent1" w:themeTint="BF"/>
            </w:tcBorders>
            <w:noWrap/>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P50</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P50</w:t>
            </w:r>
          </w:p>
        </w:tc>
        <w:tc>
          <w:tcPr>
            <w:tcW w:w="591"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P50</w:t>
            </w:r>
          </w:p>
        </w:tc>
        <w:tc>
          <w:tcPr>
            <w:tcW w:w="522"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P50</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P97.5</w:t>
            </w:r>
          </w:p>
        </w:tc>
        <w:tc>
          <w:tcPr>
            <w:tcW w:w="557" w:type="pct"/>
            <w:tcBorders>
              <w:lef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NC</w:t>
            </w:r>
          </w:p>
        </w:tc>
      </w:tr>
      <w:tr w:rsidR="009504DD" w:rsidRPr="007C28D3" w:rsidTr="00226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tcBorders>
              <w:right w:val="single" w:sz="8" w:space="0" w:color="7BA0CD" w:themeColor="accent1" w:themeTint="BF"/>
            </w:tcBorders>
            <w:noWrap/>
          </w:tcPr>
          <w:p w:rsidR="009504DD" w:rsidRPr="00132AB8" w:rsidRDefault="009504DD" w:rsidP="009504DD">
            <w:pPr>
              <w:rPr>
                <w:rFonts w:cs="Arial"/>
                <w:sz w:val="20"/>
                <w:szCs w:val="20"/>
              </w:rPr>
            </w:pPr>
            <w:r w:rsidRPr="00132AB8">
              <w:rPr>
                <w:rFonts w:cs="Arial"/>
                <w:sz w:val="20"/>
                <w:szCs w:val="20"/>
              </w:rPr>
              <w:t>Bamboo shoots</w:t>
            </w:r>
            <w:r w:rsidR="00F2593B" w:rsidRPr="00F2593B">
              <w:rPr>
                <w:rFonts w:cs="Arial"/>
                <w:sz w:val="20"/>
                <w:szCs w:val="20"/>
                <w:vertAlign w:val="superscript"/>
              </w:rPr>
              <w:t>b</w:t>
            </w:r>
          </w:p>
        </w:tc>
        <w:tc>
          <w:tcPr>
            <w:tcW w:w="556" w:type="pct"/>
            <w:tcBorders>
              <w:left w:val="single" w:sz="8" w:space="0" w:color="7BA0CD" w:themeColor="accent1" w:themeTint="BF"/>
              <w:right w:val="single" w:sz="8" w:space="0" w:color="7BA0CD" w:themeColor="accent1" w:themeTint="BF"/>
            </w:tcBorders>
            <w:noWrap/>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c>
          <w:tcPr>
            <w:tcW w:w="591"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c>
          <w:tcPr>
            <w:tcW w:w="522"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P50</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c>
          <w:tcPr>
            <w:tcW w:w="557" w:type="pct"/>
            <w:tcBorders>
              <w:lef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P50</w:t>
            </w:r>
          </w:p>
        </w:tc>
      </w:tr>
      <w:tr w:rsidR="009504DD" w:rsidRPr="007C28D3" w:rsidTr="00226F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tcBorders>
              <w:right w:val="single" w:sz="8" w:space="0" w:color="7BA0CD" w:themeColor="accent1" w:themeTint="BF"/>
            </w:tcBorders>
            <w:noWrap/>
          </w:tcPr>
          <w:p w:rsidR="009504DD" w:rsidRPr="00132AB8" w:rsidRDefault="009504DD" w:rsidP="009504DD">
            <w:pPr>
              <w:rPr>
                <w:rFonts w:cs="Arial"/>
                <w:sz w:val="20"/>
                <w:szCs w:val="20"/>
              </w:rPr>
            </w:pPr>
            <w:r w:rsidRPr="00132AB8">
              <w:rPr>
                <w:rFonts w:cs="Arial"/>
                <w:sz w:val="20"/>
                <w:szCs w:val="20"/>
              </w:rPr>
              <w:t>Biscuits, amaretti</w:t>
            </w:r>
            <w:r w:rsidR="00F2593B" w:rsidRPr="00F2593B">
              <w:rPr>
                <w:rFonts w:cs="Arial"/>
                <w:sz w:val="20"/>
                <w:szCs w:val="20"/>
                <w:vertAlign w:val="superscript"/>
              </w:rPr>
              <w:t>d</w:t>
            </w:r>
          </w:p>
        </w:tc>
        <w:tc>
          <w:tcPr>
            <w:tcW w:w="556" w:type="pct"/>
            <w:tcBorders>
              <w:left w:val="single" w:sz="8" w:space="0" w:color="7BA0CD" w:themeColor="accent1" w:themeTint="BF"/>
              <w:right w:val="single" w:sz="8" w:space="0" w:color="7BA0CD" w:themeColor="accent1" w:themeTint="BF"/>
            </w:tcBorders>
            <w:noWrap/>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1 serve</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1 serve</w:t>
            </w:r>
          </w:p>
        </w:tc>
        <w:tc>
          <w:tcPr>
            <w:tcW w:w="591"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1 serve</w:t>
            </w:r>
          </w:p>
        </w:tc>
        <w:tc>
          <w:tcPr>
            <w:tcW w:w="522"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1 serve</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1 serve</w:t>
            </w:r>
          </w:p>
        </w:tc>
        <w:tc>
          <w:tcPr>
            <w:tcW w:w="557" w:type="pct"/>
            <w:tcBorders>
              <w:lef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1 serve</w:t>
            </w:r>
          </w:p>
        </w:tc>
      </w:tr>
      <w:tr w:rsidR="009504DD" w:rsidRPr="007C28D3" w:rsidTr="00226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tcBorders>
              <w:right w:val="single" w:sz="8" w:space="0" w:color="7BA0CD" w:themeColor="accent1" w:themeTint="BF"/>
            </w:tcBorders>
            <w:noWrap/>
          </w:tcPr>
          <w:p w:rsidR="009504DD" w:rsidRPr="00132AB8" w:rsidRDefault="009504DD" w:rsidP="009504DD">
            <w:pPr>
              <w:rPr>
                <w:rFonts w:cs="Arial"/>
                <w:sz w:val="20"/>
                <w:szCs w:val="20"/>
              </w:rPr>
            </w:pPr>
            <w:r w:rsidRPr="00132AB8">
              <w:rPr>
                <w:rFonts w:cs="Arial"/>
                <w:sz w:val="20"/>
                <w:szCs w:val="20"/>
              </w:rPr>
              <w:t>Biscuits, almond</w:t>
            </w:r>
            <w:r w:rsidR="00226FD1">
              <w:rPr>
                <w:rFonts w:cs="Arial"/>
                <w:sz w:val="20"/>
                <w:szCs w:val="20"/>
              </w:rPr>
              <w:t xml:space="preserve"> fingers</w:t>
            </w:r>
            <w:r w:rsidRPr="00132AB8">
              <w:rPr>
                <w:rFonts w:cs="Arial"/>
                <w:sz w:val="20"/>
                <w:szCs w:val="20"/>
              </w:rPr>
              <w:t>/apple fingers</w:t>
            </w:r>
            <w:r w:rsidR="00F2593B" w:rsidRPr="00F2593B">
              <w:rPr>
                <w:rFonts w:cs="Arial"/>
                <w:sz w:val="20"/>
                <w:szCs w:val="20"/>
                <w:vertAlign w:val="superscript"/>
              </w:rPr>
              <w:t>d</w:t>
            </w:r>
          </w:p>
        </w:tc>
        <w:tc>
          <w:tcPr>
            <w:tcW w:w="556" w:type="pct"/>
            <w:tcBorders>
              <w:left w:val="single" w:sz="8" w:space="0" w:color="7BA0CD" w:themeColor="accent1" w:themeTint="BF"/>
              <w:right w:val="single" w:sz="8" w:space="0" w:color="7BA0CD" w:themeColor="accent1" w:themeTint="BF"/>
            </w:tcBorders>
            <w:noWrap/>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1 serve</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1 serve</w:t>
            </w:r>
          </w:p>
        </w:tc>
        <w:tc>
          <w:tcPr>
            <w:tcW w:w="591"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1 serve</w:t>
            </w:r>
          </w:p>
        </w:tc>
        <w:tc>
          <w:tcPr>
            <w:tcW w:w="522"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1 serve</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1 serve</w:t>
            </w:r>
          </w:p>
        </w:tc>
        <w:tc>
          <w:tcPr>
            <w:tcW w:w="557" w:type="pct"/>
            <w:tcBorders>
              <w:lef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1 serve</w:t>
            </w:r>
          </w:p>
        </w:tc>
      </w:tr>
      <w:tr w:rsidR="009504DD" w:rsidRPr="007C28D3" w:rsidTr="00226F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tcBorders>
              <w:right w:val="single" w:sz="8" w:space="0" w:color="7BA0CD" w:themeColor="accent1" w:themeTint="BF"/>
            </w:tcBorders>
            <w:noWrap/>
          </w:tcPr>
          <w:p w:rsidR="009504DD" w:rsidRPr="00132AB8" w:rsidRDefault="009504DD" w:rsidP="009504DD">
            <w:pPr>
              <w:rPr>
                <w:rFonts w:cs="Arial"/>
                <w:sz w:val="20"/>
                <w:szCs w:val="20"/>
              </w:rPr>
            </w:pPr>
            <w:r w:rsidRPr="00132AB8">
              <w:rPr>
                <w:rFonts w:cs="Arial"/>
                <w:sz w:val="20"/>
                <w:szCs w:val="20"/>
              </w:rPr>
              <w:t>Bread containing linseed</w:t>
            </w:r>
          </w:p>
        </w:tc>
        <w:tc>
          <w:tcPr>
            <w:tcW w:w="556" w:type="pct"/>
            <w:tcBorders>
              <w:left w:val="single" w:sz="8" w:space="0" w:color="7BA0CD" w:themeColor="accent1" w:themeTint="BF"/>
              <w:right w:val="single" w:sz="8" w:space="0" w:color="7BA0CD" w:themeColor="accent1" w:themeTint="BF"/>
            </w:tcBorders>
            <w:noWrap/>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P97.5</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P97.5</w:t>
            </w:r>
          </w:p>
        </w:tc>
        <w:tc>
          <w:tcPr>
            <w:tcW w:w="591"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P97.5</w:t>
            </w:r>
          </w:p>
        </w:tc>
        <w:tc>
          <w:tcPr>
            <w:tcW w:w="522"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P97.5</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P97.5</w:t>
            </w:r>
          </w:p>
        </w:tc>
        <w:tc>
          <w:tcPr>
            <w:tcW w:w="557" w:type="pct"/>
            <w:tcBorders>
              <w:lef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P97.5</w:t>
            </w:r>
          </w:p>
        </w:tc>
      </w:tr>
      <w:tr w:rsidR="009504DD" w:rsidRPr="007C28D3" w:rsidTr="00226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tcBorders>
              <w:right w:val="single" w:sz="8" w:space="0" w:color="7BA0CD" w:themeColor="accent1" w:themeTint="BF"/>
            </w:tcBorders>
            <w:noWrap/>
          </w:tcPr>
          <w:p w:rsidR="009504DD" w:rsidRPr="00132AB8" w:rsidRDefault="009504DD" w:rsidP="009504DD">
            <w:pPr>
              <w:rPr>
                <w:rFonts w:cs="Arial"/>
                <w:sz w:val="20"/>
                <w:szCs w:val="20"/>
              </w:rPr>
            </w:pPr>
            <w:r w:rsidRPr="00132AB8">
              <w:rPr>
                <w:rFonts w:cs="Arial"/>
                <w:sz w:val="20"/>
                <w:szCs w:val="20"/>
              </w:rPr>
              <w:t>Butter beans</w:t>
            </w:r>
          </w:p>
        </w:tc>
        <w:tc>
          <w:tcPr>
            <w:tcW w:w="556" w:type="pct"/>
            <w:tcBorders>
              <w:left w:val="single" w:sz="8" w:space="0" w:color="7BA0CD" w:themeColor="accent1" w:themeTint="BF"/>
              <w:right w:val="single" w:sz="8" w:space="0" w:color="7BA0CD" w:themeColor="accent1" w:themeTint="BF"/>
            </w:tcBorders>
            <w:noWrap/>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P50</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P50</w:t>
            </w:r>
          </w:p>
        </w:tc>
        <w:tc>
          <w:tcPr>
            <w:tcW w:w="591"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P50</w:t>
            </w:r>
          </w:p>
        </w:tc>
        <w:tc>
          <w:tcPr>
            <w:tcW w:w="522"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P50</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P50</w:t>
            </w:r>
          </w:p>
        </w:tc>
        <w:tc>
          <w:tcPr>
            <w:tcW w:w="557" w:type="pct"/>
            <w:tcBorders>
              <w:lef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NC</w:t>
            </w:r>
          </w:p>
        </w:tc>
      </w:tr>
      <w:tr w:rsidR="009504DD" w:rsidRPr="007C28D3" w:rsidTr="00226F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tcBorders>
              <w:right w:val="single" w:sz="8" w:space="0" w:color="7BA0CD" w:themeColor="accent1" w:themeTint="BF"/>
            </w:tcBorders>
            <w:noWrap/>
          </w:tcPr>
          <w:p w:rsidR="009504DD" w:rsidRPr="00132AB8" w:rsidRDefault="009504DD" w:rsidP="009504DD">
            <w:pPr>
              <w:rPr>
                <w:rFonts w:cs="Arial"/>
                <w:sz w:val="20"/>
                <w:szCs w:val="20"/>
              </w:rPr>
            </w:pPr>
            <w:r w:rsidRPr="00132AB8">
              <w:rPr>
                <w:rFonts w:cs="Arial"/>
                <w:sz w:val="20"/>
                <w:szCs w:val="20"/>
              </w:rPr>
              <w:t>Cassava roots, cooked</w:t>
            </w:r>
            <w:r w:rsidR="00F2593B" w:rsidRPr="00966234">
              <w:rPr>
                <w:rFonts w:cs="Arial"/>
                <w:color w:val="000000"/>
                <w:sz w:val="20"/>
                <w:szCs w:val="20"/>
                <w:vertAlign w:val="superscript"/>
              </w:rPr>
              <w:t>c</w:t>
            </w:r>
          </w:p>
        </w:tc>
        <w:tc>
          <w:tcPr>
            <w:tcW w:w="556" w:type="pct"/>
            <w:tcBorders>
              <w:left w:val="single" w:sz="8" w:space="0" w:color="7BA0CD" w:themeColor="accent1" w:themeTint="BF"/>
              <w:right w:val="single" w:sz="8" w:space="0" w:color="7BA0CD" w:themeColor="accent1" w:themeTint="BF"/>
            </w:tcBorders>
            <w:noWrap/>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P50</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P97.5</w:t>
            </w:r>
          </w:p>
        </w:tc>
        <w:tc>
          <w:tcPr>
            <w:tcW w:w="591"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P50</w:t>
            </w:r>
          </w:p>
        </w:tc>
        <w:tc>
          <w:tcPr>
            <w:tcW w:w="522"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P50</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P50</w:t>
            </w:r>
          </w:p>
        </w:tc>
        <w:tc>
          <w:tcPr>
            <w:tcW w:w="557" w:type="pct"/>
            <w:tcBorders>
              <w:lef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P50</w:t>
            </w:r>
          </w:p>
        </w:tc>
      </w:tr>
      <w:tr w:rsidR="009504DD" w:rsidRPr="007C28D3" w:rsidTr="00226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tcBorders>
              <w:right w:val="single" w:sz="8" w:space="0" w:color="7BA0CD" w:themeColor="accent1" w:themeTint="BF"/>
            </w:tcBorders>
            <w:noWrap/>
          </w:tcPr>
          <w:p w:rsidR="009504DD" w:rsidRPr="00132AB8" w:rsidRDefault="009504DD" w:rsidP="009504DD">
            <w:pPr>
              <w:rPr>
                <w:rFonts w:cs="Arial"/>
                <w:sz w:val="20"/>
                <w:szCs w:val="20"/>
              </w:rPr>
            </w:pPr>
            <w:r w:rsidRPr="00132AB8">
              <w:rPr>
                <w:rFonts w:cs="Arial"/>
                <w:sz w:val="20"/>
                <w:szCs w:val="20"/>
              </w:rPr>
              <w:t>Cassava starch</w:t>
            </w:r>
          </w:p>
        </w:tc>
        <w:tc>
          <w:tcPr>
            <w:tcW w:w="556" w:type="pct"/>
            <w:tcBorders>
              <w:left w:val="single" w:sz="8" w:space="0" w:color="7BA0CD" w:themeColor="accent1" w:themeTint="BF"/>
              <w:right w:val="single" w:sz="8" w:space="0" w:color="7BA0CD" w:themeColor="accent1" w:themeTint="BF"/>
            </w:tcBorders>
            <w:noWrap/>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c>
          <w:tcPr>
            <w:tcW w:w="591"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P50</w:t>
            </w:r>
          </w:p>
        </w:tc>
        <w:tc>
          <w:tcPr>
            <w:tcW w:w="522"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c>
          <w:tcPr>
            <w:tcW w:w="557" w:type="pct"/>
            <w:tcBorders>
              <w:lef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P50</w:t>
            </w:r>
          </w:p>
        </w:tc>
      </w:tr>
      <w:tr w:rsidR="009504DD" w:rsidRPr="007C28D3" w:rsidTr="00226F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tcBorders>
              <w:right w:val="single" w:sz="8" w:space="0" w:color="7BA0CD" w:themeColor="accent1" w:themeTint="BF"/>
            </w:tcBorders>
            <w:noWrap/>
          </w:tcPr>
          <w:p w:rsidR="009504DD" w:rsidRPr="00132AB8" w:rsidRDefault="009504DD" w:rsidP="009504DD">
            <w:pPr>
              <w:rPr>
                <w:rFonts w:cs="Arial"/>
                <w:sz w:val="20"/>
                <w:szCs w:val="20"/>
              </w:rPr>
            </w:pPr>
            <w:r w:rsidRPr="00132AB8">
              <w:rPr>
                <w:rFonts w:cs="Arial"/>
                <w:sz w:val="20"/>
                <w:szCs w:val="20"/>
              </w:rPr>
              <w:t>Cherry brandy</w:t>
            </w:r>
          </w:p>
        </w:tc>
        <w:tc>
          <w:tcPr>
            <w:tcW w:w="556" w:type="pct"/>
            <w:tcBorders>
              <w:left w:val="single" w:sz="8" w:space="0" w:color="7BA0CD" w:themeColor="accent1" w:themeTint="BF"/>
              <w:right w:val="single" w:sz="8" w:space="0" w:color="7BA0CD" w:themeColor="accent1" w:themeTint="BF"/>
            </w:tcBorders>
            <w:noWrap/>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P50</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P97.5</w:t>
            </w:r>
          </w:p>
        </w:tc>
        <w:tc>
          <w:tcPr>
            <w:tcW w:w="591"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P97.5</w:t>
            </w:r>
          </w:p>
        </w:tc>
        <w:tc>
          <w:tcPr>
            <w:tcW w:w="522"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NC</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P50</w:t>
            </w:r>
          </w:p>
        </w:tc>
        <w:tc>
          <w:tcPr>
            <w:tcW w:w="557" w:type="pct"/>
            <w:tcBorders>
              <w:lef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P97.5</w:t>
            </w:r>
          </w:p>
        </w:tc>
      </w:tr>
      <w:tr w:rsidR="009504DD" w:rsidRPr="007C28D3" w:rsidTr="00226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tcBorders>
              <w:right w:val="single" w:sz="8" w:space="0" w:color="7BA0CD" w:themeColor="accent1" w:themeTint="BF"/>
            </w:tcBorders>
            <w:noWrap/>
          </w:tcPr>
          <w:p w:rsidR="009504DD" w:rsidRPr="00132AB8" w:rsidRDefault="009504DD" w:rsidP="009504DD">
            <w:pPr>
              <w:rPr>
                <w:rFonts w:cs="Arial"/>
                <w:sz w:val="20"/>
                <w:szCs w:val="20"/>
              </w:rPr>
            </w:pPr>
            <w:r w:rsidRPr="00132AB8">
              <w:rPr>
                <w:rFonts w:cs="Arial"/>
                <w:sz w:val="20"/>
                <w:szCs w:val="20"/>
              </w:rPr>
              <w:t>Lima beans</w:t>
            </w:r>
          </w:p>
        </w:tc>
        <w:tc>
          <w:tcPr>
            <w:tcW w:w="556" w:type="pct"/>
            <w:tcBorders>
              <w:left w:val="single" w:sz="8" w:space="0" w:color="7BA0CD" w:themeColor="accent1" w:themeTint="BF"/>
              <w:right w:val="single" w:sz="8" w:space="0" w:color="7BA0CD" w:themeColor="accent1" w:themeTint="BF"/>
            </w:tcBorders>
            <w:noWrap/>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P50</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P50</w:t>
            </w:r>
          </w:p>
        </w:tc>
        <w:tc>
          <w:tcPr>
            <w:tcW w:w="591"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c>
          <w:tcPr>
            <w:tcW w:w="522"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NC</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NC</w:t>
            </w:r>
          </w:p>
        </w:tc>
        <w:tc>
          <w:tcPr>
            <w:tcW w:w="557" w:type="pct"/>
            <w:tcBorders>
              <w:lef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P50</w:t>
            </w:r>
          </w:p>
        </w:tc>
      </w:tr>
      <w:tr w:rsidR="009504DD" w:rsidRPr="007C28D3" w:rsidTr="00226F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tcBorders>
              <w:right w:val="single" w:sz="8" w:space="0" w:color="7BA0CD" w:themeColor="accent1" w:themeTint="BF"/>
            </w:tcBorders>
            <w:noWrap/>
          </w:tcPr>
          <w:p w:rsidR="009504DD" w:rsidRPr="00132AB8" w:rsidRDefault="009504DD" w:rsidP="009504DD">
            <w:pPr>
              <w:rPr>
                <w:rFonts w:cs="Arial"/>
                <w:sz w:val="20"/>
                <w:szCs w:val="20"/>
              </w:rPr>
            </w:pPr>
            <w:r w:rsidRPr="00132AB8">
              <w:rPr>
                <w:rFonts w:cs="Arial"/>
                <w:sz w:val="20"/>
                <w:szCs w:val="20"/>
              </w:rPr>
              <w:t>Linseeds</w:t>
            </w:r>
          </w:p>
        </w:tc>
        <w:tc>
          <w:tcPr>
            <w:tcW w:w="556" w:type="pct"/>
            <w:tcBorders>
              <w:left w:val="single" w:sz="8" w:space="0" w:color="7BA0CD" w:themeColor="accent1" w:themeTint="BF"/>
              <w:right w:val="single" w:sz="8" w:space="0" w:color="7BA0CD" w:themeColor="accent1" w:themeTint="BF"/>
            </w:tcBorders>
            <w:noWrap/>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P97.5</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P97.5</w:t>
            </w:r>
          </w:p>
        </w:tc>
        <w:tc>
          <w:tcPr>
            <w:tcW w:w="591"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NC</w:t>
            </w:r>
          </w:p>
        </w:tc>
        <w:tc>
          <w:tcPr>
            <w:tcW w:w="522"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P97.5</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P97.5</w:t>
            </w:r>
          </w:p>
        </w:tc>
        <w:tc>
          <w:tcPr>
            <w:tcW w:w="557" w:type="pct"/>
            <w:tcBorders>
              <w:lef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NC</w:t>
            </w:r>
          </w:p>
        </w:tc>
      </w:tr>
      <w:tr w:rsidR="009504DD" w:rsidRPr="007C28D3" w:rsidTr="00226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tcBorders>
              <w:right w:val="single" w:sz="8" w:space="0" w:color="7BA0CD" w:themeColor="accent1" w:themeTint="BF"/>
            </w:tcBorders>
            <w:noWrap/>
          </w:tcPr>
          <w:p w:rsidR="009504DD" w:rsidRPr="00132AB8" w:rsidRDefault="009504DD" w:rsidP="009504DD">
            <w:pPr>
              <w:rPr>
                <w:rFonts w:cs="Arial"/>
                <w:sz w:val="20"/>
                <w:szCs w:val="20"/>
              </w:rPr>
            </w:pPr>
            <w:r w:rsidRPr="00132AB8">
              <w:rPr>
                <w:rFonts w:cs="Arial"/>
                <w:sz w:val="20"/>
                <w:szCs w:val="20"/>
              </w:rPr>
              <w:t>Linseed oil</w:t>
            </w:r>
          </w:p>
        </w:tc>
        <w:tc>
          <w:tcPr>
            <w:tcW w:w="556" w:type="pct"/>
            <w:tcBorders>
              <w:left w:val="single" w:sz="8" w:space="0" w:color="7BA0CD" w:themeColor="accent1" w:themeTint="BF"/>
              <w:right w:val="single" w:sz="8" w:space="0" w:color="7BA0CD" w:themeColor="accent1" w:themeTint="BF"/>
            </w:tcBorders>
            <w:noWrap/>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P50</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P50</w:t>
            </w:r>
          </w:p>
        </w:tc>
        <w:tc>
          <w:tcPr>
            <w:tcW w:w="591"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NC</w:t>
            </w:r>
          </w:p>
        </w:tc>
        <w:tc>
          <w:tcPr>
            <w:tcW w:w="522"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NC</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NC</w:t>
            </w:r>
          </w:p>
        </w:tc>
        <w:tc>
          <w:tcPr>
            <w:tcW w:w="557" w:type="pct"/>
            <w:tcBorders>
              <w:lef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NC</w:t>
            </w:r>
          </w:p>
        </w:tc>
      </w:tr>
      <w:tr w:rsidR="009504DD" w:rsidRPr="007C28D3" w:rsidTr="00226F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tcBorders>
              <w:right w:val="single" w:sz="8" w:space="0" w:color="7BA0CD" w:themeColor="accent1" w:themeTint="BF"/>
            </w:tcBorders>
            <w:noWrap/>
            <w:hideMark/>
          </w:tcPr>
          <w:p w:rsidR="009504DD" w:rsidRPr="00132AB8" w:rsidRDefault="009504DD" w:rsidP="009504DD">
            <w:pPr>
              <w:rPr>
                <w:rFonts w:cs="Arial"/>
                <w:sz w:val="20"/>
                <w:szCs w:val="20"/>
              </w:rPr>
            </w:pPr>
            <w:r w:rsidRPr="00132AB8">
              <w:rPr>
                <w:rFonts w:cs="Arial"/>
                <w:sz w:val="20"/>
                <w:szCs w:val="20"/>
              </w:rPr>
              <w:t>LSA mix</w:t>
            </w:r>
          </w:p>
        </w:tc>
        <w:tc>
          <w:tcPr>
            <w:tcW w:w="556" w:type="pct"/>
            <w:tcBorders>
              <w:left w:val="single" w:sz="8" w:space="0" w:color="7BA0CD" w:themeColor="accent1" w:themeTint="BF"/>
              <w:right w:val="single" w:sz="8" w:space="0" w:color="7BA0CD" w:themeColor="accent1" w:themeTint="BF"/>
            </w:tcBorders>
            <w:noWrap/>
            <w:vAlign w:val="center"/>
            <w:hideMark/>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P50</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P50</w:t>
            </w:r>
          </w:p>
        </w:tc>
        <w:tc>
          <w:tcPr>
            <w:tcW w:w="591"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NC</w:t>
            </w:r>
          </w:p>
        </w:tc>
        <w:tc>
          <w:tcPr>
            <w:tcW w:w="522"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NC</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NC</w:t>
            </w:r>
          </w:p>
        </w:tc>
        <w:tc>
          <w:tcPr>
            <w:tcW w:w="557" w:type="pct"/>
            <w:tcBorders>
              <w:lef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NC</w:t>
            </w:r>
          </w:p>
        </w:tc>
      </w:tr>
      <w:tr w:rsidR="009504DD" w:rsidRPr="007C28D3" w:rsidTr="00226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tcBorders>
              <w:right w:val="single" w:sz="8" w:space="0" w:color="7BA0CD" w:themeColor="accent1" w:themeTint="BF"/>
            </w:tcBorders>
            <w:noWrap/>
            <w:hideMark/>
          </w:tcPr>
          <w:p w:rsidR="009504DD" w:rsidRPr="00132AB8" w:rsidRDefault="009504DD" w:rsidP="009504DD">
            <w:pPr>
              <w:rPr>
                <w:rFonts w:cs="Arial"/>
                <w:sz w:val="20"/>
                <w:szCs w:val="20"/>
              </w:rPr>
            </w:pPr>
            <w:r w:rsidRPr="00132AB8">
              <w:rPr>
                <w:rFonts w:cs="Arial"/>
                <w:sz w:val="20"/>
                <w:szCs w:val="20"/>
              </w:rPr>
              <w:t>Marzipan</w:t>
            </w:r>
          </w:p>
        </w:tc>
        <w:tc>
          <w:tcPr>
            <w:tcW w:w="556" w:type="pct"/>
            <w:tcBorders>
              <w:left w:val="single" w:sz="8" w:space="0" w:color="7BA0CD" w:themeColor="accent1" w:themeTint="BF"/>
              <w:right w:val="single" w:sz="8" w:space="0" w:color="7BA0CD" w:themeColor="accent1" w:themeTint="BF"/>
            </w:tcBorders>
            <w:noWrap/>
            <w:vAlign w:val="center"/>
            <w:hideMark/>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NC</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P50</w:t>
            </w:r>
          </w:p>
        </w:tc>
        <w:tc>
          <w:tcPr>
            <w:tcW w:w="591"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P50</w:t>
            </w:r>
          </w:p>
        </w:tc>
        <w:tc>
          <w:tcPr>
            <w:tcW w:w="522"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NC</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NC</w:t>
            </w:r>
          </w:p>
        </w:tc>
        <w:tc>
          <w:tcPr>
            <w:tcW w:w="557" w:type="pct"/>
            <w:tcBorders>
              <w:lef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NC</w:t>
            </w:r>
          </w:p>
        </w:tc>
      </w:tr>
      <w:tr w:rsidR="009504DD" w:rsidRPr="007C28D3" w:rsidTr="00226F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tcBorders>
              <w:right w:val="single" w:sz="8" w:space="0" w:color="7BA0CD" w:themeColor="accent1" w:themeTint="BF"/>
            </w:tcBorders>
            <w:noWrap/>
            <w:hideMark/>
          </w:tcPr>
          <w:p w:rsidR="009504DD" w:rsidRPr="00132AB8" w:rsidRDefault="009504DD" w:rsidP="009504DD">
            <w:pPr>
              <w:rPr>
                <w:rFonts w:cs="Arial"/>
                <w:sz w:val="20"/>
                <w:szCs w:val="20"/>
              </w:rPr>
            </w:pPr>
            <w:r w:rsidRPr="00132AB8">
              <w:rPr>
                <w:rFonts w:cs="Arial"/>
                <w:sz w:val="20"/>
                <w:szCs w:val="20"/>
              </w:rPr>
              <w:t>Passionfruit</w:t>
            </w:r>
          </w:p>
        </w:tc>
        <w:tc>
          <w:tcPr>
            <w:tcW w:w="556" w:type="pct"/>
            <w:tcBorders>
              <w:left w:val="single" w:sz="8" w:space="0" w:color="7BA0CD" w:themeColor="accent1" w:themeTint="BF"/>
              <w:right w:val="single" w:sz="8" w:space="0" w:color="7BA0CD" w:themeColor="accent1" w:themeTint="BF"/>
            </w:tcBorders>
            <w:noWrap/>
            <w:vAlign w:val="center"/>
            <w:hideMark/>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P97.5</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P97.5</w:t>
            </w:r>
          </w:p>
        </w:tc>
        <w:tc>
          <w:tcPr>
            <w:tcW w:w="591"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P97.5</w:t>
            </w:r>
          </w:p>
        </w:tc>
        <w:tc>
          <w:tcPr>
            <w:tcW w:w="522"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P97.5</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P97.5</w:t>
            </w:r>
          </w:p>
        </w:tc>
        <w:tc>
          <w:tcPr>
            <w:tcW w:w="557" w:type="pct"/>
            <w:tcBorders>
              <w:lef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P97.5</w:t>
            </w:r>
          </w:p>
        </w:tc>
      </w:tr>
      <w:tr w:rsidR="009504DD" w:rsidRPr="007C28D3" w:rsidTr="00226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tcBorders>
              <w:right w:val="single" w:sz="8" w:space="0" w:color="7BA0CD" w:themeColor="accent1" w:themeTint="BF"/>
            </w:tcBorders>
            <w:noWrap/>
            <w:hideMark/>
          </w:tcPr>
          <w:p w:rsidR="009504DD" w:rsidRPr="00132AB8" w:rsidRDefault="009504DD" w:rsidP="009504DD">
            <w:pPr>
              <w:rPr>
                <w:rFonts w:cs="Arial"/>
                <w:sz w:val="20"/>
                <w:szCs w:val="20"/>
              </w:rPr>
            </w:pPr>
            <w:r w:rsidRPr="00132AB8">
              <w:rPr>
                <w:rFonts w:cs="Arial"/>
                <w:sz w:val="20"/>
                <w:szCs w:val="20"/>
              </w:rPr>
              <w:t>Prune juice</w:t>
            </w:r>
          </w:p>
        </w:tc>
        <w:tc>
          <w:tcPr>
            <w:tcW w:w="556" w:type="pct"/>
            <w:tcBorders>
              <w:left w:val="single" w:sz="8" w:space="0" w:color="7BA0CD" w:themeColor="accent1" w:themeTint="BF"/>
              <w:right w:val="single" w:sz="8" w:space="0" w:color="7BA0CD" w:themeColor="accent1" w:themeTint="BF"/>
            </w:tcBorders>
            <w:noWrap/>
            <w:vAlign w:val="center"/>
            <w:hideMark/>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P50</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P50</w:t>
            </w:r>
          </w:p>
        </w:tc>
        <w:tc>
          <w:tcPr>
            <w:tcW w:w="591"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P50</w:t>
            </w:r>
          </w:p>
        </w:tc>
        <w:tc>
          <w:tcPr>
            <w:tcW w:w="522"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NC</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NC</w:t>
            </w:r>
          </w:p>
        </w:tc>
        <w:tc>
          <w:tcPr>
            <w:tcW w:w="557" w:type="pct"/>
            <w:tcBorders>
              <w:lef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P50</w:t>
            </w:r>
          </w:p>
        </w:tc>
      </w:tr>
      <w:tr w:rsidR="009504DD" w:rsidRPr="007C28D3" w:rsidTr="00226F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tcBorders>
              <w:right w:val="single" w:sz="8" w:space="0" w:color="7BA0CD" w:themeColor="accent1" w:themeTint="BF"/>
            </w:tcBorders>
            <w:noWrap/>
            <w:hideMark/>
          </w:tcPr>
          <w:p w:rsidR="009504DD" w:rsidRPr="00132AB8" w:rsidRDefault="009504DD" w:rsidP="009504DD">
            <w:pPr>
              <w:rPr>
                <w:rFonts w:cs="Arial"/>
                <w:sz w:val="20"/>
                <w:szCs w:val="20"/>
              </w:rPr>
            </w:pPr>
            <w:r w:rsidRPr="00132AB8">
              <w:rPr>
                <w:rFonts w:cs="Arial"/>
                <w:sz w:val="20"/>
                <w:szCs w:val="20"/>
              </w:rPr>
              <w:t>Pumpkin seeds</w:t>
            </w:r>
          </w:p>
        </w:tc>
        <w:tc>
          <w:tcPr>
            <w:tcW w:w="556" w:type="pct"/>
            <w:tcBorders>
              <w:left w:val="single" w:sz="8" w:space="0" w:color="7BA0CD" w:themeColor="accent1" w:themeTint="BF"/>
              <w:right w:val="single" w:sz="8" w:space="0" w:color="7BA0CD" w:themeColor="accent1" w:themeTint="BF"/>
            </w:tcBorders>
            <w:noWrap/>
            <w:vAlign w:val="center"/>
            <w:hideMark/>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P50</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P50</w:t>
            </w:r>
          </w:p>
        </w:tc>
        <w:tc>
          <w:tcPr>
            <w:tcW w:w="591"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NC</w:t>
            </w:r>
          </w:p>
        </w:tc>
        <w:tc>
          <w:tcPr>
            <w:tcW w:w="522"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P50</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P50</w:t>
            </w:r>
          </w:p>
        </w:tc>
        <w:tc>
          <w:tcPr>
            <w:tcW w:w="557" w:type="pct"/>
            <w:tcBorders>
              <w:lef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NC</w:t>
            </w:r>
          </w:p>
        </w:tc>
      </w:tr>
      <w:tr w:rsidR="009504DD" w:rsidRPr="007C28D3" w:rsidTr="00226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tcBorders>
              <w:right w:val="single" w:sz="8" w:space="0" w:color="7BA0CD" w:themeColor="accent1" w:themeTint="BF"/>
            </w:tcBorders>
            <w:noWrap/>
            <w:hideMark/>
          </w:tcPr>
          <w:p w:rsidR="009504DD" w:rsidRPr="00132AB8" w:rsidRDefault="009504DD" w:rsidP="009504DD">
            <w:pPr>
              <w:rPr>
                <w:rFonts w:cs="Arial"/>
                <w:sz w:val="20"/>
                <w:szCs w:val="20"/>
              </w:rPr>
            </w:pPr>
            <w:r w:rsidRPr="00132AB8">
              <w:rPr>
                <w:rFonts w:cs="Arial"/>
                <w:sz w:val="20"/>
                <w:szCs w:val="20"/>
              </w:rPr>
              <w:t>Spinach</w:t>
            </w:r>
          </w:p>
        </w:tc>
        <w:tc>
          <w:tcPr>
            <w:tcW w:w="556" w:type="pct"/>
            <w:tcBorders>
              <w:left w:val="single" w:sz="8" w:space="0" w:color="7BA0CD" w:themeColor="accent1" w:themeTint="BF"/>
              <w:right w:val="single" w:sz="8" w:space="0" w:color="7BA0CD" w:themeColor="accent1" w:themeTint="BF"/>
            </w:tcBorders>
            <w:noWrap/>
            <w:vAlign w:val="center"/>
            <w:hideMark/>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c>
          <w:tcPr>
            <w:tcW w:w="591"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c>
          <w:tcPr>
            <w:tcW w:w="522"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P50</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c>
          <w:tcPr>
            <w:tcW w:w="557" w:type="pct"/>
            <w:tcBorders>
              <w:lef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P97.5</w:t>
            </w:r>
          </w:p>
        </w:tc>
      </w:tr>
      <w:tr w:rsidR="009504DD" w:rsidRPr="007C28D3" w:rsidTr="00226F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tcBorders>
              <w:right w:val="single" w:sz="8" w:space="0" w:color="7BA0CD" w:themeColor="accent1" w:themeTint="BF"/>
            </w:tcBorders>
            <w:noWrap/>
            <w:hideMark/>
          </w:tcPr>
          <w:p w:rsidR="009504DD" w:rsidRPr="00132AB8" w:rsidRDefault="009504DD" w:rsidP="009504DD">
            <w:pPr>
              <w:rPr>
                <w:rFonts w:cs="Arial"/>
                <w:sz w:val="20"/>
                <w:szCs w:val="20"/>
              </w:rPr>
            </w:pPr>
            <w:r w:rsidRPr="00132AB8">
              <w:rPr>
                <w:rFonts w:cs="Arial"/>
                <w:sz w:val="20"/>
                <w:szCs w:val="20"/>
              </w:rPr>
              <w:t>Sunflower seeds</w:t>
            </w:r>
          </w:p>
        </w:tc>
        <w:tc>
          <w:tcPr>
            <w:tcW w:w="556" w:type="pct"/>
            <w:tcBorders>
              <w:left w:val="single" w:sz="8" w:space="0" w:color="7BA0CD" w:themeColor="accent1" w:themeTint="BF"/>
              <w:right w:val="single" w:sz="8" w:space="0" w:color="7BA0CD" w:themeColor="accent1" w:themeTint="BF"/>
            </w:tcBorders>
            <w:noWrap/>
            <w:vAlign w:val="center"/>
            <w:hideMark/>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P97.5</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P97.5</w:t>
            </w:r>
          </w:p>
        </w:tc>
        <w:tc>
          <w:tcPr>
            <w:tcW w:w="591"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P97.5</w:t>
            </w:r>
          </w:p>
        </w:tc>
        <w:tc>
          <w:tcPr>
            <w:tcW w:w="522"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P97.5</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P97.5</w:t>
            </w:r>
          </w:p>
        </w:tc>
        <w:tc>
          <w:tcPr>
            <w:tcW w:w="557" w:type="pct"/>
            <w:tcBorders>
              <w:lef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P97.5</w:t>
            </w:r>
          </w:p>
        </w:tc>
      </w:tr>
      <w:tr w:rsidR="009504DD" w:rsidRPr="007C28D3" w:rsidTr="00226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tcBorders>
              <w:right w:val="single" w:sz="8" w:space="0" w:color="7BA0CD" w:themeColor="accent1" w:themeTint="BF"/>
            </w:tcBorders>
            <w:noWrap/>
            <w:hideMark/>
          </w:tcPr>
          <w:p w:rsidR="009504DD" w:rsidRPr="00132AB8" w:rsidRDefault="009504DD" w:rsidP="009504DD">
            <w:pPr>
              <w:rPr>
                <w:rFonts w:cs="Arial"/>
                <w:sz w:val="20"/>
                <w:szCs w:val="20"/>
              </w:rPr>
            </w:pPr>
            <w:r w:rsidRPr="00132AB8">
              <w:rPr>
                <w:rFonts w:cs="Arial"/>
                <w:sz w:val="20"/>
                <w:szCs w:val="20"/>
              </w:rPr>
              <w:t>Taro, in mixed foods</w:t>
            </w:r>
          </w:p>
        </w:tc>
        <w:tc>
          <w:tcPr>
            <w:tcW w:w="556" w:type="pct"/>
            <w:tcBorders>
              <w:left w:val="single" w:sz="8" w:space="0" w:color="7BA0CD" w:themeColor="accent1" w:themeTint="BF"/>
              <w:right w:val="single" w:sz="8" w:space="0" w:color="7BA0CD" w:themeColor="accent1" w:themeTint="BF"/>
            </w:tcBorders>
            <w:noWrap/>
            <w:vAlign w:val="center"/>
            <w:hideMark/>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NC</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NC</w:t>
            </w:r>
          </w:p>
        </w:tc>
        <w:tc>
          <w:tcPr>
            <w:tcW w:w="591"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NC</w:t>
            </w:r>
          </w:p>
        </w:tc>
        <w:tc>
          <w:tcPr>
            <w:tcW w:w="522"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P50</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P50</w:t>
            </w:r>
          </w:p>
        </w:tc>
        <w:tc>
          <w:tcPr>
            <w:tcW w:w="557" w:type="pct"/>
            <w:tcBorders>
              <w:lef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P50</w:t>
            </w:r>
          </w:p>
        </w:tc>
      </w:tr>
      <w:tr w:rsidR="009504DD" w:rsidRPr="007C28D3" w:rsidTr="00226F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tcBorders>
              <w:right w:val="single" w:sz="8" w:space="0" w:color="7BA0CD" w:themeColor="accent1" w:themeTint="BF"/>
            </w:tcBorders>
            <w:noWrap/>
            <w:hideMark/>
          </w:tcPr>
          <w:p w:rsidR="009504DD" w:rsidRPr="00132AB8" w:rsidRDefault="009504DD" w:rsidP="009504DD">
            <w:pPr>
              <w:rPr>
                <w:rFonts w:cs="Arial"/>
                <w:sz w:val="20"/>
                <w:szCs w:val="20"/>
              </w:rPr>
            </w:pPr>
            <w:r w:rsidRPr="00132AB8">
              <w:rPr>
                <w:rFonts w:cs="Arial"/>
                <w:sz w:val="20"/>
                <w:szCs w:val="20"/>
              </w:rPr>
              <w:t>Taro, leaves only</w:t>
            </w:r>
          </w:p>
        </w:tc>
        <w:tc>
          <w:tcPr>
            <w:tcW w:w="556" w:type="pct"/>
            <w:tcBorders>
              <w:left w:val="single" w:sz="8" w:space="0" w:color="7BA0CD" w:themeColor="accent1" w:themeTint="BF"/>
              <w:right w:val="single" w:sz="8" w:space="0" w:color="7BA0CD" w:themeColor="accent1" w:themeTint="BF"/>
            </w:tcBorders>
            <w:noWrap/>
            <w:vAlign w:val="center"/>
            <w:hideMark/>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NC</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NC</w:t>
            </w:r>
          </w:p>
        </w:tc>
        <w:tc>
          <w:tcPr>
            <w:tcW w:w="591"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NC</w:t>
            </w:r>
          </w:p>
        </w:tc>
        <w:tc>
          <w:tcPr>
            <w:tcW w:w="522"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P50</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P50</w:t>
            </w:r>
          </w:p>
        </w:tc>
        <w:tc>
          <w:tcPr>
            <w:tcW w:w="557" w:type="pct"/>
            <w:tcBorders>
              <w:left w:val="single" w:sz="8" w:space="0" w:color="7BA0CD" w:themeColor="accent1" w:themeTint="BF"/>
            </w:tcBorders>
            <w:vAlign w:val="center"/>
          </w:tcPr>
          <w:p w:rsidR="009504DD" w:rsidRPr="007C28D3" w:rsidRDefault="009504DD" w:rsidP="009504DD">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7C28D3">
              <w:rPr>
                <w:rFonts w:cs="Arial"/>
                <w:sz w:val="20"/>
                <w:szCs w:val="20"/>
              </w:rPr>
              <w:t>P50</w:t>
            </w:r>
          </w:p>
        </w:tc>
      </w:tr>
      <w:tr w:rsidR="009504DD" w:rsidRPr="007C28D3" w:rsidTr="00226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tcBorders>
              <w:right w:val="single" w:sz="8" w:space="0" w:color="7BA0CD" w:themeColor="accent1" w:themeTint="BF"/>
            </w:tcBorders>
            <w:noWrap/>
            <w:hideMark/>
          </w:tcPr>
          <w:p w:rsidR="009504DD" w:rsidRPr="00132AB8" w:rsidRDefault="009504DD" w:rsidP="009504DD">
            <w:pPr>
              <w:rPr>
                <w:rFonts w:cs="Arial"/>
                <w:sz w:val="20"/>
                <w:szCs w:val="20"/>
              </w:rPr>
            </w:pPr>
            <w:r w:rsidRPr="00132AB8">
              <w:rPr>
                <w:rFonts w:cs="Arial"/>
                <w:sz w:val="20"/>
                <w:szCs w:val="20"/>
              </w:rPr>
              <w:t>Vine leaves, stuffed, canned</w:t>
            </w:r>
          </w:p>
        </w:tc>
        <w:tc>
          <w:tcPr>
            <w:tcW w:w="556" w:type="pct"/>
            <w:tcBorders>
              <w:left w:val="single" w:sz="8" w:space="0" w:color="7BA0CD" w:themeColor="accent1" w:themeTint="BF"/>
              <w:right w:val="single" w:sz="8" w:space="0" w:color="7BA0CD" w:themeColor="accent1" w:themeTint="BF"/>
            </w:tcBorders>
            <w:noWrap/>
            <w:vAlign w:val="center"/>
            <w:hideMark/>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P50</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P50</w:t>
            </w:r>
          </w:p>
        </w:tc>
        <w:tc>
          <w:tcPr>
            <w:tcW w:w="591"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P50</w:t>
            </w:r>
          </w:p>
        </w:tc>
        <w:tc>
          <w:tcPr>
            <w:tcW w:w="522"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NC</w:t>
            </w:r>
          </w:p>
        </w:tc>
        <w:tc>
          <w:tcPr>
            <w:tcW w:w="557" w:type="pct"/>
            <w:tcBorders>
              <w:left w:val="single" w:sz="8" w:space="0" w:color="7BA0CD" w:themeColor="accent1" w:themeTint="BF"/>
              <w:righ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NC</w:t>
            </w:r>
          </w:p>
        </w:tc>
        <w:tc>
          <w:tcPr>
            <w:tcW w:w="557" w:type="pct"/>
            <w:tcBorders>
              <w:left w:val="single" w:sz="8" w:space="0" w:color="7BA0CD" w:themeColor="accent1" w:themeTint="BF"/>
            </w:tcBorders>
            <w:vAlign w:val="center"/>
          </w:tcPr>
          <w:p w:rsidR="009504DD" w:rsidRPr="007C28D3" w:rsidRDefault="009504DD" w:rsidP="009504D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C28D3">
              <w:rPr>
                <w:rFonts w:cs="Arial"/>
                <w:sz w:val="20"/>
                <w:szCs w:val="20"/>
              </w:rPr>
              <w:t>NC</w:t>
            </w:r>
          </w:p>
        </w:tc>
      </w:tr>
    </w:tbl>
    <w:p w:rsidR="00F2593B" w:rsidRDefault="00F2593B" w:rsidP="00F25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0644A3">
        <w:rPr>
          <w:rFonts w:cs="Arial"/>
          <w:sz w:val="18"/>
          <w:szCs w:val="18"/>
        </w:rPr>
        <w:t>NC = not consumed.</w:t>
      </w:r>
    </w:p>
    <w:p w:rsidR="00F2593B" w:rsidRPr="0036079D" w:rsidRDefault="00F2593B" w:rsidP="00F25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18"/>
          <w:szCs w:val="18"/>
        </w:rPr>
      </w:pPr>
      <w:r w:rsidRPr="0036079D">
        <w:rPr>
          <w:rFonts w:cs="Arial"/>
          <w:sz w:val="18"/>
          <w:szCs w:val="18"/>
          <w:vertAlign w:val="superscript"/>
        </w:rPr>
        <w:t xml:space="preserve">a </w:t>
      </w:r>
      <w:r w:rsidRPr="0036079D">
        <w:rPr>
          <w:rFonts w:cs="Arial"/>
          <w:color w:val="000000"/>
          <w:sz w:val="18"/>
          <w:szCs w:val="18"/>
        </w:rPr>
        <w:t>Survey 2, EU method.</w:t>
      </w:r>
    </w:p>
    <w:p w:rsidR="00F2593B" w:rsidRPr="0036079D" w:rsidRDefault="00F2593B" w:rsidP="00F25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36079D">
        <w:rPr>
          <w:rFonts w:cs="Arial"/>
          <w:color w:val="000000"/>
          <w:sz w:val="18"/>
          <w:szCs w:val="18"/>
          <w:vertAlign w:val="superscript"/>
        </w:rPr>
        <w:t>b</w:t>
      </w:r>
      <w:r w:rsidRPr="0036079D">
        <w:rPr>
          <w:rFonts w:cs="Arial"/>
          <w:color w:val="000000"/>
          <w:sz w:val="18"/>
          <w:szCs w:val="18"/>
        </w:rPr>
        <w:t xml:space="preserve"> </w:t>
      </w:r>
      <w:r w:rsidRPr="0036079D">
        <w:rPr>
          <w:rFonts w:cs="Arial"/>
          <w:sz w:val="18"/>
          <w:szCs w:val="18"/>
        </w:rPr>
        <w:t>Survey 1.</w:t>
      </w:r>
    </w:p>
    <w:p w:rsidR="00F2593B" w:rsidRDefault="00F2593B" w:rsidP="00F25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 w:val="18"/>
          <w:szCs w:val="18"/>
        </w:rPr>
      </w:pPr>
      <w:r w:rsidRPr="0036079D">
        <w:rPr>
          <w:rFonts w:cs="Arial"/>
          <w:sz w:val="18"/>
          <w:szCs w:val="18"/>
          <w:vertAlign w:val="superscript"/>
        </w:rPr>
        <w:t>c</w:t>
      </w:r>
      <w:r w:rsidRPr="0036079D">
        <w:rPr>
          <w:rFonts w:cs="Arial"/>
          <w:sz w:val="18"/>
          <w:szCs w:val="18"/>
        </w:rPr>
        <w:t xml:space="preserve"> </w:t>
      </w:r>
      <w:r w:rsidRPr="0036079D">
        <w:rPr>
          <w:rFonts w:cs="Arial"/>
          <w:bCs/>
          <w:sz w:val="18"/>
          <w:szCs w:val="18"/>
        </w:rPr>
        <w:t>Survey 3, sweet</w:t>
      </w:r>
      <w:r>
        <w:rPr>
          <w:rFonts w:cs="Arial"/>
          <w:bCs/>
          <w:sz w:val="18"/>
          <w:szCs w:val="18"/>
        </w:rPr>
        <w:t xml:space="preserve"> cassava</w:t>
      </w:r>
      <w:r w:rsidRPr="0036079D">
        <w:rPr>
          <w:rFonts w:cs="Arial"/>
          <w:bCs/>
          <w:sz w:val="18"/>
          <w:szCs w:val="18"/>
        </w:rPr>
        <w:t xml:space="preserve"> only.</w:t>
      </w:r>
    </w:p>
    <w:p w:rsidR="00F2593B" w:rsidRPr="0036079D" w:rsidRDefault="00F2593B" w:rsidP="00F25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AB6F48">
        <w:rPr>
          <w:rFonts w:cs="Arial"/>
          <w:bCs/>
          <w:sz w:val="18"/>
          <w:szCs w:val="18"/>
          <w:vertAlign w:val="superscript"/>
        </w:rPr>
        <w:t>d</w:t>
      </w:r>
      <w:r>
        <w:rPr>
          <w:rFonts w:cs="Arial"/>
          <w:bCs/>
          <w:sz w:val="18"/>
          <w:szCs w:val="18"/>
        </w:rPr>
        <w:t xml:space="preserve"> Consumption level based on </w:t>
      </w:r>
      <w:r w:rsidRPr="00AB6F48">
        <w:rPr>
          <w:rFonts w:cs="Arial"/>
          <w:bCs/>
          <w:sz w:val="18"/>
          <w:szCs w:val="18"/>
        </w:rPr>
        <w:t>recommended serves/recommended maximum consumption levels</w:t>
      </w:r>
      <w:r>
        <w:rPr>
          <w:rFonts w:cs="Arial"/>
          <w:bCs/>
          <w:sz w:val="18"/>
          <w:szCs w:val="18"/>
        </w:rPr>
        <w:t xml:space="preserve">. </w:t>
      </w:r>
    </w:p>
    <w:p w:rsidR="00D33562" w:rsidRPr="00E203C2" w:rsidRDefault="00D33562" w:rsidP="00D33562"/>
    <w:sectPr w:rsidR="00D33562" w:rsidRPr="00E203C2" w:rsidSect="0093006F">
      <w:pgSz w:w="11906" w:h="16838"/>
      <w:pgMar w:top="1134" w:right="1134" w:bottom="1134" w:left="1134" w:header="680"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9B2" w:rsidRDefault="00EB39B2">
      <w:r>
        <w:separator/>
      </w:r>
    </w:p>
    <w:p w:rsidR="00EB39B2" w:rsidRDefault="00EB39B2"/>
  </w:endnote>
  <w:endnote w:type="continuationSeparator" w:id="0">
    <w:p w:rsidR="00EB39B2" w:rsidRDefault="00EB39B2">
      <w:r>
        <w:continuationSeparator/>
      </w:r>
    </w:p>
    <w:p w:rsidR="00EB39B2" w:rsidRDefault="00EB39B2"/>
  </w:endnote>
  <w:endnote w:type="continuationNotice" w:id="1">
    <w:p w:rsidR="00EB39B2" w:rsidRDefault="00EB39B2"/>
    <w:p w:rsidR="00EB39B2" w:rsidRDefault="00EB3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162331"/>
      <w:docPartObj>
        <w:docPartGallery w:val="Page Numbers (Bottom of Page)"/>
        <w:docPartUnique/>
      </w:docPartObj>
    </w:sdtPr>
    <w:sdtEndPr/>
    <w:sdtContent>
      <w:sdt>
        <w:sdtPr>
          <w:id w:val="-540515688"/>
          <w:docPartObj>
            <w:docPartGallery w:val="Page Numbers (Top of Page)"/>
            <w:docPartUnique/>
          </w:docPartObj>
        </w:sdtPr>
        <w:sdtEndPr/>
        <w:sdtContent>
          <w:p w:rsidR="00EB39B2" w:rsidRDefault="00EB39B2" w:rsidP="000B6AEE">
            <w:pPr>
              <w:pStyle w:val="Footer"/>
              <w:jc w:val="center"/>
            </w:pPr>
            <w:r w:rsidRPr="000B6AEE">
              <w:rPr>
                <w:i/>
              </w:rPr>
              <w:fldChar w:fldCharType="begin"/>
            </w:r>
            <w:r w:rsidRPr="000B6AEE">
              <w:rPr>
                <w:i/>
              </w:rPr>
              <w:instrText xml:space="preserve"> PAGE </w:instrText>
            </w:r>
            <w:r w:rsidRPr="000B6AEE">
              <w:rPr>
                <w:i/>
              </w:rPr>
              <w:fldChar w:fldCharType="separate"/>
            </w:r>
            <w:r w:rsidR="000A0E74">
              <w:rPr>
                <w:i/>
                <w:noProof/>
              </w:rPr>
              <w:t>4</w:t>
            </w:r>
            <w:r w:rsidRPr="000B6AEE">
              <w:rPr>
                <w:i/>
              </w:rPr>
              <w:fldChar w:fldCharType="end"/>
            </w:r>
          </w:p>
        </w:sdtContent>
      </w:sdt>
    </w:sdtContent>
  </w:sdt>
  <w:p w:rsidR="00EB39B2" w:rsidRDefault="00EB39B2" w:rsidP="005D162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148562"/>
      <w:docPartObj>
        <w:docPartGallery w:val="Page Numbers (Bottom of Page)"/>
        <w:docPartUnique/>
      </w:docPartObj>
    </w:sdtPr>
    <w:sdtEndPr/>
    <w:sdtContent>
      <w:sdt>
        <w:sdtPr>
          <w:id w:val="-1996177822"/>
          <w:docPartObj>
            <w:docPartGallery w:val="Page Numbers (Top of Page)"/>
            <w:docPartUnique/>
          </w:docPartObj>
        </w:sdtPr>
        <w:sdtEndPr/>
        <w:sdtContent>
          <w:p w:rsidR="00EB39B2" w:rsidRDefault="00EB39B2" w:rsidP="000B6AEE">
            <w:pPr>
              <w:pStyle w:val="Footer"/>
              <w:jc w:val="center"/>
            </w:pPr>
            <w:r w:rsidRPr="000B6AEE">
              <w:rPr>
                <w:i/>
              </w:rPr>
              <w:fldChar w:fldCharType="begin"/>
            </w:r>
            <w:r w:rsidRPr="000B6AEE">
              <w:rPr>
                <w:i/>
              </w:rPr>
              <w:instrText xml:space="preserve"> PAGE </w:instrText>
            </w:r>
            <w:r w:rsidRPr="000B6AEE">
              <w:rPr>
                <w:i/>
              </w:rPr>
              <w:fldChar w:fldCharType="separate"/>
            </w:r>
            <w:r w:rsidR="000A0E74">
              <w:rPr>
                <w:i/>
                <w:noProof/>
              </w:rPr>
              <w:t>78</w:t>
            </w:r>
            <w:r w:rsidRPr="000B6AEE">
              <w:rPr>
                <w:i/>
              </w:rPr>
              <w:fldChar w:fldCharType="end"/>
            </w:r>
          </w:p>
        </w:sdtContent>
      </w:sdt>
    </w:sdtContent>
  </w:sdt>
  <w:p w:rsidR="00EB39B2" w:rsidRDefault="00EB39B2" w:rsidP="005D162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9B2" w:rsidRDefault="00EB39B2">
      <w:r>
        <w:separator/>
      </w:r>
    </w:p>
    <w:p w:rsidR="00EB39B2" w:rsidRDefault="00EB39B2"/>
  </w:footnote>
  <w:footnote w:type="continuationSeparator" w:id="0">
    <w:p w:rsidR="00EB39B2" w:rsidRDefault="00EB39B2">
      <w:r>
        <w:continuationSeparator/>
      </w:r>
    </w:p>
    <w:p w:rsidR="00EB39B2" w:rsidRDefault="00EB39B2"/>
  </w:footnote>
  <w:footnote w:type="continuationNotice" w:id="1">
    <w:p w:rsidR="00EB39B2" w:rsidRDefault="00EB39B2"/>
    <w:p w:rsidR="00EB39B2" w:rsidRDefault="00EB39B2"/>
  </w:footnote>
  <w:footnote w:id="2">
    <w:p w:rsidR="00EB39B2" w:rsidRDefault="00EB39B2">
      <w:pPr>
        <w:pStyle w:val="FootnoteText"/>
      </w:pPr>
      <w:r>
        <w:rPr>
          <w:rStyle w:val="FootnoteReference"/>
        </w:rPr>
        <w:footnoteRef/>
      </w:r>
      <w:r>
        <w:t xml:space="preserve"> </w:t>
      </w:r>
      <w:r w:rsidRPr="00C07CE7">
        <w:t xml:space="preserve">A </w:t>
      </w:r>
      <w:r>
        <w:t>health based guidance</w:t>
      </w:r>
      <w:r w:rsidRPr="00C07CE7">
        <w:t xml:space="preserve"> value used to estimate the </w:t>
      </w:r>
      <w:r>
        <w:t>tolerable</w:t>
      </w:r>
      <w:r w:rsidRPr="00C07CE7">
        <w:t xml:space="preserve"> level of </w:t>
      </w:r>
      <w:r>
        <w:t>exposure to</w:t>
      </w:r>
      <w:r w:rsidRPr="00C07CE7">
        <w:t xml:space="preserve"> a contaminant with no cumulative properties</w:t>
      </w:r>
      <w:r>
        <w:t xml:space="preserve"> and is</w:t>
      </w:r>
      <w:r w:rsidRPr="00BB4386">
        <w:t xml:space="preserve"> </w:t>
      </w:r>
      <w:r>
        <w:t>the maximum</w:t>
      </w:r>
      <w:r w:rsidRPr="004C36BB">
        <w:t xml:space="preserve"> amount of a substance (expressed in milligrams per kilogram of body weight) that can </w:t>
      </w:r>
      <w:r>
        <w:t>be ingested on a daily basis</w:t>
      </w:r>
      <w:r w:rsidRPr="004C36BB">
        <w:t xml:space="preserve"> </w:t>
      </w:r>
      <w:r>
        <w:t xml:space="preserve">over a period of time </w:t>
      </w:r>
      <w:r w:rsidRPr="004C36BB">
        <w:t>without appreciable health risk to the consumer</w:t>
      </w:r>
      <w:r w:rsidRPr="00C07CE7">
        <w:t>.</w:t>
      </w:r>
    </w:p>
  </w:footnote>
  <w:footnote w:id="3">
    <w:p w:rsidR="00EB39B2" w:rsidRDefault="00EB39B2">
      <w:pPr>
        <w:pStyle w:val="FootnoteText"/>
      </w:pPr>
      <w:r>
        <w:rPr>
          <w:rStyle w:val="FootnoteReference"/>
        </w:rPr>
        <w:footnoteRef/>
      </w:r>
      <w:r>
        <w:t xml:space="preserve"> </w:t>
      </w:r>
      <w:r w:rsidRPr="004C36BB">
        <w:t>The estimated amount of a substance (expressed in milligrams per kilogram of body weight) that can be ingested in a period of 24 hours or less without appreciable health risk to the consumer.</w:t>
      </w:r>
    </w:p>
  </w:footnote>
  <w:footnote w:id="4">
    <w:p w:rsidR="00EB39B2" w:rsidRDefault="00EB39B2">
      <w:pPr>
        <w:pStyle w:val="FootnoteText"/>
      </w:pPr>
      <w:r>
        <w:rPr>
          <w:rStyle w:val="FootnoteReference"/>
        </w:rPr>
        <w:footnoteRef/>
      </w:r>
      <w:r>
        <w:t xml:space="preserve"> </w:t>
      </w:r>
      <w:r w:rsidRPr="00056F5C">
        <w:t>Throughout this report the term ‘raw apricot kernel’ refers to the edible nut-like object found within the shell or stone of Prunus aremeniaca either unhulled (with skin) or hulled (without skin). Hulled, bitter apricot kernels are usually pale white in colour.</w:t>
      </w:r>
    </w:p>
  </w:footnote>
  <w:footnote w:id="5">
    <w:p w:rsidR="00EB39B2" w:rsidRPr="005B4347" w:rsidRDefault="00EB39B2" w:rsidP="005B4347">
      <w:pPr>
        <w:rPr>
          <w:sz w:val="20"/>
          <w:szCs w:val="20"/>
          <w:lang w:eastAsia="en-US"/>
        </w:rPr>
      </w:pPr>
      <w:r>
        <w:rPr>
          <w:rStyle w:val="FootnoteReference"/>
        </w:rPr>
        <w:footnoteRef/>
      </w:r>
      <w:r>
        <w:t xml:space="preserve"> </w:t>
      </w:r>
      <w:r>
        <w:rPr>
          <w:sz w:val="20"/>
          <w:szCs w:val="20"/>
          <w:lang w:eastAsia="en-US"/>
        </w:rPr>
        <w:t>All</w:t>
      </w:r>
      <w:r w:rsidRPr="005B4347">
        <w:rPr>
          <w:sz w:val="20"/>
          <w:szCs w:val="20"/>
          <w:lang w:eastAsia="en-US"/>
        </w:rPr>
        <w:t xml:space="preserve"> hydrocyanic acid including hydrocyanic acid evolved from linamarin, lotaustralin, acetone cyanohydrin or butanone cyanohydrin during or following enzym</w:t>
      </w:r>
      <w:r>
        <w:rPr>
          <w:sz w:val="20"/>
          <w:szCs w:val="20"/>
          <w:lang w:eastAsia="en-US"/>
        </w:rPr>
        <w:t>e hydrolysis or acid hydrolysis</w:t>
      </w:r>
      <w:r w:rsidRPr="005B4347">
        <w:rPr>
          <w:sz w:val="20"/>
          <w:szCs w:val="20"/>
          <w:lang w:eastAsia="en-US"/>
        </w:rPr>
        <w:t>.</w:t>
      </w:r>
    </w:p>
    <w:p w:rsidR="00EB39B2" w:rsidRDefault="00EB39B2">
      <w:pPr>
        <w:pStyle w:val="FootnoteText"/>
      </w:pPr>
    </w:p>
  </w:footnote>
  <w:footnote w:id="6">
    <w:p w:rsidR="00EB39B2" w:rsidRDefault="00EB39B2">
      <w:pPr>
        <w:pStyle w:val="FootnoteText"/>
      </w:pPr>
      <w:r>
        <w:rPr>
          <w:rStyle w:val="FootnoteReference"/>
        </w:rPr>
        <w:footnoteRef/>
      </w:r>
      <w:r>
        <w:t xml:space="preserve"> Juice manufacturer samples are not included in this table.</w:t>
      </w:r>
    </w:p>
  </w:footnote>
  <w:footnote w:id="7">
    <w:p w:rsidR="00EB39B2" w:rsidRDefault="00EB39B2" w:rsidP="00AF5911">
      <w:pPr>
        <w:pStyle w:val="FootnoteText"/>
      </w:pPr>
      <w:r>
        <w:rPr>
          <w:rStyle w:val="FootnoteReference"/>
        </w:rPr>
        <w:footnoteRef/>
      </w:r>
      <w:r>
        <w:t xml:space="preserve"> </w:t>
      </w:r>
      <w:r w:rsidRPr="007477F3">
        <w:t>Thirteen samples of frozen cassava root were purchased but the agreed sampling/analytical plan required that only nine of these be analysed. However, label information was recorded for all 13 samples</w:t>
      </w:r>
      <w:r>
        <w:t>. O</w:t>
      </w:r>
      <w:r w:rsidRPr="007477F3">
        <w:t>nly four of the 13 samples included directions for use, as required under Standard 1.2.6 of the Code.</w:t>
      </w:r>
    </w:p>
  </w:footnote>
  <w:footnote w:id="8">
    <w:p w:rsidR="00EB39B2" w:rsidRDefault="00EB39B2" w:rsidP="00FB1D42">
      <w:pPr>
        <w:pStyle w:val="FootnoteText"/>
      </w:pPr>
      <w:r>
        <w:rPr>
          <w:rStyle w:val="FootnoteReference"/>
        </w:rPr>
        <w:footnoteRef/>
      </w:r>
      <w:r>
        <w:t xml:space="preserve"> None of the three samples of fresh/frozen bamboo shoots included directions for use, as required under Standard 1.2.6 of the Code.</w:t>
      </w:r>
    </w:p>
  </w:footnote>
  <w:footnote w:id="9">
    <w:p w:rsidR="00EB39B2" w:rsidRDefault="00EB39B2">
      <w:pPr>
        <w:pStyle w:val="FootnoteText"/>
      </w:pPr>
      <w:r>
        <w:rPr>
          <w:rStyle w:val="FootnoteReference"/>
        </w:rPr>
        <w:footnoteRef/>
      </w:r>
      <w:r>
        <w:t xml:space="preserve">This is with the exception of </w:t>
      </w:r>
      <w:r w:rsidRPr="0024604A">
        <w:t xml:space="preserve">apricot kernels, </w:t>
      </w:r>
      <w:r>
        <w:t>amaretti biscuits and a</w:t>
      </w:r>
      <w:r w:rsidRPr="0024604A">
        <w:t>lmond fingers/apple fingers</w:t>
      </w:r>
      <w:r>
        <w:t xml:space="preserve">, as no NNS </w:t>
      </w:r>
      <w:r w:rsidRPr="0024604A">
        <w:t>data w</w:t>
      </w:r>
      <w:r>
        <w:t xml:space="preserve">ere available. For these foods, recommended serving sizes (and, in the case of apricot kernels, consumption amounts equating to what FSANZ had previously considered to be safe) were used.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9B2" w:rsidRPr="00852C51" w:rsidRDefault="00EB39B2" w:rsidP="00356DAD">
    <w:pPr>
      <w:pStyle w:val="Header"/>
      <w:jc w:val="right"/>
      <w:rPr>
        <w:b/>
      </w:rPr>
    </w:pPr>
    <w:r>
      <w:tab/>
    </w:r>
  </w:p>
  <w:p w:rsidR="00EB39B2" w:rsidRDefault="00EB39B2" w:rsidP="00356DAD">
    <w:pPr>
      <w:pStyle w:val="Header"/>
      <w:tabs>
        <w:tab w:val="clear" w:pos="4153"/>
        <w:tab w:val="clear" w:pos="8306"/>
        <w:tab w:val="left" w:pos="62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01822CFC"/>
    <w:lvl w:ilvl="0" w:tplc="6B5AB52C">
      <w:start w:val="1"/>
      <w:numFmt w:val="bullet"/>
      <w:pStyle w:val="FS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20464F"/>
    <w:multiLevelType w:val="hybridMultilevel"/>
    <w:tmpl w:val="E55EFC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936CAC"/>
    <w:multiLevelType w:val="hybridMultilevel"/>
    <w:tmpl w:val="9AA4F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447C0C"/>
    <w:multiLevelType w:val="hybridMultilevel"/>
    <w:tmpl w:val="3320AD8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946171"/>
    <w:multiLevelType w:val="hybridMultilevel"/>
    <w:tmpl w:val="13B095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56A31B1"/>
    <w:multiLevelType w:val="hybridMultilevel"/>
    <w:tmpl w:val="3F447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8965B2"/>
    <w:multiLevelType w:val="hybridMultilevel"/>
    <w:tmpl w:val="7AB0439E"/>
    <w:lvl w:ilvl="0" w:tplc="71BA493A">
      <w:start w:val="1"/>
      <w:numFmt w:val="bullet"/>
      <w:lvlText w:val=""/>
      <w:lvlJc w:val="left"/>
      <w:pPr>
        <w:ind w:left="720" w:hanging="360"/>
      </w:pPr>
      <w:rPr>
        <w:rFonts w:ascii="Symbol" w:hAnsi="Symbol" w:hint="default"/>
        <w:color w:val="auto"/>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6068B6"/>
    <w:multiLevelType w:val="hybridMultilevel"/>
    <w:tmpl w:val="9ACAB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88310BF"/>
    <w:multiLevelType w:val="hybridMultilevel"/>
    <w:tmpl w:val="4E6E440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nsid w:val="19EE6419"/>
    <w:multiLevelType w:val="hybridMultilevel"/>
    <w:tmpl w:val="D79AA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8225AC"/>
    <w:multiLevelType w:val="hybridMultilevel"/>
    <w:tmpl w:val="EB82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D27B87"/>
    <w:multiLevelType w:val="hybridMultilevel"/>
    <w:tmpl w:val="662E5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DE53CD"/>
    <w:multiLevelType w:val="hybridMultilevel"/>
    <w:tmpl w:val="6234FAF4"/>
    <w:lvl w:ilvl="0" w:tplc="E62816B4">
      <w:start w:val="1"/>
      <w:numFmt w:val="bullet"/>
      <w:pStyle w:val="Bullets"/>
      <w:lvlText w:val=""/>
      <w:lvlJc w:val="left"/>
      <w:pPr>
        <w:ind w:left="71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6378F7"/>
    <w:multiLevelType w:val="hybridMultilevel"/>
    <w:tmpl w:val="012EB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BC2256"/>
    <w:multiLevelType w:val="multilevel"/>
    <w:tmpl w:val="CCD6C3B8"/>
    <w:lvl w:ilvl="0">
      <w:start w:val="5"/>
      <w:numFmt w:val="decimal"/>
      <w:lvlText w:val="%1"/>
      <w:lvlJc w:val="left"/>
      <w:pPr>
        <w:ind w:left="660" w:hanging="660"/>
      </w:pPr>
      <w:rPr>
        <w:rFonts w:hint="default"/>
      </w:rPr>
    </w:lvl>
    <w:lvl w:ilvl="1">
      <w:start w:val="3"/>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6">
    <w:nsid w:val="2997319C"/>
    <w:multiLevelType w:val="hybridMultilevel"/>
    <w:tmpl w:val="F8EE5C9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nsid w:val="2BAD38A6"/>
    <w:multiLevelType w:val="hybridMultilevel"/>
    <w:tmpl w:val="FCCE3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0735C1D"/>
    <w:multiLevelType w:val="hybridMultilevel"/>
    <w:tmpl w:val="16DE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833D7C"/>
    <w:multiLevelType w:val="hybridMultilevel"/>
    <w:tmpl w:val="902EB564"/>
    <w:lvl w:ilvl="0" w:tplc="F82E91F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8AA0D1B"/>
    <w:multiLevelType w:val="hybridMultilevel"/>
    <w:tmpl w:val="0A84E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F723401"/>
    <w:multiLevelType w:val="hybridMultilevel"/>
    <w:tmpl w:val="73F873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F8107F7"/>
    <w:multiLevelType w:val="hybridMultilevel"/>
    <w:tmpl w:val="E21040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237018F"/>
    <w:multiLevelType w:val="hybridMultilevel"/>
    <w:tmpl w:val="33767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nsid w:val="496C0AB4"/>
    <w:multiLevelType w:val="hybridMultilevel"/>
    <w:tmpl w:val="9CA29A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A16768A"/>
    <w:multiLevelType w:val="hybridMultilevel"/>
    <w:tmpl w:val="32A44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361480"/>
    <w:multiLevelType w:val="singleLevel"/>
    <w:tmpl w:val="F514B7A8"/>
    <w:lvl w:ilvl="0">
      <w:start w:val="1"/>
      <w:numFmt w:val="decimal"/>
      <w:pStyle w:val="ISCnumbered"/>
      <w:lvlText w:val="%1."/>
      <w:lvlJc w:val="left"/>
      <w:pPr>
        <w:tabs>
          <w:tab w:val="num" w:pos="360"/>
        </w:tabs>
        <w:ind w:left="360" w:hanging="360"/>
      </w:pPr>
      <w:rPr>
        <w:rFonts w:cs="Times New Roman"/>
      </w:rPr>
    </w:lvl>
  </w:abstractNum>
  <w:abstractNum w:abstractNumId="28">
    <w:nsid w:val="4B99679E"/>
    <w:multiLevelType w:val="singleLevel"/>
    <w:tmpl w:val="18086914"/>
    <w:lvl w:ilvl="0">
      <w:start w:val="1"/>
      <w:numFmt w:val="bullet"/>
      <w:pStyle w:val="ISCbulleted"/>
      <w:lvlText w:val=""/>
      <w:lvlJc w:val="left"/>
      <w:pPr>
        <w:tabs>
          <w:tab w:val="num" w:pos="360"/>
        </w:tabs>
        <w:ind w:left="360" w:hanging="360"/>
      </w:pPr>
      <w:rPr>
        <w:rFonts w:ascii="Symbol" w:hAnsi="Symbol" w:hint="default"/>
        <w:sz w:val="12"/>
      </w:rPr>
    </w:lvl>
  </w:abstractNum>
  <w:abstractNum w:abstractNumId="29">
    <w:nsid w:val="58917B8C"/>
    <w:multiLevelType w:val="hybridMultilevel"/>
    <w:tmpl w:val="F3268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5109DA"/>
    <w:multiLevelType w:val="hybridMultilevel"/>
    <w:tmpl w:val="7CD227F6"/>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F4A54F3"/>
    <w:multiLevelType w:val="hybridMultilevel"/>
    <w:tmpl w:val="67800D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38C4CC3"/>
    <w:multiLevelType w:val="hybridMultilevel"/>
    <w:tmpl w:val="4DC26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58A2FC7"/>
    <w:multiLevelType w:val="multilevel"/>
    <w:tmpl w:val="342CF8F4"/>
    <w:lvl w:ilvl="0">
      <w:start w:val="5"/>
      <w:numFmt w:val="decimal"/>
      <w:lvlText w:val="%1"/>
      <w:lvlJc w:val="left"/>
      <w:pPr>
        <w:ind w:left="660" w:hanging="660"/>
      </w:pPr>
      <w:rPr>
        <w:rFonts w:hint="default"/>
      </w:rPr>
    </w:lvl>
    <w:lvl w:ilvl="1">
      <w:start w:val="3"/>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4">
    <w:nsid w:val="6D75611E"/>
    <w:multiLevelType w:val="hybridMultilevel"/>
    <w:tmpl w:val="0C662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D86032C"/>
    <w:multiLevelType w:val="hybridMultilevel"/>
    <w:tmpl w:val="A7F270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DEA7634"/>
    <w:multiLevelType w:val="hybridMultilevel"/>
    <w:tmpl w:val="98C8C3D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8">
    <w:nsid w:val="72D520F2"/>
    <w:multiLevelType w:val="hybridMultilevel"/>
    <w:tmpl w:val="5AE2E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55D3DBA"/>
    <w:multiLevelType w:val="hybridMultilevel"/>
    <w:tmpl w:val="8ACEA4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5E46B92"/>
    <w:multiLevelType w:val="multilevel"/>
    <w:tmpl w:val="3FDE799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AAE328E"/>
    <w:multiLevelType w:val="hybridMultilevel"/>
    <w:tmpl w:val="E404E7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DC949C2"/>
    <w:multiLevelType w:val="hybridMultilevel"/>
    <w:tmpl w:val="DA50B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7"/>
  </w:num>
  <w:num w:numId="2">
    <w:abstractNumId w:val="28"/>
  </w:num>
  <w:num w:numId="3">
    <w:abstractNumId w:val="34"/>
  </w:num>
  <w:num w:numId="4">
    <w:abstractNumId w:val="8"/>
  </w:num>
  <w:num w:numId="5">
    <w:abstractNumId w:val="38"/>
  </w:num>
  <w:num w:numId="6">
    <w:abstractNumId w:val="6"/>
  </w:num>
  <w:num w:numId="7">
    <w:abstractNumId w:val="20"/>
  </w:num>
  <w:num w:numId="8">
    <w:abstractNumId w:val="2"/>
  </w:num>
  <w:num w:numId="9">
    <w:abstractNumId w:val="21"/>
  </w:num>
  <w:num w:numId="10">
    <w:abstractNumId w:val="37"/>
  </w:num>
  <w:num w:numId="11">
    <w:abstractNumId w:val="31"/>
  </w:num>
  <w:num w:numId="12">
    <w:abstractNumId w:val="16"/>
  </w:num>
  <w:num w:numId="13">
    <w:abstractNumId w:val="0"/>
  </w:num>
  <w:num w:numId="14">
    <w:abstractNumId w:val="24"/>
  </w:num>
  <w:num w:numId="15">
    <w:abstractNumId w:val="5"/>
  </w:num>
  <w:num w:numId="16">
    <w:abstractNumId w:val="41"/>
  </w:num>
  <w:num w:numId="17">
    <w:abstractNumId w:val="13"/>
  </w:num>
  <w:num w:numId="18">
    <w:abstractNumId w:val="25"/>
  </w:num>
  <w:num w:numId="19">
    <w:abstractNumId w:val="4"/>
  </w:num>
  <w:num w:numId="20">
    <w:abstractNumId w:val="32"/>
  </w:num>
  <w:num w:numId="21">
    <w:abstractNumId w:val="36"/>
  </w:num>
  <w:num w:numId="22">
    <w:abstractNumId w:val="40"/>
  </w:num>
  <w:num w:numId="23">
    <w:abstractNumId w:val="11"/>
  </w:num>
  <w:num w:numId="24">
    <w:abstractNumId w:val="23"/>
  </w:num>
  <w:num w:numId="25">
    <w:abstractNumId w:val="12"/>
  </w:num>
  <w:num w:numId="26">
    <w:abstractNumId w:val="10"/>
  </w:num>
  <w:num w:numId="27">
    <w:abstractNumId w:val="9"/>
  </w:num>
  <w:num w:numId="28">
    <w:abstractNumId w:val="22"/>
  </w:num>
  <w:num w:numId="29">
    <w:abstractNumId w:val="3"/>
  </w:num>
  <w:num w:numId="30">
    <w:abstractNumId w:val="19"/>
  </w:num>
  <w:num w:numId="31">
    <w:abstractNumId w:val="17"/>
  </w:num>
  <w:num w:numId="32">
    <w:abstractNumId w:val="1"/>
  </w:num>
  <w:num w:numId="33">
    <w:abstractNumId w:val="18"/>
  </w:num>
  <w:num w:numId="34">
    <w:abstractNumId w:val="30"/>
  </w:num>
  <w:num w:numId="35">
    <w:abstractNumId w:val="35"/>
  </w:num>
  <w:num w:numId="36">
    <w:abstractNumId w:val="39"/>
  </w:num>
  <w:num w:numId="37">
    <w:abstractNumId w:val="7"/>
  </w:num>
  <w:num w:numId="38">
    <w:abstractNumId w:val="42"/>
  </w:num>
  <w:num w:numId="39">
    <w:abstractNumId w:val="15"/>
  </w:num>
  <w:num w:numId="40">
    <w:abstractNumId w:val="26"/>
  </w:num>
  <w:num w:numId="41">
    <w:abstractNumId w:val="33"/>
  </w:num>
  <w:num w:numId="42">
    <w:abstractNumId w:val="14"/>
  </w:num>
  <w:num w:numId="43">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4884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681"/>
    <w:rsid w:val="00002F22"/>
    <w:rsid w:val="00003C11"/>
    <w:rsid w:val="00003D64"/>
    <w:rsid w:val="000048D7"/>
    <w:rsid w:val="0000571E"/>
    <w:rsid w:val="000061A7"/>
    <w:rsid w:val="00006EC5"/>
    <w:rsid w:val="00007D96"/>
    <w:rsid w:val="0001112F"/>
    <w:rsid w:val="000146CE"/>
    <w:rsid w:val="00016732"/>
    <w:rsid w:val="00016E6F"/>
    <w:rsid w:val="00017DD7"/>
    <w:rsid w:val="00020E00"/>
    <w:rsid w:val="000217A3"/>
    <w:rsid w:val="00023266"/>
    <w:rsid w:val="000233EF"/>
    <w:rsid w:val="00023DA1"/>
    <w:rsid w:val="00030337"/>
    <w:rsid w:val="00032662"/>
    <w:rsid w:val="00032DCA"/>
    <w:rsid w:val="00033C00"/>
    <w:rsid w:val="0003462A"/>
    <w:rsid w:val="00034AA6"/>
    <w:rsid w:val="00037099"/>
    <w:rsid w:val="000372FF"/>
    <w:rsid w:val="0003779A"/>
    <w:rsid w:val="00037942"/>
    <w:rsid w:val="00037C12"/>
    <w:rsid w:val="00040CA3"/>
    <w:rsid w:val="00041AB5"/>
    <w:rsid w:val="00042AC9"/>
    <w:rsid w:val="00043646"/>
    <w:rsid w:val="000437C9"/>
    <w:rsid w:val="0004437B"/>
    <w:rsid w:val="00044480"/>
    <w:rsid w:val="00044578"/>
    <w:rsid w:val="000446DB"/>
    <w:rsid w:val="00045382"/>
    <w:rsid w:val="000455C6"/>
    <w:rsid w:val="0004681E"/>
    <w:rsid w:val="00052EE9"/>
    <w:rsid w:val="00054E6A"/>
    <w:rsid w:val="00056D66"/>
    <w:rsid w:val="00056F5C"/>
    <w:rsid w:val="00057E19"/>
    <w:rsid w:val="000620B3"/>
    <w:rsid w:val="000623E1"/>
    <w:rsid w:val="00062AB2"/>
    <w:rsid w:val="00064355"/>
    <w:rsid w:val="000644A3"/>
    <w:rsid w:val="00064BB0"/>
    <w:rsid w:val="00065A40"/>
    <w:rsid w:val="00065A5C"/>
    <w:rsid w:val="000664AC"/>
    <w:rsid w:val="00067D2D"/>
    <w:rsid w:val="00070A45"/>
    <w:rsid w:val="00070E16"/>
    <w:rsid w:val="00070F61"/>
    <w:rsid w:val="000738A7"/>
    <w:rsid w:val="00073D86"/>
    <w:rsid w:val="000753DC"/>
    <w:rsid w:val="0007766B"/>
    <w:rsid w:val="00082E79"/>
    <w:rsid w:val="00084C99"/>
    <w:rsid w:val="00091EA7"/>
    <w:rsid w:val="00093DD5"/>
    <w:rsid w:val="0009409A"/>
    <w:rsid w:val="000954C5"/>
    <w:rsid w:val="000959D6"/>
    <w:rsid w:val="000979AF"/>
    <w:rsid w:val="000979CD"/>
    <w:rsid w:val="000A0E74"/>
    <w:rsid w:val="000A47A1"/>
    <w:rsid w:val="000A712F"/>
    <w:rsid w:val="000A7858"/>
    <w:rsid w:val="000A7D8F"/>
    <w:rsid w:val="000B043B"/>
    <w:rsid w:val="000B1EFB"/>
    <w:rsid w:val="000B2F34"/>
    <w:rsid w:val="000B3E7C"/>
    <w:rsid w:val="000B47BF"/>
    <w:rsid w:val="000B6AEE"/>
    <w:rsid w:val="000C026B"/>
    <w:rsid w:val="000C175B"/>
    <w:rsid w:val="000C26F1"/>
    <w:rsid w:val="000C33D5"/>
    <w:rsid w:val="000C3461"/>
    <w:rsid w:val="000C3898"/>
    <w:rsid w:val="000C3AED"/>
    <w:rsid w:val="000C4198"/>
    <w:rsid w:val="000C75D3"/>
    <w:rsid w:val="000C76CE"/>
    <w:rsid w:val="000C7975"/>
    <w:rsid w:val="000D090B"/>
    <w:rsid w:val="000D2A74"/>
    <w:rsid w:val="000D494B"/>
    <w:rsid w:val="000D5338"/>
    <w:rsid w:val="000D5DFC"/>
    <w:rsid w:val="000D6863"/>
    <w:rsid w:val="000E000A"/>
    <w:rsid w:val="000E0465"/>
    <w:rsid w:val="000E04DF"/>
    <w:rsid w:val="000E0889"/>
    <w:rsid w:val="000E4A26"/>
    <w:rsid w:val="000E53BF"/>
    <w:rsid w:val="000E56E8"/>
    <w:rsid w:val="000E617A"/>
    <w:rsid w:val="000E6B7C"/>
    <w:rsid w:val="000E6DEC"/>
    <w:rsid w:val="000E739D"/>
    <w:rsid w:val="000E7547"/>
    <w:rsid w:val="000F06EE"/>
    <w:rsid w:val="000F162C"/>
    <w:rsid w:val="000F1A27"/>
    <w:rsid w:val="000F1D6C"/>
    <w:rsid w:val="000F2AB5"/>
    <w:rsid w:val="000F40D6"/>
    <w:rsid w:val="000F418E"/>
    <w:rsid w:val="000F4703"/>
    <w:rsid w:val="000F668A"/>
    <w:rsid w:val="0010063E"/>
    <w:rsid w:val="001007C7"/>
    <w:rsid w:val="001010BF"/>
    <w:rsid w:val="001014DB"/>
    <w:rsid w:val="00101985"/>
    <w:rsid w:val="001025ED"/>
    <w:rsid w:val="00105868"/>
    <w:rsid w:val="00105C57"/>
    <w:rsid w:val="001061A6"/>
    <w:rsid w:val="00110848"/>
    <w:rsid w:val="001128BF"/>
    <w:rsid w:val="00113647"/>
    <w:rsid w:val="00113C62"/>
    <w:rsid w:val="00115117"/>
    <w:rsid w:val="00117FDB"/>
    <w:rsid w:val="0012152E"/>
    <w:rsid w:val="00123276"/>
    <w:rsid w:val="00126454"/>
    <w:rsid w:val="0012703C"/>
    <w:rsid w:val="0013035E"/>
    <w:rsid w:val="00130867"/>
    <w:rsid w:val="0013171F"/>
    <w:rsid w:val="00132AB8"/>
    <w:rsid w:val="00134B5F"/>
    <w:rsid w:val="00135D23"/>
    <w:rsid w:val="00135D2E"/>
    <w:rsid w:val="00136AF4"/>
    <w:rsid w:val="00140949"/>
    <w:rsid w:val="00140C25"/>
    <w:rsid w:val="00143732"/>
    <w:rsid w:val="00143D2E"/>
    <w:rsid w:val="0014445A"/>
    <w:rsid w:val="0014633A"/>
    <w:rsid w:val="00146B0E"/>
    <w:rsid w:val="00147D7B"/>
    <w:rsid w:val="00152F43"/>
    <w:rsid w:val="0015364B"/>
    <w:rsid w:val="001539ED"/>
    <w:rsid w:val="00155F2E"/>
    <w:rsid w:val="00156DA1"/>
    <w:rsid w:val="001608A2"/>
    <w:rsid w:val="00160935"/>
    <w:rsid w:val="00161039"/>
    <w:rsid w:val="0016182E"/>
    <w:rsid w:val="00162628"/>
    <w:rsid w:val="0016268C"/>
    <w:rsid w:val="001636C9"/>
    <w:rsid w:val="0017015D"/>
    <w:rsid w:val="00170213"/>
    <w:rsid w:val="00173A77"/>
    <w:rsid w:val="00174316"/>
    <w:rsid w:val="00177057"/>
    <w:rsid w:val="00177314"/>
    <w:rsid w:val="00177ADB"/>
    <w:rsid w:val="0018174A"/>
    <w:rsid w:val="0018507B"/>
    <w:rsid w:val="00185C9B"/>
    <w:rsid w:val="00185CB6"/>
    <w:rsid w:val="0018780C"/>
    <w:rsid w:val="00190BDF"/>
    <w:rsid w:val="001912EC"/>
    <w:rsid w:val="00194443"/>
    <w:rsid w:val="00195154"/>
    <w:rsid w:val="001A21E9"/>
    <w:rsid w:val="001A2723"/>
    <w:rsid w:val="001A2C58"/>
    <w:rsid w:val="001A34CB"/>
    <w:rsid w:val="001A5D26"/>
    <w:rsid w:val="001B432C"/>
    <w:rsid w:val="001B6674"/>
    <w:rsid w:val="001C07C6"/>
    <w:rsid w:val="001C0DE9"/>
    <w:rsid w:val="001C12E1"/>
    <w:rsid w:val="001C24B8"/>
    <w:rsid w:val="001C2DF1"/>
    <w:rsid w:val="001C379F"/>
    <w:rsid w:val="001C5829"/>
    <w:rsid w:val="001C65D6"/>
    <w:rsid w:val="001C6CDE"/>
    <w:rsid w:val="001C790A"/>
    <w:rsid w:val="001C7C12"/>
    <w:rsid w:val="001D017B"/>
    <w:rsid w:val="001D03B1"/>
    <w:rsid w:val="001D5119"/>
    <w:rsid w:val="001D5AFE"/>
    <w:rsid w:val="001D715E"/>
    <w:rsid w:val="001D7609"/>
    <w:rsid w:val="001D7A9C"/>
    <w:rsid w:val="001E0CB0"/>
    <w:rsid w:val="001E32B2"/>
    <w:rsid w:val="001E6C26"/>
    <w:rsid w:val="001E7BAA"/>
    <w:rsid w:val="001E7D0B"/>
    <w:rsid w:val="001F167F"/>
    <w:rsid w:val="001F2636"/>
    <w:rsid w:val="001F2B92"/>
    <w:rsid w:val="001F3122"/>
    <w:rsid w:val="001F57A5"/>
    <w:rsid w:val="001F6C9B"/>
    <w:rsid w:val="001F7250"/>
    <w:rsid w:val="001F7976"/>
    <w:rsid w:val="001F7B7B"/>
    <w:rsid w:val="001F7D46"/>
    <w:rsid w:val="00201F6A"/>
    <w:rsid w:val="00203D94"/>
    <w:rsid w:val="0020717D"/>
    <w:rsid w:val="0021369A"/>
    <w:rsid w:val="00213EAB"/>
    <w:rsid w:val="002142E7"/>
    <w:rsid w:val="002154CB"/>
    <w:rsid w:val="00216CB7"/>
    <w:rsid w:val="002178DA"/>
    <w:rsid w:val="00221AA2"/>
    <w:rsid w:val="00221DB5"/>
    <w:rsid w:val="002222DF"/>
    <w:rsid w:val="0022277C"/>
    <w:rsid w:val="0022284D"/>
    <w:rsid w:val="00223A85"/>
    <w:rsid w:val="002247CC"/>
    <w:rsid w:val="00225A45"/>
    <w:rsid w:val="00226FD1"/>
    <w:rsid w:val="0022793C"/>
    <w:rsid w:val="00227A22"/>
    <w:rsid w:val="002312C3"/>
    <w:rsid w:val="00236AD1"/>
    <w:rsid w:val="00237D6D"/>
    <w:rsid w:val="00240CCC"/>
    <w:rsid w:val="00240EF6"/>
    <w:rsid w:val="002410ED"/>
    <w:rsid w:val="00242E28"/>
    <w:rsid w:val="00243FF0"/>
    <w:rsid w:val="0024604A"/>
    <w:rsid w:val="00250665"/>
    <w:rsid w:val="002516A1"/>
    <w:rsid w:val="0025191F"/>
    <w:rsid w:val="00251B24"/>
    <w:rsid w:val="00252AAF"/>
    <w:rsid w:val="00252CBB"/>
    <w:rsid w:val="00254308"/>
    <w:rsid w:val="00254923"/>
    <w:rsid w:val="0025584F"/>
    <w:rsid w:val="0025628B"/>
    <w:rsid w:val="00256C32"/>
    <w:rsid w:val="002630F7"/>
    <w:rsid w:val="0026440D"/>
    <w:rsid w:val="00266180"/>
    <w:rsid w:val="0026627C"/>
    <w:rsid w:val="002665B7"/>
    <w:rsid w:val="002709FD"/>
    <w:rsid w:val="00270A4C"/>
    <w:rsid w:val="002737E0"/>
    <w:rsid w:val="00274D6C"/>
    <w:rsid w:val="0027513A"/>
    <w:rsid w:val="002753A8"/>
    <w:rsid w:val="002775D4"/>
    <w:rsid w:val="00280259"/>
    <w:rsid w:val="00280E56"/>
    <w:rsid w:val="00284AB4"/>
    <w:rsid w:val="00284E64"/>
    <w:rsid w:val="00285308"/>
    <w:rsid w:val="00285E46"/>
    <w:rsid w:val="00287530"/>
    <w:rsid w:val="002875E4"/>
    <w:rsid w:val="00287ABB"/>
    <w:rsid w:val="002916C3"/>
    <w:rsid w:val="00291AE8"/>
    <w:rsid w:val="002926EA"/>
    <w:rsid w:val="00292D96"/>
    <w:rsid w:val="00293FC9"/>
    <w:rsid w:val="00294931"/>
    <w:rsid w:val="00294BBF"/>
    <w:rsid w:val="00294C72"/>
    <w:rsid w:val="00297AF2"/>
    <w:rsid w:val="002A0AC7"/>
    <w:rsid w:val="002A17B7"/>
    <w:rsid w:val="002A45BF"/>
    <w:rsid w:val="002A4748"/>
    <w:rsid w:val="002A48C8"/>
    <w:rsid w:val="002A5FBE"/>
    <w:rsid w:val="002A6A06"/>
    <w:rsid w:val="002A6C59"/>
    <w:rsid w:val="002A6C9A"/>
    <w:rsid w:val="002B244C"/>
    <w:rsid w:val="002B32A7"/>
    <w:rsid w:val="002B5904"/>
    <w:rsid w:val="002B5BD7"/>
    <w:rsid w:val="002B6C04"/>
    <w:rsid w:val="002B6FB4"/>
    <w:rsid w:val="002C0184"/>
    <w:rsid w:val="002C096A"/>
    <w:rsid w:val="002C19AF"/>
    <w:rsid w:val="002C2EF1"/>
    <w:rsid w:val="002C3EF1"/>
    <w:rsid w:val="002C5926"/>
    <w:rsid w:val="002C62F3"/>
    <w:rsid w:val="002C6841"/>
    <w:rsid w:val="002C72A2"/>
    <w:rsid w:val="002C79BD"/>
    <w:rsid w:val="002C7FE2"/>
    <w:rsid w:val="002D2572"/>
    <w:rsid w:val="002D2D7E"/>
    <w:rsid w:val="002D318A"/>
    <w:rsid w:val="002D31AA"/>
    <w:rsid w:val="002D3372"/>
    <w:rsid w:val="002D38C3"/>
    <w:rsid w:val="002D4624"/>
    <w:rsid w:val="002D5B4A"/>
    <w:rsid w:val="002D6033"/>
    <w:rsid w:val="002D6E01"/>
    <w:rsid w:val="002D7474"/>
    <w:rsid w:val="002E04C6"/>
    <w:rsid w:val="002E0D2E"/>
    <w:rsid w:val="002E12EF"/>
    <w:rsid w:val="002E1D2A"/>
    <w:rsid w:val="002E29D2"/>
    <w:rsid w:val="002E3997"/>
    <w:rsid w:val="002E4827"/>
    <w:rsid w:val="002E537B"/>
    <w:rsid w:val="002E5CAA"/>
    <w:rsid w:val="002E5E06"/>
    <w:rsid w:val="002E65FD"/>
    <w:rsid w:val="002F1A21"/>
    <w:rsid w:val="002F3B86"/>
    <w:rsid w:val="002F4F99"/>
    <w:rsid w:val="002F6FA0"/>
    <w:rsid w:val="002F7ADF"/>
    <w:rsid w:val="002F7C92"/>
    <w:rsid w:val="00300227"/>
    <w:rsid w:val="00304769"/>
    <w:rsid w:val="00304BCC"/>
    <w:rsid w:val="00304FAC"/>
    <w:rsid w:val="0030577E"/>
    <w:rsid w:val="00306B94"/>
    <w:rsid w:val="0030702F"/>
    <w:rsid w:val="00307C13"/>
    <w:rsid w:val="00307E66"/>
    <w:rsid w:val="0031022B"/>
    <w:rsid w:val="00312630"/>
    <w:rsid w:val="00313B65"/>
    <w:rsid w:val="00315588"/>
    <w:rsid w:val="0031561C"/>
    <w:rsid w:val="0031635B"/>
    <w:rsid w:val="00320AAF"/>
    <w:rsid w:val="003215D7"/>
    <w:rsid w:val="0032193B"/>
    <w:rsid w:val="00323165"/>
    <w:rsid w:val="003231A9"/>
    <w:rsid w:val="00324ECC"/>
    <w:rsid w:val="0032574A"/>
    <w:rsid w:val="00326B9F"/>
    <w:rsid w:val="00331559"/>
    <w:rsid w:val="00332CB2"/>
    <w:rsid w:val="00332E5D"/>
    <w:rsid w:val="00333B91"/>
    <w:rsid w:val="003343F5"/>
    <w:rsid w:val="003353F3"/>
    <w:rsid w:val="00336EBC"/>
    <w:rsid w:val="00342D16"/>
    <w:rsid w:val="0034353F"/>
    <w:rsid w:val="00344259"/>
    <w:rsid w:val="00353556"/>
    <w:rsid w:val="00355CDA"/>
    <w:rsid w:val="00355F54"/>
    <w:rsid w:val="003562F3"/>
    <w:rsid w:val="0035654D"/>
    <w:rsid w:val="00356DAD"/>
    <w:rsid w:val="0036079D"/>
    <w:rsid w:val="0036179B"/>
    <w:rsid w:val="003624BF"/>
    <w:rsid w:val="00364645"/>
    <w:rsid w:val="00364B97"/>
    <w:rsid w:val="00365941"/>
    <w:rsid w:val="00366133"/>
    <w:rsid w:val="003705A0"/>
    <w:rsid w:val="003708B7"/>
    <w:rsid w:val="0037490E"/>
    <w:rsid w:val="003749DE"/>
    <w:rsid w:val="0037568E"/>
    <w:rsid w:val="0037674D"/>
    <w:rsid w:val="0037733C"/>
    <w:rsid w:val="00377B21"/>
    <w:rsid w:val="00381884"/>
    <w:rsid w:val="00381CE0"/>
    <w:rsid w:val="00383A0C"/>
    <w:rsid w:val="00384DE8"/>
    <w:rsid w:val="00387024"/>
    <w:rsid w:val="00387112"/>
    <w:rsid w:val="00390C16"/>
    <w:rsid w:val="00391A6C"/>
    <w:rsid w:val="00391DE3"/>
    <w:rsid w:val="00393D09"/>
    <w:rsid w:val="00395391"/>
    <w:rsid w:val="0039581F"/>
    <w:rsid w:val="003A1622"/>
    <w:rsid w:val="003A16CC"/>
    <w:rsid w:val="003A1C2E"/>
    <w:rsid w:val="003A1D0C"/>
    <w:rsid w:val="003A21BD"/>
    <w:rsid w:val="003A308A"/>
    <w:rsid w:val="003A3BE1"/>
    <w:rsid w:val="003A4DBD"/>
    <w:rsid w:val="003A564F"/>
    <w:rsid w:val="003A6760"/>
    <w:rsid w:val="003A7F01"/>
    <w:rsid w:val="003B0A8A"/>
    <w:rsid w:val="003B1F71"/>
    <w:rsid w:val="003B1FA2"/>
    <w:rsid w:val="003B27E6"/>
    <w:rsid w:val="003B2F20"/>
    <w:rsid w:val="003B30C9"/>
    <w:rsid w:val="003B4F04"/>
    <w:rsid w:val="003B5BE0"/>
    <w:rsid w:val="003B65E6"/>
    <w:rsid w:val="003C0DD8"/>
    <w:rsid w:val="003C2AF6"/>
    <w:rsid w:val="003C32C0"/>
    <w:rsid w:val="003C4499"/>
    <w:rsid w:val="003C54B1"/>
    <w:rsid w:val="003C5D70"/>
    <w:rsid w:val="003C6081"/>
    <w:rsid w:val="003C7A5E"/>
    <w:rsid w:val="003C7BB7"/>
    <w:rsid w:val="003D14AA"/>
    <w:rsid w:val="003D184F"/>
    <w:rsid w:val="003D2746"/>
    <w:rsid w:val="003D32CF"/>
    <w:rsid w:val="003D4158"/>
    <w:rsid w:val="003D6C27"/>
    <w:rsid w:val="003D6E53"/>
    <w:rsid w:val="003E1681"/>
    <w:rsid w:val="003E1A44"/>
    <w:rsid w:val="003E3C56"/>
    <w:rsid w:val="003E4E1F"/>
    <w:rsid w:val="003E54DF"/>
    <w:rsid w:val="003F0225"/>
    <w:rsid w:val="003F0820"/>
    <w:rsid w:val="003F0E84"/>
    <w:rsid w:val="003F121B"/>
    <w:rsid w:val="003F1820"/>
    <w:rsid w:val="003F1E1D"/>
    <w:rsid w:val="003F2838"/>
    <w:rsid w:val="003F4C79"/>
    <w:rsid w:val="003F50E2"/>
    <w:rsid w:val="00401B04"/>
    <w:rsid w:val="00405E03"/>
    <w:rsid w:val="00411CCA"/>
    <w:rsid w:val="00412308"/>
    <w:rsid w:val="004131F2"/>
    <w:rsid w:val="00413570"/>
    <w:rsid w:val="00414248"/>
    <w:rsid w:val="0041439C"/>
    <w:rsid w:val="0041484C"/>
    <w:rsid w:val="004154E3"/>
    <w:rsid w:val="00421A2B"/>
    <w:rsid w:val="004227FE"/>
    <w:rsid w:val="0042306C"/>
    <w:rsid w:val="00425868"/>
    <w:rsid w:val="00425AA5"/>
    <w:rsid w:val="0042685A"/>
    <w:rsid w:val="00426CFF"/>
    <w:rsid w:val="00430FEA"/>
    <w:rsid w:val="0043135C"/>
    <w:rsid w:val="00431A11"/>
    <w:rsid w:val="00432CAD"/>
    <w:rsid w:val="00432E51"/>
    <w:rsid w:val="004331B2"/>
    <w:rsid w:val="004344B4"/>
    <w:rsid w:val="004368FD"/>
    <w:rsid w:val="00437377"/>
    <w:rsid w:val="00440904"/>
    <w:rsid w:val="00440D59"/>
    <w:rsid w:val="00441BAC"/>
    <w:rsid w:val="00442360"/>
    <w:rsid w:val="0044625B"/>
    <w:rsid w:val="004470A5"/>
    <w:rsid w:val="00450100"/>
    <w:rsid w:val="0045140E"/>
    <w:rsid w:val="00451554"/>
    <w:rsid w:val="004548EE"/>
    <w:rsid w:val="00455C2C"/>
    <w:rsid w:val="004564CE"/>
    <w:rsid w:val="00456F25"/>
    <w:rsid w:val="00460B96"/>
    <w:rsid w:val="004625D6"/>
    <w:rsid w:val="004638F4"/>
    <w:rsid w:val="00464E51"/>
    <w:rsid w:val="00465669"/>
    <w:rsid w:val="00466E29"/>
    <w:rsid w:val="00470393"/>
    <w:rsid w:val="004725B5"/>
    <w:rsid w:val="00473EBF"/>
    <w:rsid w:val="0047522E"/>
    <w:rsid w:val="00482A66"/>
    <w:rsid w:val="0048525E"/>
    <w:rsid w:val="004855C3"/>
    <w:rsid w:val="0048573A"/>
    <w:rsid w:val="00486DBE"/>
    <w:rsid w:val="004902C0"/>
    <w:rsid w:val="00491127"/>
    <w:rsid w:val="00491914"/>
    <w:rsid w:val="00492E97"/>
    <w:rsid w:val="00495C2C"/>
    <w:rsid w:val="004A134C"/>
    <w:rsid w:val="004A22C2"/>
    <w:rsid w:val="004A29A1"/>
    <w:rsid w:val="004A2D29"/>
    <w:rsid w:val="004A5901"/>
    <w:rsid w:val="004A6D6B"/>
    <w:rsid w:val="004A7671"/>
    <w:rsid w:val="004A78D3"/>
    <w:rsid w:val="004B2E74"/>
    <w:rsid w:val="004B3119"/>
    <w:rsid w:val="004B3915"/>
    <w:rsid w:val="004B4572"/>
    <w:rsid w:val="004B482B"/>
    <w:rsid w:val="004B69A8"/>
    <w:rsid w:val="004B7D70"/>
    <w:rsid w:val="004C0021"/>
    <w:rsid w:val="004C18E5"/>
    <w:rsid w:val="004C1AA5"/>
    <w:rsid w:val="004C36BB"/>
    <w:rsid w:val="004C46A4"/>
    <w:rsid w:val="004C6379"/>
    <w:rsid w:val="004C7C42"/>
    <w:rsid w:val="004D0B65"/>
    <w:rsid w:val="004D1953"/>
    <w:rsid w:val="004D2571"/>
    <w:rsid w:val="004D6D56"/>
    <w:rsid w:val="004D789B"/>
    <w:rsid w:val="004D7A78"/>
    <w:rsid w:val="004E2A49"/>
    <w:rsid w:val="004E2D51"/>
    <w:rsid w:val="004E3C9B"/>
    <w:rsid w:val="004E40B4"/>
    <w:rsid w:val="004E49E8"/>
    <w:rsid w:val="004E64F4"/>
    <w:rsid w:val="004E7019"/>
    <w:rsid w:val="004F0510"/>
    <w:rsid w:val="004F1D8C"/>
    <w:rsid w:val="004F3CB6"/>
    <w:rsid w:val="004F7ECC"/>
    <w:rsid w:val="004F7F8F"/>
    <w:rsid w:val="00502B2E"/>
    <w:rsid w:val="005036D6"/>
    <w:rsid w:val="0050592A"/>
    <w:rsid w:val="00505AD8"/>
    <w:rsid w:val="00507389"/>
    <w:rsid w:val="005100CF"/>
    <w:rsid w:val="00511181"/>
    <w:rsid w:val="0051379B"/>
    <w:rsid w:val="00514F91"/>
    <w:rsid w:val="0052013E"/>
    <w:rsid w:val="00520C36"/>
    <w:rsid w:val="005213EB"/>
    <w:rsid w:val="0052274D"/>
    <w:rsid w:val="00523718"/>
    <w:rsid w:val="00523A14"/>
    <w:rsid w:val="005242BE"/>
    <w:rsid w:val="00524D81"/>
    <w:rsid w:val="00525A12"/>
    <w:rsid w:val="00525E6C"/>
    <w:rsid w:val="00526D8B"/>
    <w:rsid w:val="00527479"/>
    <w:rsid w:val="00530857"/>
    <w:rsid w:val="00530C67"/>
    <w:rsid w:val="00531F8A"/>
    <w:rsid w:val="0053274F"/>
    <w:rsid w:val="005330A4"/>
    <w:rsid w:val="00533A5D"/>
    <w:rsid w:val="00535E7F"/>
    <w:rsid w:val="00536B8C"/>
    <w:rsid w:val="0054138C"/>
    <w:rsid w:val="0054174C"/>
    <w:rsid w:val="00541769"/>
    <w:rsid w:val="00541B9D"/>
    <w:rsid w:val="00541DBB"/>
    <w:rsid w:val="00541E0A"/>
    <w:rsid w:val="0054216E"/>
    <w:rsid w:val="0054656A"/>
    <w:rsid w:val="00547956"/>
    <w:rsid w:val="00547CFA"/>
    <w:rsid w:val="0055030A"/>
    <w:rsid w:val="00551B9C"/>
    <w:rsid w:val="005520C3"/>
    <w:rsid w:val="0055306B"/>
    <w:rsid w:val="00553484"/>
    <w:rsid w:val="00553CEC"/>
    <w:rsid w:val="005541FE"/>
    <w:rsid w:val="005564C1"/>
    <w:rsid w:val="00557565"/>
    <w:rsid w:val="00557AA8"/>
    <w:rsid w:val="00557C32"/>
    <w:rsid w:val="00560949"/>
    <w:rsid w:val="0056153F"/>
    <w:rsid w:val="00561C79"/>
    <w:rsid w:val="00562A93"/>
    <w:rsid w:val="0056732C"/>
    <w:rsid w:val="00570179"/>
    <w:rsid w:val="0057018D"/>
    <w:rsid w:val="00572A95"/>
    <w:rsid w:val="00574A33"/>
    <w:rsid w:val="0057511B"/>
    <w:rsid w:val="00575A89"/>
    <w:rsid w:val="0057793E"/>
    <w:rsid w:val="00577D29"/>
    <w:rsid w:val="00581AB9"/>
    <w:rsid w:val="00582B8D"/>
    <w:rsid w:val="0058501C"/>
    <w:rsid w:val="005850B7"/>
    <w:rsid w:val="005863B8"/>
    <w:rsid w:val="00590D15"/>
    <w:rsid w:val="00592FEC"/>
    <w:rsid w:val="00593655"/>
    <w:rsid w:val="0059383D"/>
    <w:rsid w:val="0059634F"/>
    <w:rsid w:val="005A0871"/>
    <w:rsid w:val="005A1D59"/>
    <w:rsid w:val="005A253D"/>
    <w:rsid w:val="005A4C1A"/>
    <w:rsid w:val="005A65ED"/>
    <w:rsid w:val="005B0773"/>
    <w:rsid w:val="005B1735"/>
    <w:rsid w:val="005B1B81"/>
    <w:rsid w:val="005B1F82"/>
    <w:rsid w:val="005B2DFF"/>
    <w:rsid w:val="005B3FCF"/>
    <w:rsid w:val="005B4347"/>
    <w:rsid w:val="005B528E"/>
    <w:rsid w:val="005B61A8"/>
    <w:rsid w:val="005B7A20"/>
    <w:rsid w:val="005C0598"/>
    <w:rsid w:val="005C1864"/>
    <w:rsid w:val="005C1D72"/>
    <w:rsid w:val="005C363A"/>
    <w:rsid w:val="005C5E49"/>
    <w:rsid w:val="005C6620"/>
    <w:rsid w:val="005D0DAE"/>
    <w:rsid w:val="005D162B"/>
    <w:rsid w:val="005D460D"/>
    <w:rsid w:val="005D6020"/>
    <w:rsid w:val="005D61F6"/>
    <w:rsid w:val="005D7B9B"/>
    <w:rsid w:val="005E0409"/>
    <w:rsid w:val="005E2516"/>
    <w:rsid w:val="005E3458"/>
    <w:rsid w:val="005E44AB"/>
    <w:rsid w:val="005E560D"/>
    <w:rsid w:val="005E7CFC"/>
    <w:rsid w:val="005F1D44"/>
    <w:rsid w:val="005F3759"/>
    <w:rsid w:val="005F43C7"/>
    <w:rsid w:val="005F4AE8"/>
    <w:rsid w:val="005F6CED"/>
    <w:rsid w:val="00600B15"/>
    <w:rsid w:val="00600CB1"/>
    <w:rsid w:val="006021E9"/>
    <w:rsid w:val="00602710"/>
    <w:rsid w:val="00602C83"/>
    <w:rsid w:val="00603598"/>
    <w:rsid w:val="006060F7"/>
    <w:rsid w:val="00606824"/>
    <w:rsid w:val="00606EF6"/>
    <w:rsid w:val="00610AD0"/>
    <w:rsid w:val="006125D5"/>
    <w:rsid w:val="00613C81"/>
    <w:rsid w:val="00613E8E"/>
    <w:rsid w:val="00613F08"/>
    <w:rsid w:val="00613FEF"/>
    <w:rsid w:val="00614772"/>
    <w:rsid w:val="00614B45"/>
    <w:rsid w:val="006150A8"/>
    <w:rsid w:val="00616CA9"/>
    <w:rsid w:val="00616F6B"/>
    <w:rsid w:val="00617C03"/>
    <w:rsid w:val="00617E5C"/>
    <w:rsid w:val="00621281"/>
    <w:rsid w:val="00621E46"/>
    <w:rsid w:val="00622700"/>
    <w:rsid w:val="00622919"/>
    <w:rsid w:val="00623085"/>
    <w:rsid w:val="006230C1"/>
    <w:rsid w:val="00624E4E"/>
    <w:rsid w:val="00626F43"/>
    <w:rsid w:val="00635B73"/>
    <w:rsid w:val="00636313"/>
    <w:rsid w:val="00644734"/>
    <w:rsid w:val="00646AD2"/>
    <w:rsid w:val="0064728F"/>
    <w:rsid w:val="006477BE"/>
    <w:rsid w:val="00647C27"/>
    <w:rsid w:val="006517CF"/>
    <w:rsid w:val="00651FF4"/>
    <w:rsid w:val="00655AC2"/>
    <w:rsid w:val="00660C8E"/>
    <w:rsid w:val="00660F8C"/>
    <w:rsid w:val="006626A3"/>
    <w:rsid w:val="006630D0"/>
    <w:rsid w:val="0066402D"/>
    <w:rsid w:val="00664580"/>
    <w:rsid w:val="00664AE0"/>
    <w:rsid w:val="00665123"/>
    <w:rsid w:val="00666084"/>
    <w:rsid w:val="00666561"/>
    <w:rsid w:val="00666D15"/>
    <w:rsid w:val="006675BE"/>
    <w:rsid w:val="00670589"/>
    <w:rsid w:val="00670B61"/>
    <w:rsid w:val="006714CA"/>
    <w:rsid w:val="006745C3"/>
    <w:rsid w:val="006746B3"/>
    <w:rsid w:val="006757FB"/>
    <w:rsid w:val="00675AF4"/>
    <w:rsid w:val="00676860"/>
    <w:rsid w:val="00676FED"/>
    <w:rsid w:val="006773C4"/>
    <w:rsid w:val="006778E6"/>
    <w:rsid w:val="00681EF0"/>
    <w:rsid w:val="00682CA8"/>
    <w:rsid w:val="006844B3"/>
    <w:rsid w:val="00685F62"/>
    <w:rsid w:val="0069115E"/>
    <w:rsid w:val="006937C7"/>
    <w:rsid w:val="006946B0"/>
    <w:rsid w:val="00694A39"/>
    <w:rsid w:val="00695912"/>
    <w:rsid w:val="0069777F"/>
    <w:rsid w:val="00697F80"/>
    <w:rsid w:val="006A11CA"/>
    <w:rsid w:val="006A167B"/>
    <w:rsid w:val="006A1EF2"/>
    <w:rsid w:val="006A2BE6"/>
    <w:rsid w:val="006A3ADB"/>
    <w:rsid w:val="006A3BA9"/>
    <w:rsid w:val="006A432D"/>
    <w:rsid w:val="006A43E9"/>
    <w:rsid w:val="006A4B46"/>
    <w:rsid w:val="006A5809"/>
    <w:rsid w:val="006A581F"/>
    <w:rsid w:val="006A625F"/>
    <w:rsid w:val="006A69D7"/>
    <w:rsid w:val="006A7261"/>
    <w:rsid w:val="006A751D"/>
    <w:rsid w:val="006B01A2"/>
    <w:rsid w:val="006B1822"/>
    <w:rsid w:val="006B1EAF"/>
    <w:rsid w:val="006B4950"/>
    <w:rsid w:val="006B5175"/>
    <w:rsid w:val="006B6095"/>
    <w:rsid w:val="006C2D0C"/>
    <w:rsid w:val="006C395A"/>
    <w:rsid w:val="006C3BF9"/>
    <w:rsid w:val="006C3CE2"/>
    <w:rsid w:val="006C3FAB"/>
    <w:rsid w:val="006D2A1C"/>
    <w:rsid w:val="006D32E7"/>
    <w:rsid w:val="006D3BBF"/>
    <w:rsid w:val="006D4C47"/>
    <w:rsid w:val="006D4FA6"/>
    <w:rsid w:val="006D5044"/>
    <w:rsid w:val="006D5E3D"/>
    <w:rsid w:val="006E0B0A"/>
    <w:rsid w:val="006E1FE2"/>
    <w:rsid w:val="006E2000"/>
    <w:rsid w:val="006E22C1"/>
    <w:rsid w:val="006E2E8E"/>
    <w:rsid w:val="006E3F68"/>
    <w:rsid w:val="006E40A8"/>
    <w:rsid w:val="006E632B"/>
    <w:rsid w:val="006E7D0F"/>
    <w:rsid w:val="006F19EB"/>
    <w:rsid w:val="006F4952"/>
    <w:rsid w:val="006F4984"/>
    <w:rsid w:val="006F4F02"/>
    <w:rsid w:val="006F4F65"/>
    <w:rsid w:val="006F593B"/>
    <w:rsid w:val="006F6756"/>
    <w:rsid w:val="006F7DDF"/>
    <w:rsid w:val="00701BD8"/>
    <w:rsid w:val="00701C12"/>
    <w:rsid w:val="007020CB"/>
    <w:rsid w:val="007029E7"/>
    <w:rsid w:val="0070333B"/>
    <w:rsid w:val="00703C57"/>
    <w:rsid w:val="007044A3"/>
    <w:rsid w:val="00704B3C"/>
    <w:rsid w:val="0070628E"/>
    <w:rsid w:val="0070689C"/>
    <w:rsid w:val="00707CDB"/>
    <w:rsid w:val="00710641"/>
    <w:rsid w:val="00715255"/>
    <w:rsid w:val="0071565C"/>
    <w:rsid w:val="00717B9B"/>
    <w:rsid w:val="007233DC"/>
    <w:rsid w:val="007233ED"/>
    <w:rsid w:val="007257E6"/>
    <w:rsid w:val="00726C63"/>
    <w:rsid w:val="007275B0"/>
    <w:rsid w:val="0073175F"/>
    <w:rsid w:val="0073287D"/>
    <w:rsid w:val="00734262"/>
    <w:rsid w:val="00735033"/>
    <w:rsid w:val="00735AA5"/>
    <w:rsid w:val="00737336"/>
    <w:rsid w:val="00740AE5"/>
    <w:rsid w:val="00741FC0"/>
    <w:rsid w:val="00742772"/>
    <w:rsid w:val="00744085"/>
    <w:rsid w:val="00744CB5"/>
    <w:rsid w:val="00745196"/>
    <w:rsid w:val="007477F3"/>
    <w:rsid w:val="007502E2"/>
    <w:rsid w:val="00750AEF"/>
    <w:rsid w:val="00750D3C"/>
    <w:rsid w:val="0075358E"/>
    <w:rsid w:val="00754F31"/>
    <w:rsid w:val="007555E1"/>
    <w:rsid w:val="00755915"/>
    <w:rsid w:val="00760494"/>
    <w:rsid w:val="007612B2"/>
    <w:rsid w:val="0076132F"/>
    <w:rsid w:val="00761877"/>
    <w:rsid w:val="007635F5"/>
    <w:rsid w:val="00764AD1"/>
    <w:rsid w:val="0076652E"/>
    <w:rsid w:val="007677B7"/>
    <w:rsid w:val="007677CE"/>
    <w:rsid w:val="0076787E"/>
    <w:rsid w:val="00770E13"/>
    <w:rsid w:val="00770F58"/>
    <w:rsid w:val="00771592"/>
    <w:rsid w:val="00773C2A"/>
    <w:rsid w:val="00774CEF"/>
    <w:rsid w:val="00777F93"/>
    <w:rsid w:val="007810A1"/>
    <w:rsid w:val="00781452"/>
    <w:rsid w:val="007822E8"/>
    <w:rsid w:val="0078300E"/>
    <w:rsid w:val="0078557B"/>
    <w:rsid w:val="00785F77"/>
    <w:rsid w:val="00786007"/>
    <w:rsid w:val="00786466"/>
    <w:rsid w:val="00787970"/>
    <w:rsid w:val="0079128A"/>
    <w:rsid w:val="007917A6"/>
    <w:rsid w:val="00793343"/>
    <w:rsid w:val="00793DE7"/>
    <w:rsid w:val="00794B07"/>
    <w:rsid w:val="00794D8F"/>
    <w:rsid w:val="00795686"/>
    <w:rsid w:val="00797DA3"/>
    <w:rsid w:val="007A1813"/>
    <w:rsid w:val="007A1CAD"/>
    <w:rsid w:val="007A1D5B"/>
    <w:rsid w:val="007A21C2"/>
    <w:rsid w:val="007A2B64"/>
    <w:rsid w:val="007A3FBC"/>
    <w:rsid w:val="007A4D8B"/>
    <w:rsid w:val="007A6346"/>
    <w:rsid w:val="007A6415"/>
    <w:rsid w:val="007A76F5"/>
    <w:rsid w:val="007B054F"/>
    <w:rsid w:val="007B055C"/>
    <w:rsid w:val="007B0AE5"/>
    <w:rsid w:val="007B162C"/>
    <w:rsid w:val="007B4829"/>
    <w:rsid w:val="007B54A2"/>
    <w:rsid w:val="007B6242"/>
    <w:rsid w:val="007B787B"/>
    <w:rsid w:val="007B7AFF"/>
    <w:rsid w:val="007C0776"/>
    <w:rsid w:val="007C26C2"/>
    <w:rsid w:val="007C2C87"/>
    <w:rsid w:val="007C5C09"/>
    <w:rsid w:val="007C679A"/>
    <w:rsid w:val="007C7D3F"/>
    <w:rsid w:val="007D2AAA"/>
    <w:rsid w:val="007D59DC"/>
    <w:rsid w:val="007D5B76"/>
    <w:rsid w:val="007D7315"/>
    <w:rsid w:val="007E0BF4"/>
    <w:rsid w:val="007E1A53"/>
    <w:rsid w:val="007E2C58"/>
    <w:rsid w:val="007E3C88"/>
    <w:rsid w:val="007E50AD"/>
    <w:rsid w:val="007E6BB9"/>
    <w:rsid w:val="007E6F11"/>
    <w:rsid w:val="007F1ECA"/>
    <w:rsid w:val="007F33F4"/>
    <w:rsid w:val="007F3FE1"/>
    <w:rsid w:val="007F449F"/>
    <w:rsid w:val="008010F0"/>
    <w:rsid w:val="00803183"/>
    <w:rsid w:val="008032F8"/>
    <w:rsid w:val="00803F7F"/>
    <w:rsid w:val="00805B67"/>
    <w:rsid w:val="008071E9"/>
    <w:rsid w:val="0081020F"/>
    <w:rsid w:val="00810492"/>
    <w:rsid w:val="008104FA"/>
    <w:rsid w:val="008108CC"/>
    <w:rsid w:val="00816AB3"/>
    <w:rsid w:val="00817051"/>
    <w:rsid w:val="008174AB"/>
    <w:rsid w:val="00820505"/>
    <w:rsid w:val="00821663"/>
    <w:rsid w:val="00822527"/>
    <w:rsid w:val="00823439"/>
    <w:rsid w:val="00823493"/>
    <w:rsid w:val="00824E88"/>
    <w:rsid w:val="008315ED"/>
    <w:rsid w:val="00831B2D"/>
    <w:rsid w:val="00833F45"/>
    <w:rsid w:val="00834E2C"/>
    <w:rsid w:val="008405AF"/>
    <w:rsid w:val="00840DD7"/>
    <w:rsid w:val="0084129B"/>
    <w:rsid w:val="00842210"/>
    <w:rsid w:val="008424B4"/>
    <w:rsid w:val="008424D1"/>
    <w:rsid w:val="00843EF6"/>
    <w:rsid w:val="008472DE"/>
    <w:rsid w:val="00850145"/>
    <w:rsid w:val="008520E6"/>
    <w:rsid w:val="00852EB3"/>
    <w:rsid w:val="008535B5"/>
    <w:rsid w:val="00855FA8"/>
    <w:rsid w:val="00856618"/>
    <w:rsid w:val="00860EF0"/>
    <w:rsid w:val="00861F0F"/>
    <w:rsid w:val="00863370"/>
    <w:rsid w:val="00866A5F"/>
    <w:rsid w:val="008676F8"/>
    <w:rsid w:val="00867FB4"/>
    <w:rsid w:val="00870F49"/>
    <w:rsid w:val="00872CB7"/>
    <w:rsid w:val="00872D1C"/>
    <w:rsid w:val="00873197"/>
    <w:rsid w:val="00874EFF"/>
    <w:rsid w:val="008751EC"/>
    <w:rsid w:val="0087540C"/>
    <w:rsid w:val="00877270"/>
    <w:rsid w:val="00880FB6"/>
    <w:rsid w:val="00882B22"/>
    <w:rsid w:val="0088307B"/>
    <w:rsid w:val="008845F2"/>
    <w:rsid w:val="0088536C"/>
    <w:rsid w:val="00885EF0"/>
    <w:rsid w:val="008871F2"/>
    <w:rsid w:val="00890E6C"/>
    <w:rsid w:val="00891A6A"/>
    <w:rsid w:val="00891B8E"/>
    <w:rsid w:val="00892A9E"/>
    <w:rsid w:val="00895301"/>
    <w:rsid w:val="00895A6E"/>
    <w:rsid w:val="00895D07"/>
    <w:rsid w:val="008970F1"/>
    <w:rsid w:val="008A0966"/>
    <w:rsid w:val="008A1C6A"/>
    <w:rsid w:val="008A273E"/>
    <w:rsid w:val="008A3EBC"/>
    <w:rsid w:val="008A417D"/>
    <w:rsid w:val="008A543E"/>
    <w:rsid w:val="008A56B8"/>
    <w:rsid w:val="008A6317"/>
    <w:rsid w:val="008A68B3"/>
    <w:rsid w:val="008B2F75"/>
    <w:rsid w:val="008B4F87"/>
    <w:rsid w:val="008B5671"/>
    <w:rsid w:val="008B5F6A"/>
    <w:rsid w:val="008C1BBA"/>
    <w:rsid w:val="008C4722"/>
    <w:rsid w:val="008C4A58"/>
    <w:rsid w:val="008C6819"/>
    <w:rsid w:val="008C7117"/>
    <w:rsid w:val="008C7E3A"/>
    <w:rsid w:val="008D0E4A"/>
    <w:rsid w:val="008D1BE7"/>
    <w:rsid w:val="008D292A"/>
    <w:rsid w:val="008D33F5"/>
    <w:rsid w:val="008D3A13"/>
    <w:rsid w:val="008D3D85"/>
    <w:rsid w:val="008D47A1"/>
    <w:rsid w:val="008D4CC3"/>
    <w:rsid w:val="008D60D9"/>
    <w:rsid w:val="008D6371"/>
    <w:rsid w:val="008E1CAF"/>
    <w:rsid w:val="008E2E86"/>
    <w:rsid w:val="008E3695"/>
    <w:rsid w:val="008E64FD"/>
    <w:rsid w:val="008F02CB"/>
    <w:rsid w:val="008F0F1A"/>
    <w:rsid w:val="008F2755"/>
    <w:rsid w:val="008F3C8B"/>
    <w:rsid w:val="008F3DCC"/>
    <w:rsid w:val="008F4448"/>
    <w:rsid w:val="008F5465"/>
    <w:rsid w:val="008F6FD5"/>
    <w:rsid w:val="008F7C5A"/>
    <w:rsid w:val="00900D1D"/>
    <w:rsid w:val="009012FC"/>
    <w:rsid w:val="00901E54"/>
    <w:rsid w:val="00901F71"/>
    <w:rsid w:val="00902296"/>
    <w:rsid w:val="00903703"/>
    <w:rsid w:val="00905CD2"/>
    <w:rsid w:val="00906015"/>
    <w:rsid w:val="00906738"/>
    <w:rsid w:val="00907E6E"/>
    <w:rsid w:val="0091072B"/>
    <w:rsid w:val="00911FF5"/>
    <w:rsid w:val="009132EE"/>
    <w:rsid w:val="00915608"/>
    <w:rsid w:val="00916357"/>
    <w:rsid w:val="009166C9"/>
    <w:rsid w:val="0092143C"/>
    <w:rsid w:val="00921BA5"/>
    <w:rsid w:val="00922B91"/>
    <w:rsid w:val="00926BCF"/>
    <w:rsid w:val="00927AC1"/>
    <w:rsid w:val="0093006F"/>
    <w:rsid w:val="00930C0C"/>
    <w:rsid w:val="009329B7"/>
    <w:rsid w:val="009337D3"/>
    <w:rsid w:val="009337E0"/>
    <w:rsid w:val="00934591"/>
    <w:rsid w:val="0093480F"/>
    <w:rsid w:val="00935774"/>
    <w:rsid w:val="0093577A"/>
    <w:rsid w:val="009365B1"/>
    <w:rsid w:val="00936E18"/>
    <w:rsid w:val="00937895"/>
    <w:rsid w:val="00940C40"/>
    <w:rsid w:val="00940EE1"/>
    <w:rsid w:val="00941B9F"/>
    <w:rsid w:val="00943A4D"/>
    <w:rsid w:val="009449A5"/>
    <w:rsid w:val="00944CA2"/>
    <w:rsid w:val="00944DBE"/>
    <w:rsid w:val="00944E01"/>
    <w:rsid w:val="00945B46"/>
    <w:rsid w:val="009504DD"/>
    <w:rsid w:val="009512CE"/>
    <w:rsid w:val="00953A30"/>
    <w:rsid w:val="00953B2D"/>
    <w:rsid w:val="00954100"/>
    <w:rsid w:val="00954172"/>
    <w:rsid w:val="00954294"/>
    <w:rsid w:val="00954A02"/>
    <w:rsid w:val="00954ABD"/>
    <w:rsid w:val="00954BD4"/>
    <w:rsid w:val="00954DC0"/>
    <w:rsid w:val="009576A0"/>
    <w:rsid w:val="00957D51"/>
    <w:rsid w:val="00961444"/>
    <w:rsid w:val="00961D5D"/>
    <w:rsid w:val="00961FC4"/>
    <w:rsid w:val="0096251F"/>
    <w:rsid w:val="00963018"/>
    <w:rsid w:val="0096505F"/>
    <w:rsid w:val="00965454"/>
    <w:rsid w:val="009660F7"/>
    <w:rsid w:val="00966234"/>
    <w:rsid w:val="00967F5E"/>
    <w:rsid w:val="00970E7C"/>
    <w:rsid w:val="00971C50"/>
    <w:rsid w:val="00972D6B"/>
    <w:rsid w:val="00972FD4"/>
    <w:rsid w:val="00974815"/>
    <w:rsid w:val="00981330"/>
    <w:rsid w:val="0098189E"/>
    <w:rsid w:val="00983938"/>
    <w:rsid w:val="0098597A"/>
    <w:rsid w:val="009859DC"/>
    <w:rsid w:val="00987709"/>
    <w:rsid w:val="0098789A"/>
    <w:rsid w:val="00990135"/>
    <w:rsid w:val="0099100E"/>
    <w:rsid w:val="009919E1"/>
    <w:rsid w:val="00992FC7"/>
    <w:rsid w:val="00993F27"/>
    <w:rsid w:val="00994251"/>
    <w:rsid w:val="00994F8F"/>
    <w:rsid w:val="009955FE"/>
    <w:rsid w:val="00995DDF"/>
    <w:rsid w:val="00996BAB"/>
    <w:rsid w:val="009973CE"/>
    <w:rsid w:val="00997CCA"/>
    <w:rsid w:val="00997FFE"/>
    <w:rsid w:val="009A03FD"/>
    <w:rsid w:val="009A1527"/>
    <w:rsid w:val="009A638D"/>
    <w:rsid w:val="009A661C"/>
    <w:rsid w:val="009B00C6"/>
    <w:rsid w:val="009B1A27"/>
    <w:rsid w:val="009B2680"/>
    <w:rsid w:val="009B447A"/>
    <w:rsid w:val="009B4FF3"/>
    <w:rsid w:val="009B5F68"/>
    <w:rsid w:val="009B67DE"/>
    <w:rsid w:val="009B7B10"/>
    <w:rsid w:val="009C13A0"/>
    <w:rsid w:val="009C18DD"/>
    <w:rsid w:val="009C19E9"/>
    <w:rsid w:val="009C1C38"/>
    <w:rsid w:val="009C3A9A"/>
    <w:rsid w:val="009C4E37"/>
    <w:rsid w:val="009C5FF7"/>
    <w:rsid w:val="009C6881"/>
    <w:rsid w:val="009C7F26"/>
    <w:rsid w:val="009D0D1D"/>
    <w:rsid w:val="009D3462"/>
    <w:rsid w:val="009D3B60"/>
    <w:rsid w:val="009D4E37"/>
    <w:rsid w:val="009D642F"/>
    <w:rsid w:val="009D72E8"/>
    <w:rsid w:val="009E12C8"/>
    <w:rsid w:val="009E153B"/>
    <w:rsid w:val="009E20EC"/>
    <w:rsid w:val="009E232D"/>
    <w:rsid w:val="009E2F71"/>
    <w:rsid w:val="009E338D"/>
    <w:rsid w:val="009E3C38"/>
    <w:rsid w:val="009E51B7"/>
    <w:rsid w:val="009E553A"/>
    <w:rsid w:val="009E6B3C"/>
    <w:rsid w:val="009E6BC0"/>
    <w:rsid w:val="009E6BFF"/>
    <w:rsid w:val="009F1BC4"/>
    <w:rsid w:val="009F1F8C"/>
    <w:rsid w:val="009F292A"/>
    <w:rsid w:val="009F4662"/>
    <w:rsid w:val="009F47B3"/>
    <w:rsid w:val="009F6029"/>
    <w:rsid w:val="009F6451"/>
    <w:rsid w:val="00A002F2"/>
    <w:rsid w:val="00A00B0E"/>
    <w:rsid w:val="00A0174A"/>
    <w:rsid w:val="00A06FE0"/>
    <w:rsid w:val="00A07E31"/>
    <w:rsid w:val="00A10AF6"/>
    <w:rsid w:val="00A114D3"/>
    <w:rsid w:val="00A1394F"/>
    <w:rsid w:val="00A14E95"/>
    <w:rsid w:val="00A14E9C"/>
    <w:rsid w:val="00A155A4"/>
    <w:rsid w:val="00A15791"/>
    <w:rsid w:val="00A2000F"/>
    <w:rsid w:val="00A21832"/>
    <w:rsid w:val="00A218FF"/>
    <w:rsid w:val="00A25BA5"/>
    <w:rsid w:val="00A273D2"/>
    <w:rsid w:val="00A27C4A"/>
    <w:rsid w:val="00A30034"/>
    <w:rsid w:val="00A3335E"/>
    <w:rsid w:val="00A3369C"/>
    <w:rsid w:val="00A36053"/>
    <w:rsid w:val="00A36D4F"/>
    <w:rsid w:val="00A36F12"/>
    <w:rsid w:val="00A37734"/>
    <w:rsid w:val="00A40AEA"/>
    <w:rsid w:val="00A418CA"/>
    <w:rsid w:val="00A427AF"/>
    <w:rsid w:val="00A431E2"/>
    <w:rsid w:val="00A466A8"/>
    <w:rsid w:val="00A5015C"/>
    <w:rsid w:val="00A510D0"/>
    <w:rsid w:val="00A51BA1"/>
    <w:rsid w:val="00A52BE5"/>
    <w:rsid w:val="00A54D37"/>
    <w:rsid w:val="00A5510B"/>
    <w:rsid w:val="00A552F0"/>
    <w:rsid w:val="00A55703"/>
    <w:rsid w:val="00A55B46"/>
    <w:rsid w:val="00A56532"/>
    <w:rsid w:val="00A6218F"/>
    <w:rsid w:val="00A638EF"/>
    <w:rsid w:val="00A63B44"/>
    <w:rsid w:val="00A63DA0"/>
    <w:rsid w:val="00A65413"/>
    <w:rsid w:val="00A65598"/>
    <w:rsid w:val="00A6690F"/>
    <w:rsid w:val="00A7003F"/>
    <w:rsid w:val="00A70559"/>
    <w:rsid w:val="00A7451F"/>
    <w:rsid w:val="00A75E10"/>
    <w:rsid w:val="00A7675C"/>
    <w:rsid w:val="00A801AC"/>
    <w:rsid w:val="00A804B1"/>
    <w:rsid w:val="00A80A6B"/>
    <w:rsid w:val="00A8124C"/>
    <w:rsid w:val="00A81B8C"/>
    <w:rsid w:val="00A81C51"/>
    <w:rsid w:val="00A83E0F"/>
    <w:rsid w:val="00A84DD9"/>
    <w:rsid w:val="00A853BD"/>
    <w:rsid w:val="00A85755"/>
    <w:rsid w:val="00A86FFB"/>
    <w:rsid w:val="00A9192A"/>
    <w:rsid w:val="00A921EB"/>
    <w:rsid w:val="00A9243E"/>
    <w:rsid w:val="00A92ED0"/>
    <w:rsid w:val="00A92F80"/>
    <w:rsid w:val="00A93CEE"/>
    <w:rsid w:val="00A9418D"/>
    <w:rsid w:val="00A94593"/>
    <w:rsid w:val="00A95BA7"/>
    <w:rsid w:val="00AA2177"/>
    <w:rsid w:val="00AA2F3B"/>
    <w:rsid w:val="00AA3208"/>
    <w:rsid w:val="00AA32B2"/>
    <w:rsid w:val="00AA330B"/>
    <w:rsid w:val="00AA5BD5"/>
    <w:rsid w:val="00AB0AAA"/>
    <w:rsid w:val="00AB0E90"/>
    <w:rsid w:val="00AB1566"/>
    <w:rsid w:val="00AB165E"/>
    <w:rsid w:val="00AB1E7F"/>
    <w:rsid w:val="00AB24BD"/>
    <w:rsid w:val="00AB3DAC"/>
    <w:rsid w:val="00AB40F9"/>
    <w:rsid w:val="00AB5D4D"/>
    <w:rsid w:val="00AB6F48"/>
    <w:rsid w:val="00AC103B"/>
    <w:rsid w:val="00AC1A59"/>
    <w:rsid w:val="00AC20CB"/>
    <w:rsid w:val="00AC270D"/>
    <w:rsid w:val="00AC32FF"/>
    <w:rsid w:val="00AC3F2C"/>
    <w:rsid w:val="00AC6772"/>
    <w:rsid w:val="00AC7282"/>
    <w:rsid w:val="00AC771E"/>
    <w:rsid w:val="00AD1D2D"/>
    <w:rsid w:val="00AD213B"/>
    <w:rsid w:val="00AD4465"/>
    <w:rsid w:val="00AD44AC"/>
    <w:rsid w:val="00AD576E"/>
    <w:rsid w:val="00AE01D2"/>
    <w:rsid w:val="00AE2B9E"/>
    <w:rsid w:val="00AE30D5"/>
    <w:rsid w:val="00AE3225"/>
    <w:rsid w:val="00AE4BEB"/>
    <w:rsid w:val="00AE6A6A"/>
    <w:rsid w:val="00AE74D6"/>
    <w:rsid w:val="00AF0A2D"/>
    <w:rsid w:val="00AF0B88"/>
    <w:rsid w:val="00AF0EC2"/>
    <w:rsid w:val="00AF0F3C"/>
    <w:rsid w:val="00AF126A"/>
    <w:rsid w:val="00AF286B"/>
    <w:rsid w:val="00AF3718"/>
    <w:rsid w:val="00AF3C0C"/>
    <w:rsid w:val="00AF4B51"/>
    <w:rsid w:val="00AF5160"/>
    <w:rsid w:val="00AF5911"/>
    <w:rsid w:val="00AF6016"/>
    <w:rsid w:val="00AF61DF"/>
    <w:rsid w:val="00AF6322"/>
    <w:rsid w:val="00AF64F6"/>
    <w:rsid w:val="00AF6AD9"/>
    <w:rsid w:val="00AF7039"/>
    <w:rsid w:val="00AF713F"/>
    <w:rsid w:val="00AF781A"/>
    <w:rsid w:val="00B02056"/>
    <w:rsid w:val="00B05B51"/>
    <w:rsid w:val="00B064C8"/>
    <w:rsid w:val="00B0689B"/>
    <w:rsid w:val="00B1051D"/>
    <w:rsid w:val="00B13416"/>
    <w:rsid w:val="00B13E36"/>
    <w:rsid w:val="00B14338"/>
    <w:rsid w:val="00B16D99"/>
    <w:rsid w:val="00B1770B"/>
    <w:rsid w:val="00B1796E"/>
    <w:rsid w:val="00B21894"/>
    <w:rsid w:val="00B2222F"/>
    <w:rsid w:val="00B2526F"/>
    <w:rsid w:val="00B268FF"/>
    <w:rsid w:val="00B26C91"/>
    <w:rsid w:val="00B26D91"/>
    <w:rsid w:val="00B270B2"/>
    <w:rsid w:val="00B274F8"/>
    <w:rsid w:val="00B30BC7"/>
    <w:rsid w:val="00B31649"/>
    <w:rsid w:val="00B32DD6"/>
    <w:rsid w:val="00B3483B"/>
    <w:rsid w:val="00B407CE"/>
    <w:rsid w:val="00B417C8"/>
    <w:rsid w:val="00B42AB0"/>
    <w:rsid w:val="00B44867"/>
    <w:rsid w:val="00B46BCE"/>
    <w:rsid w:val="00B46F5F"/>
    <w:rsid w:val="00B47A96"/>
    <w:rsid w:val="00B47B12"/>
    <w:rsid w:val="00B509CB"/>
    <w:rsid w:val="00B51485"/>
    <w:rsid w:val="00B51A41"/>
    <w:rsid w:val="00B52F4D"/>
    <w:rsid w:val="00B5382A"/>
    <w:rsid w:val="00B54D20"/>
    <w:rsid w:val="00B5563E"/>
    <w:rsid w:val="00B5756B"/>
    <w:rsid w:val="00B577A0"/>
    <w:rsid w:val="00B604E6"/>
    <w:rsid w:val="00B62427"/>
    <w:rsid w:val="00B63BFE"/>
    <w:rsid w:val="00B64E7B"/>
    <w:rsid w:val="00B6584A"/>
    <w:rsid w:val="00B658A2"/>
    <w:rsid w:val="00B66DE8"/>
    <w:rsid w:val="00B67131"/>
    <w:rsid w:val="00B7192C"/>
    <w:rsid w:val="00B71979"/>
    <w:rsid w:val="00B72E21"/>
    <w:rsid w:val="00B742FE"/>
    <w:rsid w:val="00B74670"/>
    <w:rsid w:val="00B762F6"/>
    <w:rsid w:val="00B76935"/>
    <w:rsid w:val="00B7751A"/>
    <w:rsid w:val="00B779C7"/>
    <w:rsid w:val="00B8340F"/>
    <w:rsid w:val="00B838CB"/>
    <w:rsid w:val="00B845C4"/>
    <w:rsid w:val="00B868A9"/>
    <w:rsid w:val="00B875D2"/>
    <w:rsid w:val="00B92B15"/>
    <w:rsid w:val="00B93506"/>
    <w:rsid w:val="00B942D7"/>
    <w:rsid w:val="00B94CCA"/>
    <w:rsid w:val="00B95004"/>
    <w:rsid w:val="00B95F54"/>
    <w:rsid w:val="00B9783B"/>
    <w:rsid w:val="00BA246F"/>
    <w:rsid w:val="00BA2937"/>
    <w:rsid w:val="00BA4F54"/>
    <w:rsid w:val="00BA5DFB"/>
    <w:rsid w:val="00BA6B1C"/>
    <w:rsid w:val="00BA6DF4"/>
    <w:rsid w:val="00BA7787"/>
    <w:rsid w:val="00BB153A"/>
    <w:rsid w:val="00BB15D2"/>
    <w:rsid w:val="00BB3A67"/>
    <w:rsid w:val="00BB3EA6"/>
    <w:rsid w:val="00BB4386"/>
    <w:rsid w:val="00BC07CA"/>
    <w:rsid w:val="00BC136B"/>
    <w:rsid w:val="00BC1FD6"/>
    <w:rsid w:val="00BC2394"/>
    <w:rsid w:val="00BC2495"/>
    <w:rsid w:val="00BC320E"/>
    <w:rsid w:val="00BC3893"/>
    <w:rsid w:val="00BC4275"/>
    <w:rsid w:val="00BC699D"/>
    <w:rsid w:val="00BC6E15"/>
    <w:rsid w:val="00BD1A23"/>
    <w:rsid w:val="00BD1E10"/>
    <w:rsid w:val="00BD3BF6"/>
    <w:rsid w:val="00BD46DC"/>
    <w:rsid w:val="00BE2D03"/>
    <w:rsid w:val="00BE4592"/>
    <w:rsid w:val="00BE5120"/>
    <w:rsid w:val="00BE6D07"/>
    <w:rsid w:val="00BF1201"/>
    <w:rsid w:val="00BF154C"/>
    <w:rsid w:val="00BF185F"/>
    <w:rsid w:val="00BF4A11"/>
    <w:rsid w:val="00BF4B61"/>
    <w:rsid w:val="00BF69FC"/>
    <w:rsid w:val="00BF7BD6"/>
    <w:rsid w:val="00C00C43"/>
    <w:rsid w:val="00C014BC"/>
    <w:rsid w:val="00C01893"/>
    <w:rsid w:val="00C01A9E"/>
    <w:rsid w:val="00C01AAE"/>
    <w:rsid w:val="00C01D7A"/>
    <w:rsid w:val="00C03AF5"/>
    <w:rsid w:val="00C0478A"/>
    <w:rsid w:val="00C058FF"/>
    <w:rsid w:val="00C06C98"/>
    <w:rsid w:val="00C06D24"/>
    <w:rsid w:val="00C07CE7"/>
    <w:rsid w:val="00C11118"/>
    <w:rsid w:val="00C12A1E"/>
    <w:rsid w:val="00C16828"/>
    <w:rsid w:val="00C16E81"/>
    <w:rsid w:val="00C204F9"/>
    <w:rsid w:val="00C21DBF"/>
    <w:rsid w:val="00C21DF0"/>
    <w:rsid w:val="00C23E21"/>
    <w:rsid w:val="00C24521"/>
    <w:rsid w:val="00C25C1D"/>
    <w:rsid w:val="00C25F3D"/>
    <w:rsid w:val="00C268F2"/>
    <w:rsid w:val="00C2695B"/>
    <w:rsid w:val="00C31066"/>
    <w:rsid w:val="00C317BB"/>
    <w:rsid w:val="00C331D9"/>
    <w:rsid w:val="00C3335C"/>
    <w:rsid w:val="00C3449D"/>
    <w:rsid w:val="00C35B37"/>
    <w:rsid w:val="00C36BFC"/>
    <w:rsid w:val="00C414F2"/>
    <w:rsid w:val="00C43029"/>
    <w:rsid w:val="00C44721"/>
    <w:rsid w:val="00C45960"/>
    <w:rsid w:val="00C47D35"/>
    <w:rsid w:val="00C508E9"/>
    <w:rsid w:val="00C564EC"/>
    <w:rsid w:val="00C56EC0"/>
    <w:rsid w:val="00C61865"/>
    <w:rsid w:val="00C61B51"/>
    <w:rsid w:val="00C62236"/>
    <w:rsid w:val="00C65C51"/>
    <w:rsid w:val="00C662B5"/>
    <w:rsid w:val="00C66C9D"/>
    <w:rsid w:val="00C70A24"/>
    <w:rsid w:val="00C715A4"/>
    <w:rsid w:val="00C71CCF"/>
    <w:rsid w:val="00C729FB"/>
    <w:rsid w:val="00C73DEA"/>
    <w:rsid w:val="00C73EF7"/>
    <w:rsid w:val="00C76170"/>
    <w:rsid w:val="00C80F3C"/>
    <w:rsid w:val="00C83DAD"/>
    <w:rsid w:val="00C85E3B"/>
    <w:rsid w:val="00C90DC0"/>
    <w:rsid w:val="00C92091"/>
    <w:rsid w:val="00C927DD"/>
    <w:rsid w:val="00C92B06"/>
    <w:rsid w:val="00C92C10"/>
    <w:rsid w:val="00C92D11"/>
    <w:rsid w:val="00C944FE"/>
    <w:rsid w:val="00C96730"/>
    <w:rsid w:val="00C97F4B"/>
    <w:rsid w:val="00CA1377"/>
    <w:rsid w:val="00CA2521"/>
    <w:rsid w:val="00CA55AC"/>
    <w:rsid w:val="00CA6226"/>
    <w:rsid w:val="00CA6BAF"/>
    <w:rsid w:val="00CA6CF0"/>
    <w:rsid w:val="00CA7030"/>
    <w:rsid w:val="00CA77A0"/>
    <w:rsid w:val="00CA77BD"/>
    <w:rsid w:val="00CB09B8"/>
    <w:rsid w:val="00CB0AE4"/>
    <w:rsid w:val="00CB29A1"/>
    <w:rsid w:val="00CB362A"/>
    <w:rsid w:val="00CB5160"/>
    <w:rsid w:val="00CB6AC5"/>
    <w:rsid w:val="00CB7C4C"/>
    <w:rsid w:val="00CC2753"/>
    <w:rsid w:val="00CC2D15"/>
    <w:rsid w:val="00CC4511"/>
    <w:rsid w:val="00CC4A38"/>
    <w:rsid w:val="00CC6EA5"/>
    <w:rsid w:val="00CD1C5F"/>
    <w:rsid w:val="00CD1CA1"/>
    <w:rsid w:val="00CD2943"/>
    <w:rsid w:val="00CD59AA"/>
    <w:rsid w:val="00CD5C30"/>
    <w:rsid w:val="00CD62FE"/>
    <w:rsid w:val="00CD7EA8"/>
    <w:rsid w:val="00CD7F52"/>
    <w:rsid w:val="00CE2454"/>
    <w:rsid w:val="00CE292D"/>
    <w:rsid w:val="00CE2A67"/>
    <w:rsid w:val="00CE2EAF"/>
    <w:rsid w:val="00CE321D"/>
    <w:rsid w:val="00CE3ACD"/>
    <w:rsid w:val="00CE7DE6"/>
    <w:rsid w:val="00CF170F"/>
    <w:rsid w:val="00CF1C19"/>
    <w:rsid w:val="00CF25F9"/>
    <w:rsid w:val="00CF2F9A"/>
    <w:rsid w:val="00CF422D"/>
    <w:rsid w:val="00CF5286"/>
    <w:rsid w:val="00D01BE4"/>
    <w:rsid w:val="00D03903"/>
    <w:rsid w:val="00D03B1E"/>
    <w:rsid w:val="00D05ADB"/>
    <w:rsid w:val="00D07A20"/>
    <w:rsid w:val="00D10885"/>
    <w:rsid w:val="00D1154D"/>
    <w:rsid w:val="00D1275C"/>
    <w:rsid w:val="00D127FA"/>
    <w:rsid w:val="00D12D6D"/>
    <w:rsid w:val="00D14B45"/>
    <w:rsid w:val="00D1594A"/>
    <w:rsid w:val="00D15B48"/>
    <w:rsid w:val="00D173D6"/>
    <w:rsid w:val="00D176E4"/>
    <w:rsid w:val="00D17C57"/>
    <w:rsid w:val="00D2055F"/>
    <w:rsid w:val="00D21989"/>
    <w:rsid w:val="00D228D9"/>
    <w:rsid w:val="00D23A1C"/>
    <w:rsid w:val="00D23F7E"/>
    <w:rsid w:val="00D2456F"/>
    <w:rsid w:val="00D24AE9"/>
    <w:rsid w:val="00D2542B"/>
    <w:rsid w:val="00D26ACF"/>
    <w:rsid w:val="00D305B1"/>
    <w:rsid w:val="00D30A74"/>
    <w:rsid w:val="00D324DA"/>
    <w:rsid w:val="00D32B09"/>
    <w:rsid w:val="00D330D6"/>
    <w:rsid w:val="00D33562"/>
    <w:rsid w:val="00D357B1"/>
    <w:rsid w:val="00D40846"/>
    <w:rsid w:val="00D409CA"/>
    <w:rsid w:val="00D40ABD"/>
    <w:rsid w:val="00D4168D"/>
    <w:rsid w:val="00D42625"/>
    <w:rsid w:val="00D438BC"/>
    <w:rsid w:val="00D448B9"/>
    <w:rsid w:val="00D44BED"/>
    <w:rsid w:val="00D45D95"/>
    <w:rsid w:val="00D47226"/>
    <w:rsid w:val="00D474D2"/>
    <w:rsid w:val="00D477FA"/>
    <w:rsid w:val="00D47992"/>
    <w:rsid w:val="00D502C2"/>
    <w:rsid w:val="00D5074E"/>
    <w:rsid w:val="00D50796"/>
    <w:rsid w:val="00D51953"/>
    <w:rsid w:val="00D54AFD"/>
    <w:rsid w:val="00D56336"/>
    <w:rsid w:val="00D56419"/>
    <w:rsid w:val="00D57C16"/>
    <w:rsid w:val="00D63F74"/>
    <w:rsid w:val="00D646E8"/>
    <w:rsid w:val="00D66C6B"/>
    <w:rsid w:val="00D66D51"/>
    <w:rsid w:val="00D67DD8"/>
    <w:rsid w:val="00D709B9"/>
    <w:rsid w:val="00D70DC3"/>
    <w:rsid w:val="00D7283D"/>
    <w:rsid w:val="00D72C42"/>
    <w:rsid w:val="00D72FED"/>
    <w:rsid w:val="00D7300E"/>
    <w:rsid w:val="00D733EA"/>
    <w:rsid w:val="00D7348F"/>
    <w:rsid w:val="00D73DFA"/>
    <w:rsid w:val="00D74EE0"/>
    <w:rsid w:val="00D75B52"/>
    <w:rsid w:val="00D770E7"/>
    <w:rsid w:val="00D77406"/>
    <w:rsid w:val="00D821CE"/>
    <w:rsid w:val="00D84083"/>
    <w:rsid w:val="00D85A57"/>
    <w:rsid w:val="00D85AD5"/>
    <w:rsid w:val="00D85AF5"/>
    <w:rsid w:val="00D86433"/>
    <w:rsid w:val="00D87489"/>
    <w:rsid w:val="00D90D1E"/>
    <w:rsid w:val="00D90DBA"/>
    <w:rsid w:val="00D90F73"/>
    <w:rsid w:val="00D9156A"/>
    <w:rsid w:val="00D92BD0"/>
    <w:rsid w:val="00D9331C"/>
    <w:rsid w:val="00D94577"/>
    <w:rsid w:val="00D951B1"/>
    <w:rsid w:val="00D958B1"/>
    <w:rsid w:val="00D966F0"/>
    <w:rsid w:val="00D96E4B"/>
    <w:rsid w:val="00D97DEE"/>
    <w:rsid w:val="00DA02FE"/>
    <w:rsid w:val="00DA084C"/>
    <w:rsid w:val="00DA1771"/>
    <w:rsid w:val="00DA37FF"/>
    <w:rsid w:val="00DA3B8E"/>
    <w:rsid w:val="00DA5F07"/>
    <w:rsid w:val="00DA69F2"/>
    <w:rsid w:val="00DA6ADE"/>
    <w:rsid w:val="00DA6C69"/>
    <w:rsid w:val="00DB0205"/>
    <w:rsid w:val="00DB1BCA"/>
    <w:rsid w:val="00DB260E"/>
    <w:rsid w:val="00DB273A"/>
    <w:rsid w:val="00DB31EC"/>
    <w:rsid w:val="00DB4566"/>
    <w:rsid w:val="00DB4BE0"/>
    <w:rsid w:val="00DB6E1B"/>
    <w:rsid w:val="00DB7247"/>
    <w:rsid w:val="00DC2684"/>
    <w:rsid w:val="00DC2D01"/>
    <w:rsid w:val="00DC4047"/>
    <w:rsid w:val="00DC4611"/>
    <w:rsid w:val="00DC71B8"/>
    <w:rsid w:val="00DD1142"/>
    <w:rsid w:val="00DD1970"/>
    <w:rsid w:val="00DD19A2"/>
    <w:rsid w:val="00DD1F2A"/>
    <w:rsid w:val="00DD2DB0"/>
    <w:rsid w:val="00DD6209"/>
    <w:rsid w:val="00DD6861"/>
    <w:rsid w:val="00DD7148"/>
    <w:rsid w:val="00DE050C"/>
    <w:rsid w:val="00DE20F7"/>
    <w:rsid w:val="00DE293C"/>
    <w:rsid w:val="00DE347B"/>
    <w:rsid w:val="00DE566E"/>
    <w:rsid w:val="00DE7B8A"/>
    <w:rsid w:val="00DF0987"/>
    <w:rsid w:val="00DF17EC"/>
    <w:rsid w:val="00DF227D"/>
    <w:rsid w:val="00DF376F"/>
    <w:rsid w:val="00DF5799"/>
    <w:rsid w:val="00DF58B5"/>
    <w:rsid w:val="00DF7757"/>
    <w:rsid w:val="00E007F6"/>
    <w:rsid w:val="00E00C0D"/>
    <w:rsid w:val="00E03066"/>
    <w:rsid w:val="00E05198"/>
    <w:rsid w:val="00E05211"/>
    <w:rsid w:val="00E05374"/>
    <w:rsid w:val="00E06A6F"/>
    <w:rsid w:val="00E1027D"/>
    <w:rsid w:val="00E10D18"/>
    <w:rsid w:val="00E11362"/>
    <w:rsid w:val="00E11626"/>
    <w:rsid w:val="00E121DC"/>
    <w:rsid w:val="00E13994"/>
    <w:rsid w:val="00E14E29"/>
    <w:rsid w:val="00E15084"/>
    <w:rsid w:val="00E15104"/>
    <w:rsid w:val="00E15951"/>
    <w:rsid w:val="00E16630"/>
    <w:rsid w:val="00E17276"/>
    <w:rsid w:val="00E17965"/>
    <w:rsid w:val="00E17F1B"/>
    <w:rsid w:val="00E20689"/>
    <w:rsid w:val="00E209C0"/>
    <w:rsid w:val="00E20F6C"/>
    <w:rsid w:val="00E2108D"/>
    <w:rsid w:val="00E2151E"/>
    <w:rsid w:val="00E21D39"/>
    <w:rsid w:val="00E220BA"/>
    <w:rsid w:val="00E2337B"/>
    <w:rsid w:val="00E268BD"/>
    <w:rsid w:val="00E27A5D"/>
    <w:rsid w:val="00E31F1E"/>
    <w:rsid w:val="00E33E47"/>
    <w:rsid w:val="00E352E7"/>
    <w:rsid w:val="00E3576B"/>
    <w:rsid w:val="00E3581E"/>
    <w:rsid w:val="00E35AC5"/>
    <w:rsid w:val="00E372B6"/>
    <w:rsid w:val="00E37F33"/>
    <w:rsid w:val="00E40621"/>
    <w:rsid w:val="00E40735"/>
    <w:rsid w:val="00E4090A"/>
    <w:rsid w:val="00E42126"/>
    <w:rsid w:val="00E43055"/>
    <w:rsid w:val="00E4343D"/>
    <w:rsid w:val="00E44B24"/>
    <w:rsid w:val="00E45C33"/>
    <w:rsid w:val="00E45C94"/>
    <w:rsid w:val="00E46A37"/>
    <w:rsid w:val="00E47C13"/>
    <w:rsid w:val="00E549CB"/>
    <w:rsid w:val="00E5621C"/>
    <w:rsid w:val="00E56958"/>
    <w:rsid w:val="00E56FD4"/>
    <w:rsid w:val="00E60B64"/>
    <w:rsid w:val="00E60C50"/>
    <w:rsid w:val="00E6167E"/>
    <w:rsid w:val="00E62C44"/>
    <w:rsid w:val="00E630D7"/>
    <w:rsid w:val="00E6419F"/>
    <w:rsid w:val="00E65210"/>
    <w:rsid w:val="00E6595F"/>
    <w:rsid w:val="00E66085"/>
    <w:rsid w:val="00E71EB1"/>
    <w:rsid w:val="00E71FD3"/>
    <w:rsid w:val="00E739E9"/>
    <w:rsid w:val="00E73ECC"/>
    <w:rsid w:val="00E74D94"/>
    <w:rsid w:val="00E770CF"/>
    <w:rsid w:val="00E774D8"/>
    <w:rsid w:val="00E82C94"/>
    <w:rsid w:val="00E835D1"/>
    <w:rsid w:val="00E84194"/>
    <w:rsid w:val="00E85502"/>
    <w:rsid w:val="00E8674B"/>
    <w:rsid w:val="00E9078C"/>
    <w:rsid w:val="00E912BE"/>
    <w:rsid w:val="00E91CD4"/>
    <w:rsid w:val="00E927A4"/>
    <w:rsid w:val="00E92E51"/>
    <w:rsid w:val="00E96891"/>
    <w:rsid w:val="00E96A06"/>
    <w:rsid w:val="00E970CE"/>
    <w:rsid w:val="00E97D4C"/>
    <w:rsid w:val="00EA08D9"/>
    <w:rsid w:val="00EA25A3"/>
    <w:rsid w:val="00EA3211"/>
    <w:rsid w:val="00EA34EA"/>
    <w:rsid w:val="00EA3AA2"/>
    <w:rsid w:val="00EA41CB"/>
    <w:rsid w:val="00EA5F72"/>
    <w:rsid w:val="00EA6FDC"/>
    <w:rsid w:val="00EA7576"/>
    <w:rsid w:val="00EB1BAE"/>
    <w:rsid w:val="00EB31C0"/>
    <w:rsid w:val="00EB39B2"/>
    <w:rsid w:val="00EB3C85"/>
    <w:rsid w:val="00EB4D62"/>
    <w:rsid w:val="00EB5819"/>
    <w:rsid w:val="00EB6FDE"/>
    <w:rsid w:val="00EB7B11"/>
    <w:rsid w:val="00EC1A44"/>
    <w:rsid w:val="00EC2834"/>
    <w:rsid w:val="00EC35D1"/>
    <w:rsid w:val="00EC3E5A"/>
    <w:rsid w:val="00EC3F0A"/>
    <w:rsid w:val="00EC4BAC"/>
    <w:rsid w:val="00EC54BA"/>
    <w:rsid w:val="00ED016C"/>
    <w:rsid w:val="00ED1068"/>
    <w:rsid w:val="00ED1BD6"/>
    <w:rsid w:val="00ED1DAC"/>
    <w:rsid w:val="00ED4C3B"/>
    <w:rsid w:val="00ED598B"/>
    <w:rsid w:val="00ED5FB7"/>
    <w:rsid w:val="00ED6C56"/>
    <w:rsid w:val="00ED6FE6"/>
    <w:rsid w:val="00ED73E5"/>
    <w:rsid w:val="00EE078F"/>
    <w:rsid w:val="00EE0FB3"/>
    <w:rsid w:val="00EE13A3"/>
    <w:rsid w:val="00EE2497"/>
    <w:rsid w:val="00EE4365"/>
    <w:rsid w:val="00EE488D"/>
    <w:rsid w:val="00EE4C72"/>
    <w:rsid w:val="00EE59F4"/>
    <w:rsid w:val="00EE5FD4"/>
    <w:rsid w:val="00EE61D3"/>
    <w:rsid w:val="00EE75F2"/>
    <w:rsid w:val="00EE7D31"/>
    <w:rsid w:val="00EF1839"/>
    <w:rsid w:val="00EF18FC"/>
    <w:rsid w:val="00EF2DDC"/>
    <w:rsid w:val="00EF36C9"/>
    <w:rsid w:val="00EF39E2"/>
    <w:rsid w:val="00EF3C7B"/>
    <w:rsid w:val="00EF4B53"/>
    <w:rsid w:val="00EF67FC"/>
    <w:rsid w:val="00EF6FB3"/>
    <w:rsid w:val="00EF7E42"/>
    <w:rsid w:val="00F00387"/>
    <w:rsid w:val="00F06668"/>
    <w:rsid w:val="00F10D92"/>
    <w:rsid w:val="00F11727"/>
    <w:rsid w:val="00F14940"/>
    <w:rsid w:val="00F156B2"/>
    <w:rsid w:val="00F15F9D"/>
    <w:rsid w:val="00F17236"/>
    <w:rsid w:val="00F20EBF"/>
    <w:rsid w:val="00F2152C"/>
    <w:rsid w:val="00F217C8"/>
    <w:rsid w:val="00F21BE5"/>
    <w:rsid w:val="00F229BB"/>
    <w:rsid w:val="00F23DB7"/>
    <w:rsid w:val="00F24214"/>
    <w:rsid w:val="00F2593B"/>
    <w:rsid w:val="00F25DB3"/>
    <w:rsid w:val="00F2605B"/>
    <w:rsid w:val="00F26E68"/>
    <w:rsid w:val="00F27DBF"/>
    <w:rsid w:val="00F33733"/>
    <w:rsid w:val="00F41894"/>
    <w:rsid w:val="00F42273"/>
    <w:rsid w:val="00F43ACA"/>
    <w:rsid w:val="00F43C09"/>
    <w:rsid w:val="00F44774"/>
    <w:rsid w:val="00F44C2F"/>
    <w:rsid w:val="00F477A9"/>
    <w:rsid w:val="00F51234"/>
    <w:rsid w:val="00F51AA0"/>
    <w:rsid w:val="00F547CD"/>
    <w:rsid w:val="00F548B7"/>
    <w:rsid w:val="00F57293"/>
    <w:rsid w:val="00F5770B"/>
    <w:rsid w:val="00F57C7E"/>
    <w:rsid w:val="00F6267A"/>
    <w:rsid w:val="00F63394"/>
    <w:rsid w:val="00F63DEF"/>
    <w:rsid w:val="00F646A5"/>
    <w:rsid w:val="00F64722"/>
    <w:rsid w:val="00F6495F"/>
    <w:rsid w:val="00F64BC5"/>
    <w:rsid w:val="00F65658"/>
    <w:rsid w:val="00F65FD2"/>
    <w:rsid w:val="00F662AC"/>
    <w:rsid w:val="00F70A58"/>
    <w:rsid w:val="00F71CDB"/>
    <w:rsid w:val="00F73538"/>
    <w:rsid w:val="00F74782"/>
    <w:rsid w:val="00F74E0C"/>
    <w:rsid w:val="00F754C9"/>
    <w:rsid w:val="00F77D76"/>
    <w:rsid w:val="00F809D5"/>
    <w:rsid w:val="00F82277"/>
    <w:rsid w:val="00F82D2D"/>
    <w:rsid w:val="00F84B0D"/>
    <w:rsid w:val="00F84B9B"/>
    <w:rsid w:val="00F84FF3"/>
    <w:rsid w:val="00F85FC8"/>
    <w:rsid w:val="00F86766"/>
    <w:rsid w:val="00F906F7"/>
    <w:rsid w:val="00F937ED"/>
    <w:rsid w:val="00F95A51"/>
    <w:rsid w:val="00F97089"/>
    <w:rsid w:val="00F974DF"/>
    <w:rsid w:val="00F97E54"/>
    <w:rsid w:val="00FA0493"/>
    <w:rsid w:val="00FA18D9"/>
    <w:rsid w:val="00FA2ABE"/>
    <w:rsid w:val="00FA307F"/>
    <w:rsid w:val="00FA3886"/>
    <w:rsid w:val="00FA3AFC"/>
    <w:rsid w:val="00FA40F1"/>
    <w:rsid w:val="00FA4488"/>
    <w:rsid w:val="00FA6A07"/>
    <w:rsid w:val="00FA747E"/>
    <w:rsid w:val="00FA7754"/>
    <w:rsid w:val="00FB0D5D"/>
    <w:rsid w:val="00FB1D42"/>
    <w:rsid w:val="00FB1F93"/>
    <w:rsid w:val="00FB216A"/>
    <w:rsid w:val="00FB22C8"/>
    <w:rsid w:val="00FB3BA0"/>
    <w:rsid w:val="00FB3D0A"/>
    <w:rsid w:val="00FB6B88"/>
    <w:rsid w:val="00FB76B8"/>
    <w:rsid w:val="00FB78C0"/>
    <w:rsid w:val="00FC09D6"/>
    <w:rsid w:val="00FC0C10"/>
    <w:rsid w:val="00FC2BB4"/>
    <w:rsid w:val="00FC358C"/>
    <w:rsid w:val="00FC40DC"/>
    <w:rsid w:val="00FC4734"/>
    <w:rsid w:val="00FC6A42"/>
    <w:rsid w:val="00FD1076"/>
    <w:rsid w:val="00FD4422"/>
    <w:rsid w:val="00FD4A03"/>
    <w:rsid w:val="00FD6597"/>
    <w:rsid w:val="00FD6D0D"/>
    <w:rsid w:val="00FD6D5D"/>
    <w:rsid w:val="00FD7977"/>
    <w:rsid w:val="00FD7E47"/>
    <w:rsid w:val="00FE041A"/>
    <w:rsid w:val="00FE24BF"/>
    <w:rsid w:val="00FE2920"/>
    <w:rsid w:val="00FE48FC"/>
    <w:rsid w:val="00FE6891"/>
    <w:rsid w:val="00FE7F6D"/>
    <w:rsid w:val="00FF17A2"/>
    <w:rsid w:val="00FF1AF8"/>
    <w:rsid w:val="00FF339F"/>
    <w:rsid w:val="00FF436F"/>
    <w:rsid w:val="00FF46BE"/>
    <w:rsid w:val="00FF4C13"/>
    <w:rsid w:val="00FF4FBE"/>
    <w:rsid w:val="00FF6DEF"/>
    <w:rsid w:val="00FF7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8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AB2"/>
    <w:pPr>
      <w:spacing w:after="0" w:line="240" w:lineRule="auto"/>
    </w:pPr>
    <w:rPr>
      <w:rFonts w:ascii="Arial" w:hAnsi="Arial"/>
      <w:szCs w:val="24"/>
      <w:lang w:val="en-AU" w:eastAsia="en-AU"/>
    </w:rPr>
  </w:style>
  <w:style w:type="paragraph" w:styleId="Heading1">
    <w:name w:val="heading 1"/>
    <w:aliases w:val="FSHeading 1,Chapter heading"/>
    <w:basedOn w:val="Normal"/>
    <w:next w:val="Normal"/>
    <w:link w:val="Heading1Char"/>
    <w:uiPriority w:val="9"/>
    <w:qFormat/>
    <w:rsid w:val="00174316"/>
    <w:pPr>
      <w:keepNext/>
      <w:tabs>
        <w:tab w:val="left" w:pos="-1440"/>
        <w:tab w:val="left" w:pos="567"/>
      </w:tabs>
      <w:outlineLvl w:val="0"/>
    </w:pPr>
    <w:rPr>
      <w:b/>
      <w:bCs/>
    </w:rPr>
  </w:style>
  <w:style w:type="paragraph" w:styleId="Heading2">
    <w:name w:val="heading 2"/>
    <w:aliases w:val="FSHeading 2,Section heading"/>
    <w:basedOn w:val="Heading2LT"/>
    <w:next w:val="Normal"/>
    <w:link w:val="Heading2Char"/>
    <w:uiPriority w:val="9"/>
    <w:qFormat/>
    <w:rsid w:val="00473EBF"/>
    <w:pPr>
      <w:spacing w:before="240" w:after="120"/>
      <w:outlineLvl w:val="1"/>
    </w:pPr>
  </w:style>
  <w:style w:type="paragraph" w:styleId="Heading3">
    <w:name w:val="heading 3"/>
    <w:aliases w:val="FSHeading 3,Subheading 1"/>
    <w:basedOn w:val="Normal"/>
    <w:next w:val="Normal"/>
    <w:link w:val="Heading3Char"/>
    <w:uiPriority w:val="9"/>
    <w:unhideWhenUsed/>
    <w:qFormat/>
    <w:rsid w:val="00473EBF"/>
    <w:pPr>
      <w:spacing w:before="240" w:after="120"/>
      <w:outlineLvl w:val="2"/>
    </w:pPr>
    <w:rPr>
      <w:rFonts w:cs="Arial"/>
      <w:i/>
      <w:szCs w:val="22"/>
    </w:rPr>
  </w:style>
  <w:style w:type="paragraph" w:styleId="Heading4">
    <w:name w:val="heading 4"/>
    <w:aliases w:val="FSHeading 4,Subheading 2"/>
    <w:basedOn w:val="Normal"/>
    <w:next w:val="Normal"/>
    <w:link w:val="Heading4Char"/>
    <w:uiPriority w:val="9"/>
    <w:unhideWhenUsed/>
    <w:qFormat/>
    <w:rsid w:val="00473EBF"/>
    <w:pPr>
      <w:spacing w:before="240" w:after="120"/>
      <w:outlineLvl w:val="3"/>
    </w:pPr>
    <w:rPr>
      <w:rFonts w:cs="Arial"/>
      <w:szCs w:val="22"/>
    </w:rPr>
  </w:style>
  <w:style w:type="paragraph" w:styleId="Heading5">
    <w:name w:val="heading 5"/>
    <w:aliases w:val="FSHeading 5,Subheading 3"/>
    <w:basedOn w:val="Normal"/>
    <w:next w:val="Normal"/>
    <w:link w:val="Heading5Char"/>
    <w:uiPriority w:val="9"/>
    <w:unhideWhenUsed/>
    <w:qFormat/>
    <w:rsid w:val="00D33562"/>
    <w:pPr>
      <w:keepNext/>
      <w:widowControl w:val="0"/>
      <w:spacing w:before="240" w:after="240"/>
      <w:ind w:left="851" w:hanging="851"/>
      <w:outlineLvl w:val="4"/>
    </w:pPr>
    <w:rPr>
      <w:i/>
      <w:szCs w:val="22"/>
      <w:lang w:val="en-GB" w:eastAsia="en-US"/>
    </w:rPr>
  </w:style>
  <w:style w:type="paragraph" w:styleId="Heading6">
    <w:name w:val="heading 6"/>
    <w:basedOn w:val="Normal"/>
    <w:next w:val="Normal"/>
    <w:link w:val="Heading6Char"/>
    <w:uiPriority w:val="9"/>
    <w:unhideWhenUsed/>
    <w:rsid w:val="00D33562"/>
    <w:pPr>
      <w:widowControl w:val="0"/>
      <w:spacing w:before="240" w:after="60"/>
      <w:outlineLvl w:val="5"/>
    </w:pPr>
    <w:rPr>
      <w:rFonts w:cs="Arial Unicode MS"/>
      <w:b/>
      <w:bCs/>
      <w:szCs w:val="22"/>
      <w:lang w:val="en-GB" w:eastAsia="en-US" w:bidi="en-US"/>
    </w:rPr>
  </w:style>
  <w:style w:type="paragraph" w:styleId="Heading7">
    <w:name w:val="heading 7"/>
    <w:basedOn w:val="Normal"/>
    <w:next w:val="Normal"/>
    <w:link w:val="Heading7Char"/>
    <w:uiPriority w:val="9"/>
    <w:unhideWhenUsed/>
    <w:rsid w:val="00D33562"/>
    <w:pPr>
      <w:widowControl w:val="0"/>
      <w:spacing w:before="240" w:after="60"/>
      <w:outlineLvl w:val="6"/>
    </w:pPr>
    <w:rPr>
      <w:lang w:val="en-GB" w:eastAsia="en-US" w:bidi="en-US"/>
    </w:rPr>
  </w:style>
  <w:style w:type="paragraph" w:styleId="Heading8">
    <w:name w:val="heading 8"/>
    <w:basedOn w:val="Normal"/>
    <w:next w:val="Normal"/>
    <w:link w:val="Heading8Char"/>
    <w:uiPriority w:val="9"/>
    <w:unhideWhenUsed/>
    <w:rsid w:val="00D33562"/>
    <w:pPr>
      <w:widowControl w:val="0"/>
      <w:spacing w:before="240" w:after="60"/>
      <w:outlineLvl w:val="7"/>
    </w:pPr>
    <w:rPr>
      <w:i/>
      <w:iCs/>
      <w:lang w:val="en-GB" w:eastAsia="en-US" w:bidi="en-US"/>
    </w:rPr>
  </w:style>
  <w:style w:type="paragraph" w:styleId="Heading9">
    <w:name w:val="heading 9"/>
    <w:basedOn w:val="Normal"/>
    <w:next w:val="Normal"/>
    <w:link w:val="Heading9Char"/>
    <w:uiPriority w:val="9"/>
    <w:unhideWhenUsed/>
    <w:rsid w:val="00D33562"/>
    <w:pPr>
      <w:widowControl w:val="0"/>
      <w:spacing w:before="240" w:after="60"/>
      <w:outlineLvl w:val="8"/>
    </w:pPr>
    <w:rPr>
      <w:rFonts w:ascii="Cambria" w:hAnsi="Cambria"/>
      <w:szCs w:val="22"/>
      <w:lang w:val="en-GB"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174316"/>
    <w:rPr>
      <w:b/>
      <w:bCs/>
      <w:sz w:val="24"/>
      <w:szCs w:val="24"/>
      <w:lang w:val="en-AU" w:eastAsia="en-AU"/>
    </w:rPr>
  </w:style>
  <w:style w:type="character" w:customStyle="1" w:styleId="Heading2Char">
    <w:name w:val="Heading 2 Char"/>
    <w:aliases w:val="FSHeading 2 Char,Section heading Char"/>
    <w:basedOn w:val="DefaultParagraphFont"/>
    <w:link w:val="Heading2"/>
    <w:uiPriority w:val="9"/>
    <w:rsid w:val="005A1D59"/>
    <w:rPr>
      <w:rFonts w:ascii="Arial" w:hAnsi="Arial" w:cs="Arial"/>
      <w:b/>
      <w:lang w:val="en-AU" w:eastAsia="en-AU"/>
    </w:rPr>
  </w:style>
  <w:style w:type="paragraph" w:styleId="Header">
    <w:name w:val="header"/>
    <w:aliases w:val="FSHeader"/>
    <w:basedOn w:val="Normal"/>
    <w:link w:val="HeaderChar"/>
    <w:uiPriority w:val="99"/>
    <w:qFormat/>
    <w:rsid w:val="00B1796E"/>
    <w:pPr>
      <w:widowControl w:val="0"/>
      <w:tabs>
        <w:tab w:val="center" w:pos="4153"/>
        <w:tab w:val="right" w:pos="8306"/>
      </w:tabs>
    </w:pPr>
    <w:rPr>
      <w:lang w:val="en-US" w:eastAsia="en-US"/>
    </w:rPr>
  </w:style>
  <w:style w:type="character" w:customStyle="1" w:styleId="HeaderChar">
    <w:name w:val="Header Char"/>
    <w:aliases w:val="FSHeader Char"/>
    <w:basedOn w:val="DefaultParagraphFont"/>
    <w:link w:val="Header"/>
    <w:uiPriority w:val="99"/>
    <w:rsid w:val="00B1796E"/>
    <w:rPr>
      <w:sz w:val="24"/>
      <w:szCs w:val="24"/>
      <w:lang w:val="en-AU" w:eastAsia="en-AU"/>
    </w:rPr>
  </w:style>
  <w:style w:type="paragraph" w:styleId="BodyTextIndent2">
    <w:name w:val="Body Text Indent 2"/>
    <w:basedOn w:val="Normal"/>
    <w:link w:val="BodyTextIndent2Char"/>
    <w:uiPriority w:val="99"/>
    <w:rsid w:val="00B1796E"/>
    <w:pPr>
      <w:widowControl w:val="0"/>
      <w:tabs>
        <w:tab w:val="left" w:pos="709"/>
      </w:tabs>
      <w:ind w:left="709" w:hanging="709"/>
    </w:pPr>
    <w:rPr>
      <w:lang w:eastAsia="en-US"/>
    </w:rPr>
  </w:style>
  <w:style w:type="character" w:customStyle="1" w:styleId="BodyTextIndent2Char">
    <w:name w:val="Body Text Indent 2 Char"/>
    <w:basedOn w:val="DefaultParagraphFont"/>
    <w:link w:val="BodyTextIndent2"/>
    <w:uiPriority w:val="99"/>
    <w:semiHidden/>
    <w:rsid w:val="00B1796E"/>
    <w:rPr>
      <w:sz w:val="24"/>
      <w:szCs w:val="24"/>
      <w:lang w:val="en-AU" w:eastAsia="en-AU"/>
    </w:rPr>
  </w:style>
  <w:style w:type="paragraph" w:styleId="BodyText">
    <w:name w:val="Body Text"/>
    <w:basedOn w:val="Normal"/>
    <w:link w:val="BodyTextChar"/>
    <w:rsid w:val="00B1796E"/>
    <w:pPr>
      <w:jc w:val="center"/>
    </w:pPr>
    <w:rPr>
      <w:b/>
      <w:bCs/>
      <w:vanish/>
      <w:color w:val="FF0000"/>
    </w:rPr>
  </w:style>
  <w:style w:type="character" w:customStyle="1" w:styleId="BodyTextChar">
    <w:name w:val="Body Text Char"/>
    <w:basedOn w:val="DefaultParagraphFont"/>
    <w:link w:val="BodyText"/>
    <w:rsid w:val="00B1796E"/>
    <w:rPr>
      <w:sz w:val="24"/>
      <w:szCs w:val="24"/>
      <w:lang w:val="en-AU" w:eastAsia="en-AU"/>
    </w:rPr>
  </w:style>
  <w:style w:type="paragraph" w:styleId="Footer">
    <w:name w:val="footer"/>
    <w:basedOn w:val="Normal"/>
    <w:link w:val="FooterChar"/>
    <w:rsid w:val="00B1796E"/>
    <w:pPr>
      <w:tabs>
        <w:tab w:val="center" w:pos="4153"/>
        <w:tab w:val="right" w:pos="8306"/>
      </w:tabs>
    </w:pPr>
  </w:style>
  <w:style w:type="character" w:customStyle="1" w:styleId="FooterChar">
    <w:name w:val="Footer Char"/>
    <w:basedOn w:val="DefaultParagraphFont"/>
    <w:link w:val="Footer"/>
    <w:rsid w:val="00B1796E"/>
    <w:rPr>
      <w:sz w:val="24"/>
      <w:szCs w:val="24"/>
      <w:lang w:val="en-AU" w:eastAsia="en-AU"/>
    </w:rPr>
  </w:style>
  <w:style w:type="paragraph" w:styleId="BodyTextIndent">
    <w:name w:val="Body Text Indent"/>
    <w:basedOn w:val="Normal"/>
    <w:link w:val="BodyTextIndentChar"/>
    <w:uiPriority w:val="99"/>
    <w:rsid w:val="00B1796E"/>
    <w:pPr>
      <w:tabs>
        <w:tab w:val="num" w:pos="5670"/>
        <w:tab w:val="left" w:pos="7513"/>
      </w:tabs>
      <w:ind w:left="7371" w:hanging="6171"/>
    </w:pPr>
  </w:style>
  <w:style w:type="character" w:customStyle="1" w:styleId="BodyTextIndentChar">
    <w:name w:val="Body Text Indent Char"/>
    <w:basedOn w:val="DefaultParagraphFont"/>
    <w:link w:val="BodyTextIndent"/>
    <w:uiPriority w:val="99"/>
    <w:semiHidden/>
    <w:rsid w:val="00B1796E"/>
    <w:rPr>
      <w:sz w:val="24"/>
      <w:szCs w:val="24"/>
      <w:lang w:val="en-AU" w:eastAsia="en-AU"/>
    </w:rPr>
  </w:style>
  <w:style w:type="paragraph" w:customStyle="1" w:styleId="ISCHeading">
    <w:name w:val="ISC Heading"/>
    <w:basedOn w:val="Normal"/>
    <w:uiPriority w:val="99"/>
    <w:rsid w:val="00B1796E"/>
    <w:pPr>
      <w:jc w:val="center"/>
    </w:pPr>
    <w:rPr>
      <w:b/>
      <w:bCs/>
    </w:rPr>
  </w:style>
  <w:style w:type="paragraph" w:customStyle="1" w:styleId="Style1">
    <w:name w:val="Style1"/>
    <w:basedOn w:val="Normal"/>
    <w:uiPriority w:val="99"/>
    <w:rsid w:val="00B1796E"/>
    <w:rPr>
      <w:b/>
      <w:bCs/>
    </w:rPr>
  </w:style>
  <w:style w:type="paragraph" w:customStyle="1" w:styleId="ISCNormal">
    <w:name w:val="ISC Normal"/>
    <w:basedOn w:val="Normal"/>
    <w:uiPriority w:val="99"/>
    <w:rsid w:val="00B1796E"/>
  </w:style>
  <w:style w:type="paragraph" w:customStyle="1" w:styleId="ISCBold">
    <w:name w:val="ISC Bold"/>
    <w:basedOn w:val="Normal"/>
    <w:uiPriority w:val="99"/>
    <w:rsid w:val="00B1796E"/>
    <w:rPr>
      <w:b/>
      <w:bCs/>
    </w:rPr>
  </w:style>
  <w:style w:type="paragraph" w:customStyle="1" w:styleId="ISCnumbered">
    <w:name w:val="ISC numbered"/>
    <w:basedOn w:val="BodyTextIndent2"/>
    <w:uiPriority w:val="99"/>
    <w:rsid w:val="00B1796E"/>
    <w:pPr>
      <w:numPr>
        <w:numId w:val="1"/>
      </w:numPr>
      <w:tabs>
        <w:tab w:val="left" w:pos="426"/>
      </w:tabs>
      <w:spacing w:after="120"/>
      <w:ind w:left="357" w:hanging="357"/>
    </w:pPr>
  </w:style>
  <w:style w:type="paragraph" w:customStyle="1" w:styleId="ISCbulleted">
    <w:name w:val="ISC bulleted"/>
    <w:basedOn w:val="Normal"/>
    <w:uiPriority w:val="99"/>
    <w:rsid w:val="00B1796E"/>
    <w:pPr>
      <w:numPr>
        <w:numId w:val="2"/>
      </w:numPr>
      <w:tabs>
        <w:tab w:val="left" w:pos="567"/>
      </w:tabs>
      <w:spacing w:after="120"/>
    </w:pPr>
  </w:style>
  <w:style w:type="paragraph" w:styleId="BalloonText">
    <w:name w:val="Balloon Text"/>
    <w:basedOn w:val="Normal"/>
    <w:link w:val="BalloonTextChar"/>
    <w:semiHidden/>
    <w:unhideWhenUsed/>
    <w:rsid w:val="00AB0AAA"/>
    <w:rPr>
      <w:rFonts w:ascii="Tahoma" w:hAnsi="Tahoma" w:cs="Tahoma"/>
      <w:sz w:val="16"/>
      <w:szCs w:val="16"/>
      <w:lang w:val="en-GB" w:eastAsia="en-US"/>
    </w:rPr>
  </w:style>
  <w:style w:type="character" w:customStyle="1" w:styleId="BalloonTextChar">
    <w:name w:val="Balloon Text Char"/>
    <w:basedOn w:val="DefaultParagraphFont"/>
    <w:link w:val="BalloonText"/>
    <w:semiHidden/>
    <w:rsid w:val="00AB0AAA"/>
    <w:rPr>
      <w:rFonts w:ascii="Tahoma" w:hAnsi="Tahoma" w:cs="Tahoma"/>
      <w:sz w:val="16"/>
      <w:szCs w:val="16"/>
      <w:lang w:eastAsia="en-US"/>
    </w:rPr>
  </w:style>
  <w:style w:type="character" w:styleId="Hyperlink">
    <w:name w:val="Hyperlink"/>
    <w:basedOn w:val="DefaultParagraphFont"/>
    <w:uiPriority w:val="99"/>
    <w:rsid w:val="009576A0"/>
    <w:rPr>
      <w:rFonts w:cs="Arial"/>
      <w:color w:val="0070C0"/>
      <w:szCs w:val="22"/>
      <w:u w:val="single"/>
    </w:rPr>
  </w:style>
  <w:style w:type="paragraph" w:styleId="TOC1">
    <w:name w:val="toc 1"/>
    <w:basedOn w:val="Normal"/>
    <w:next w:val="Normal"/>
    <w:autoRedefine/>
    <w:uiPriority w:val="39"/>
    <w:qFormat/>
    <w:rsid w:val="00A37734"/>
    <w:pPr>
      <w:tabs>
        <w:tab w:val="right" w:leader="dot" w:pos="9628"/>
      </w:tabs>
      <w:spacing w:before="120"/>
    </w:pPr>
    <w:rPr>
      <w:rFonts w:asciiTheme="majorHAnsi" w:hAnsiTheme="majorHAnsi"/>
      <w:b/>
      <w:bCs/>
      <w:caps/>
    </w:rPr>
  </w:style>
  <w:style w:type="paragraph" w:styleId="TOC2">
    <w:name w:val="toc 2"/>
    <w:basedOn w:val="Normal"/>
    <w:next w:val="Normal"/>
    <w:link w:val="TOC2Char"/>
    <w:autoRedefine/>
    <w:uiPriority w:val="39"/>
    <w:qFormat/>
    <w:rsid w:val="00A37734"/>
    <w:pPr>
      <w:spacing w:before="240"/>
    </w:pPr>
    <w:rPr>
      <w:rFonts w:asciiTheme="minorHAnsi" w:hAnsiTheme="minorHAnsi" w:cstheme="minorHAnsi"/>
      <w:bCs/>
      <w:sz w:val="20"/>
      <w:szCs w:val="20"/>
    </w:rPr>
  </w:style>
  <w:style w:type="paragraph" w:styleId="TOC3">
    <w:name w:val="toc 3"/>
    <w:basedOn w:val="Normal"/>
    <w:next w:val="Normal"/>
    <w:autoRedefine/>
    <w:uiPriority w:val="39"/>
    <w:qFormat/>
    <w:rsid w:val="00740AE5"/>
    <w:pPr>
      <w:ind w:left="240"/>
    </w:pPr>
    <w:rPr>
      <w:rFonts w:asciiTheme="minorHAnsi" w:hAnsiTheme="minorHAnsi" w:cstheme="minorHAnsi"/>
      <w:sz w:val="20"/>
      <w:szCs w:val="20"/>
    </w:rPr>
  </w:style>
  <w:style w:type="paragraph" w:styleId="ListParagraph">
    <w:name w:val="List Paragraph"/>
    <w:basedOn w:val="Normal"/>
    <w:uiPriority w:val="34"/>
    <w:qFormat/>
    <w:rsid w:val="00740AE5"/>
    <w:pPr>
      <w:ind w:left="720"/>
    </w:pPr>
    <w:rPr>
      <w:rFonts w:ascii="Calibri" w:eastAsiaTheme="minorHAnsi" w:hAnsi="Calibri"/>
      <w:szCs w:val="22"/>
      <w:lang w:val="en-GB" w:eastAsia="en-GB"/>
    </w:rPr>
  </w:style>
  <w:style w:type="character" w:styleId="CommentReference">
    <w:name w:val="annotation reference"/>
    <w:basedOn w:val="DefaultParagraphFont"/>
    <w:uiPriority w:val="99"/>
    <w:unhideWhenUsed/>
    <w:rsid w:val="00740AE5"/>
    <w:rPr>
      <w:sz w:val="16"/>
      <w:szCs w:val="16"/>
    </w:rPr>
  </w:style>
  <w:style w:type="character" w:customStyle="1" w:styleId="CommentTextChar">
    <w:name w:val="Comment Text Char"/>
    <w:basedOn w:val="DefaultParagraphFont"/>
    <w:link w:val="CommentText"/>
    <w:uiPriority w:val="99"/>
    <w:rsid w:val="00740AE5"/>
    <w:rPr>
      <w:rFonts w:asciiTheme="minorHAnsi" w:eastAsiaTheme="minorHAnsi" w:hAnsiTheme="minorHAnsi" w:cstheme="minorBidi"/>
      <w:sz w:val="20"/>
      <w:szCs w:val="20"/>
      <w:lang w:eastAsia="en-US"/>
    </w:rPr>
  </w:style>
  <w:style w:type="paragraph" w:styleId="CommentText">
    <w:name w:val="annotation text"/>
    <w:basedOn w:val="Normal"/>
    <w:link w:val="CommentTextChar"/>
    <w:uiPriority w:val="99"/>
    <w:unhideWhenUsed/>
    <w:rsid w:val="00740AE5"/>
    <w:pPr>
      <w:spacing w:after="200"/>
    </w:pPr>
    <w:rPr>
      <w:rFonts w:asciiTheme="minorHAnsi" w:eastAsiaTheme="minorHAnsi" w:hAnsiTheme="minorHAnsi" w:cstheme="minorBidi"/>
      <w:sz w:val="20"/>
      <w:szCs w:val="20"/>
      <w:lang w:val="en-GB" w:eastAsia="en-US"/>
    </w:rPr>
  </w:style>
  <w:style w:type="character" w:customStyle="1" w:styleId="CommentSubjectChar">
    <w:name w:val="Comment Subject Char"/>
    <w:basedOn w:val="CommentTextChar"/>
    <w:link w:val="CommentSubject"/>
    <w:rsid w:val="00740AE5"/>
    <w:rPr>
      <w:rFonts w:asciiTheme="minorHAnsi" w:eastAsiaTheme="minorHAnsi" w:hAnsiTheme="minorHAnsi" w:cstheme="minorBidi"/>
      <w:b/>
      <w:bCs/>
      <w:sz w:val="20"/>
      <w:szCs w:val="20"/>
      <w:lang w:eastAsia="en-US"/>
    </w:rPr>
  </w:style>
  <w:style w:type="paragraph" w:styleId="CommentSubject">
    <w:name w:val="annotation subject"/>
    <w:basedOn w:val="CommentText"/>
    <w:next w:val="CommentText"/>
    <w:link w:val="CommentSubjectChar"/>
    <w:unhideWhenUsed/>
    <w:rsid w:val="00740AE5"/>
    <w:rPr>
      <w:b/>
      <w:bCs/>
    </w:rPr>
  </w:style>
  <w:style w:type="paragraph" w:styleId="FootnoteText">
    <w:name w:val="footnote text"/>
    <w:basedOn w:val="Normal"/>
    <w:link w:val="FootnoteTextChar"/>
    <w:rsid w:val="00740AE5"/>
    <w:rPr>
      <w:sz w:val="20"/>
      <w:szCs w:val="20"/>
      <w:lang w:eastAsia="en-US"/>
    </w:rPr>
  </w:style>
  <w:style w:type="character" w:customStyle="1" w:styleId="FootnoteTextChar">
    <w:name w:val="Footnote Text Char"/>
    <w:basedOn w:val="DefaultParagraphFont"/>
    <w:link w:val="FootnoteText"/>
    <w:rsid w:val="00740AE5"/>
    <w:rPr>
      <w:sz w:val="20"/>
      <w:szCs w:val="20"/>
      <w:lang w:val="en-AU" w:eastAsia="en-US"/>
    </w:rPr>
  </w:style>
  <w:style w:type="character" w:styleId="FootnoteReference">
    <w:name w:val="footnote reference"/>
    <w:basedOn w:val="DefaultParagraphFont"/>
    <w:rsid w:val="00740AE5"/>
    <w:rPr>
      <w:vertAlign w:val="superscript"/>
    </w:rPr>
  </w:style>
  <w:style w:type="table" w:styleId="MediumGrid3-Accent1">
    <w:name w:val="Medium Grid 3 Accent 1"/>
    <w:basedOn w:val="TableNormal"/>
    <w:uiPriority w:val="69"/>
    <w:rsid w:val="00740AE5"/>
    <w:pPr>
      <w:spacing w:after="0" w:line="240" w:lineRule="auto"/>
    </w:pPr>
    <w:rPr>
      <w:rFonts w:asciiTheme="minorHAnsi" w:eastAsiaTheme="minorHAnsi" w:hAnsiTheme="minorHAnsi" w:cstheme="minorBid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LightList-Accent11">
    <w:name w:val="Light List - Accent 11"/>
    <w:basedOn w:val="TableNormal"/>
    <w:uiPriority w:val="61"/>
    <w:rsid w:val="00740AE5"/>
    <w:pPr>
      <w:spacing w:after="0" w:line="240" w:lineRule="auto"/>
    </w:pPr>
    <w:rPr>
      <w:rFonts w:asciiTheme="minorHAnsi" w:eastAsiaTheme="minorHAnsi" w:hAnsiTheme="minorHAnsi" w:cstheme="minorBid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EE4365"/>
    <w:pPr>
      <w:spacing w:after="0" w:line="240" w:lineRule="auto"/>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EE4365"/>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EE4365"/>
    <w:pPr>
      <w:spacing w:after="0" w:line="240" w:lineRule="auto"/>
    </w:pPr>
    <w:rPr>
      <w:rFonts w:asciiTheme="minorHAnsi" w:eastAsiaTheme="minorHAnsi" w:hAnsiTheme="minorHAnsi" w:cstheme="minorBid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Revision">
    <w:name w:val="Revision"/>
    <w:hidden/>
    <w:uiPriority w:val="99"/>
    <w:semiHidden/>
    <w:rsid w:val="00EE4365"/>
    <w:pPr>
      <w:spacing w:after="0" w:line="240" w:lineRule="auto"/>
    </w:pPr>
    <w:rPr>
      <w:rFonts w:asciiTheme="minorHAnsi" w:eastAsiaTheme="minorHAnsi" w:hAnsiTheme="minorHAnsi" w:cstheme="minorBidi"/>
      <w:lang w:eastAsia="en-US"/>
    </w:rPr>
  </w:style>
  <w:style w:type="character" w:styleId="FollowedHyperlink">
    <w:name w:val="FollowedHyperlink"/>
    <w:basedOn w:val="DefaultParagraphFont"/>
    <w:unhideWhenUsed/>
    <w:rsid w:val="00EE4365"/>
    <w:rPr>
      <w:color w:val="800080" w:themeColor="followedHyperlink"/>
      <w:u w:val="single"/>
    </w:rPr>
  </w:style>
  <w:style w:type="character" w:styleId="PlaceholderText">
    <w:name w:val="Placeholder Text"/>
    <w:basedOn w:val="DefaultParagraphFont"/>
    <w:uiPriority w:val="99"/>
    <w:semiHidden/>
    <w:rsid w:val="00EE4365"/>
    <w:rPr>
      <w:color w:val="808080"/>
    </w:rPr>
  </w:style>
  <w:style w:type="table" w:styleId="MediumShading1-Accent1">
    <w:name w:val="Medium Shading 1 Accent 1"/>
    <w:basedOn w:val="TableNormal"/>
    <w:uiPriority w:val="63"/>
    <w:rsid w:val="005A087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E549C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3F50E2"/>
    <w:pPr>
      <w:autoSpaceDE w:val="0"/>
      <w:autoSpaceDN w:val="0"/>
      <w:adjustRightInd w:val="0"/>
      <w:spacing w:after="0" w:line="240" w:lineRule="auto"/>
    </w:pPr>
    <w:rPr>
      <w:color w:val="000000"/>
      <w:sz w:val="24"/>
      <w:szCs w:val="24"/>
      <w:lang w:val="en-AU"/>
    </w:rPr>
  </w:style>
  <w:style w:type="paragraph" w:styleId="TOCHeading">
    <w:name w:val="TOC Heading"/>
    <w:basedOn w:val="Heading1"/>
    <w:next w:val="Normal"/>
    <w:uiPriority w:val="39"/>
    <w:unhideWhenUsed/>
    <w:qFormat/>
    <w:rsid w:val="00356DAD"/>
    <w:pPr>
      <w:keepLines/>
      <w:tabs>
        <w:tab w:val="clear" w:pos="-1440"/>
        <w:tab w:val="clear" w:pos="567"/>
      </w:tab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Heading2LT">
    <w:name w:val="Heading 2 LT"/>
    <w:basedOn w:val="Normal"/>
    <w:link w:val="Heading2LTChar"/>
    <w:autoRedefine/>
    <w:qFormat/>
    <w:rsid w:val="000C175B"/>
    <w:rPr>
      <w:rFonts w:cs="Arial"/>
      <w:b/>
      <w:szCs w:val="22"/>
    </w:rPr>
  </w:style>
  <w:style w:type="paragraph" w:styleId="TOC4">
    <w:name w:val="toc 4"/>
    <w:basedOn w:val="Normal"/>
    <w:next w:val="Normal"/>
    <w:autoRedefine/>
    <w:unhideWhenUsed/>
    <w:rsid w:val="00162628"/>
    <w:pPr>
      <w:ind w:left="480"/>
    </w:pPr>
    <w:rPr>
      <w:rFonts w:asciiTheme="minorHAnsi" w:hAnsiTheme="minorHAnsi" w:cstheme="minorHAnsi"/>
      <w:sz w:val="20"/>
      <w:szCs w:val="20"/>
    </w:rPr>
  </w:style>
  <w:style w:type="character" w:customStyle="1" w:styleId="Heading2LTChar">
    <w:name w:val="Heading 2 LT Char"/>
    <w:basedOn w:val="DefaultParagraphFont"/>
    <w:link w:val="Heading2LT"/>
    <w:rsid w:val="000C175B"/>
    <w:rPr>
      <w:rFonts w:ascii="Arial" w:hAnsi="Arial" w:cs="Arial"/>
      <w:b/>
      <w:lang w:val="en-AU" w:eastAsia="en-AU"/>
    </w:rPr>
  </w:style>
  <w:style w:type="paragraph" w:styleId="TOC6">
    <w:name w:val="toc 6"/>
    <w:basedOn w:val="Normal"/>
    <w:next w:val="Normal"/>
    <w:autoRedefine/>
    <w:unhideWhenUsed/>
    <w:rsid w:val="00162628"/>
    <w:pPr>
      <w:ind w:left="960"/>
    </w:pPr>
    <w:rPr>
      <w:rFonts w:asciiTheme="minorHAnsi" w:hAnsiTheme="minorHAnsi" w:cstheme="minorHAnsi"/>
      <w:sz w:val="20"/>
      <w:szCs w:val="20"/>
    </w:rPr>
  </w:style>
  <w:style w:type="paragraph" w:styleId="TOC5">
    <w:name w:val="toc 5"/>
    <w:basedOn w:val="Normal"/>
    <w:next w:val="Normal"/>
    <w:autoRedefine/>
    <w:unhideWhenUsed/>
    <w:rsid w:val="00162628"/>
    <w:pPr>
      <w:ind w:left="720"/>
    </w:pPr>
    <w:rPr>
      <w:rFonts w:asciiTheme="minorHAnsi" w:hAnsiTheme="minorHAnsi" w:cstheme="minorHAnsi"/>
      <w:sz w:val="20"/>
      <w:szCs w:val="20"/>
    </w:rPr>
  </w:style>
  <w:style w:type="paragraph" w:styleId="TOC7">
    <w:name w:val="toc 7"/>
    <w:basedOn w:val="Normal"/>
    <w:next w:val="Normal"/>
    <w:autoRedefine/>
    <w:unhideWhenUsed/>
    <w:rsid w:val="00162628"/>
    <w:pPr>
      <w:ind w:left="1200"/>
    </w:pPr>
    <w:rPr>
      <w:rFonts w:asciiTheme="minorHAnsi" w:hAnsiTheme="minorHAnsi" w:cstheme="minorHAnsi"/>
      <w:sz w:val="20"/>
      <w:szCs w:val="20"/>
    </w:rPr>
  </w:style>
  <w:style w:type="paragraph" w:styleId="TOC8">
    <w:name w:val="toc 8"/>
    <w:basedOn w:val="Normal"/>
    <w:next w:val="Normal"/>
    <w:autoRedefine/>
    <w:unhideWhenUsed/>
    <w:rsid w:val="00162628"/>
    <w:pPr>
      <w:ind w:left="1440"/>
    </w:pPr>
    <w:rPr>
      <w:rFonts w:asciiTheme="minorHAnsi" w:hAnsiTheme="minorHAnsi" w:cstheme="minorHAnsi"/>
      <w:sz w:val="20"/>
      <w:szCs w:val="20"/>
    </w:rPr>
  </w:style>
  <w:style w:type="paragraph" w:styleId="TOC9">
    <w:name w:val="toc 9"/>
    <w:basedOn w:val="Normal"/>
    <w:next w:val="Normal"/>
    <w:autoRedefine/>
    <w:unhideWhenUsed/>
    <w:rsid w:val="00162628"/>
    <w:pPr>
      <w:ind w:left="1680"/>
    </w:pPr>
    <w:rPr>
      <w:rFonts w:asciiTheme="minorHAnsi" w:hAnsiTheme="minorHAnsi" w:cstheme="minorHAnsi"/>
      <w:sz w:val="20"/>
      <w:szCs w:val="20"/>
    </w:rPr>
  </w:style>
  <w:style w:type="paragraph" w:styleId="TableofFigures">
    <w:name w:val="table of figures"/>
    <w:basedOn w:val="Normal"/>
    <w:next w:val="Normal"/>
    <w:uiPriority w:val="99"/>
    <w:unhideWhenUsed/>
    <w:rsid w:val="00D10885"/>
    <w:rPr>
      <w:rFonts w:asciiTheme="minorHAnsi" w:hAnsiTheme="minorHAnsi"/>
      <w:sz w:val="20"/>
    </w:rPr>
  </w:style>
  <w:style w:type="paragraph" w:customStyle="1" w:styleId="Heading3LT">
    <w:name w:val="Heading 3 LT"/>
    <w:basedOn w:val="TOC2"/>
    <w:link w:val="Heading3LTChar"/>
    <w:qFormat/>
    <w:rsid w:val="00391DE3"/>
    <w:rPr>
      <w:b/>
      <w:sz w:val="24"/>
    </w:rPr>
  </w:style>
  <w:style w:type="character" w:customStyle="1" w:styleId="Heading3Char">
    <w:name w:val="Heading 3 Char"/>
    <w:aliases w:val="FSHeading 3 Char,Subheading 1 Char"/>
    <w:basedOn w:val="DefaultParagraphFont"/>
    <w:link w:val="Heading3"/>
    <w:uiPriority w:val="9"/>
    <w:rsid w:val="005A1D59"/>
    <w:rPr>
      <w:rFonts w:ascii="Arial" w:hAnsi="Arial" w:cs="Arial"/>
      <w:i/>
      <w:lang w:val="en-AU" w:eastAsia="en-AU"/>
    </w:rPr>
  </w:style>
  <w:style w:type="character" w:customStyle="1" w:styleId="TOC2Char">
    <w:name w:val="TOC 2 Char"/>
    <w:basedOn w:val="DefaultParagraphFont"/>
    <w:link w:val="TOC2"/>
    <w:uiPriority w:val="39"/>
    <w:rsid w:val="00A37734"/>
    <w:rPr>
      <w:rFonts w:asciiTheme="minorHAnsi" w:hAnsiTheme="minorHAnsi" w:cstheme="minorHAnsi"/>
      <w:bCs/>
      <w:sz w:val="20"/>
      <w:szCs w:val="20"/>
      <w:lang w:val="en-AU" w:eastAsia="en-AU"/>
    </w:rPr>
  </w:style>
  <w:style w:type="character" w:customStyle="1" w:styleId="Heading3LTChar">
    <w:name w:val="Heading 3 LT Char"/>
    <w:basedOn w:val="TOC2Char"/>
    <w:link w:val="Heading3LT"/>
    <w:rsid w:val="00391DE3"/>
    <w:rPr>
      <w:rFonts w:asciiTheme="minorHAnsi" w:hAnsiTheme="minorHAnsi" w:cstheme="minorHAnsi"/>
      <w:b/>
      <w:bCs/>
      <w:sz w:val="24"/>
      <w:szCs w:val="20"/>
      <w:lang w:val="en-AU" w:eastAsia="en-AU"/>
    </w:rPr>
  </w:style>
  <w:style w:type="paragraph" w:customStyle="1" w:styleId="FSBullet1">
    <w:name w:val="FSBullet 1"/>
    <w:basedOn w:val="Normal"/>
    <w:next w:val="Normal"/>
    <w:link w:val="FSBullet1Char"/>
    <w:qFormat/>
    <w:rsid w:val="00AF286B"/>
    <w:pPr>
      <w:numPr>
        <w:numId w:val="10"/>
      </w:numPr>
    </w:pPr>
    <w:rPr>
      <w:rFonts w:cs="Arial"/>
      <w:lang w:val="en-GB" w:eastAsia="en-US"/>
    </w:rPr>
  </w:style>
  <w:style w:type="character" w:customStyle="1" w:styleId="FSBullet1Char">
    <w:name w:val="FSBullet 1 Char"/>
    <w:basedOn w:val="DefaultParagraphFont"/>
    <w:link w:val="FSBullet1"/>
    <w:rsid w:val="00AF286B"/>
    <w:rPr>
      <w:rFonts w:ascii="Arial" w:hAnsi="Arial" w:cs="Arial"/>
      <w:szCs w:val="24"/>
      <w:lang w:eastAsia="en-US"/>
    </w:rPr>
  </w:style>
  <w:style w:type="character" w:customStyle="1" w:styleId="Heading4Char">
    <w:name w:val="Heading 4 Char"/>
    <w:aliases w:val="FSHeading 4 Char,Subheading 2 Char"/>
    <w:basedOn w:val="DefaultParagraphFont"/>
    <w:link w:val="Heading4"/>
    <w:uiPriority w:val="9"/>
    <w:rsid w:val="005A1D59"/>
    <w:rPr>
      <w:rFonts w:ascii="Arial" w:hAnsi="Arial" w:cs="Arial"/>
      <w:lang w:val="en-AU" w:eastAsia="en-AU"/>
    </w:rPr>
  </w:style>
  <w:style w:type="character" w:customStyle="1" w:styleId="Heading5Char">
    <w:name w:val="Heading 5 Char"/>
    <w:aliases w:val="FSHeading 5 Char,Subheading 3 Char"/>
    <w:basedOn w:val="DefaultParagraphFont"/>
    <w:link w:val="Heading5"/>
    <w:uiPriority w:val="9"/>
    <w:rsid w:val="00D33562"/>
    <w:rPr>
      <w:rFonts w:ascii="Arial" w:hAnsi="Arial"/>
      <w:i/>
      <w:lang w:eastAsia="en-US"/>
    </w:rPr>
  </w:style>
  <w:style w:type="character" w:customStyle="1" w:styleId="Heading6Char">
    <w:name w:val="Heading 6 Char"/>
    <w:basedOn w:val="DefaultParagraphFont"/>
    <w:link w:val="Heading6"/>
    <w:uiPriority w:val="9"/>
    <w:rsid w:val="00D33562"/>
    <w:rPr>
      <w:rFonts w:ascii="Arial" w:hAnsi="Arial" w:cs="Arial Unicode MS"/>
      <w:b/>
      <w:bCs/>
      <w:lang w:eastAsia="en-US" w:bidi="en-US"/>
    </w:rPr>
  </w:style>
  <w:style w:type="character" w:customStyle="1" w:styleId="Heading7Char">
    <w:name w:val="Heading 7 Char"/>
    <w:basedOn w:val="DefaultParagraphFont"/>
    <w:link w:val="Heading7"/>
    <w:uiPriority w:val="9"/>
    <w:rsid w:val="00D33562"/>
    <w:rPr>
      <w:rFonts w:ascii="Arial" w:hAnsi="Arial"/>
      <w:szCs w:val="24"/>
      <w:lang w:eastAsia="en-US" w:bidi="en-US"/>
    </w:rPr>
  </w:style>
  <w:style w:type="character" w:customStyle="1" w:styleId="Heading8Char">
    <w:name w:val="Heading 8 Char"/>
    <w:basedOn w:val="DefaultParagraphFont"/>
    <w:link w:val="Heading8"/>
    <w:uiPriority w:val="9"/>
    <w:rsid w:val="00D33562"/>
    <w:rPr>
      <w:rFonts w:ascii="Arial" w:hAnsi="Arial"/>
      <w:i/>
      <w:iCs/>
      <w:szCs w:val="24"/>
      <w:lang w:eastAsia="en-US" w:bidi="en-US"/>
    </w:rPr>
  </w:style>
  <w:style w:type="character" w:customStyle="1" w:styleId="Heading9Char">
    <w:name w:val="Heading 9 Char"/>
    <w:basedOn w:val="DefaultParagraphFont"/>
    <w:link w:val="Heading9"/>
    <w:uiPriority w:val="9"/>
    <w:rsid w:val="00D33562"/>
    <w:rPr>
      <w:rFonts w:ascii="Cambria" w:hAnsi="Cambria"/>
      <w:lang w:eastAsia="en-US" w:bidi="en-US"/>
    </w:rPr>
  </w:style>
  <w:style w:type="paragraph" w:customStyle="1" w:styleId="FSTitle">
    <w:name w:val="FS Title"/>
    <w:basedOn w:val="Normal"/>
    <w:qFormat/>
    <w:rsid w:val="00D33562"/>
    <w:pPr>
      <w:widowControl w:val="0"/>
    </w:pPr>
    <w:rPr>
      <w:rFonts w:cs="Tahoma"/>
      <w:bCs/>
      <w:sz w:val="32"/>
      <w:lang w:val="en-GB" w:eastAsia="en-US" w:bidi="en-US"/>
    </w:rPr>
  </w:style>
  <w:style w:type="paragraph" w:customStyle="1" w:styleId="FSDash">
    <w:name w:val="FS Dash"/>
    <w:basedOn w:val="Normal"/>
    <w:qFormat/>
    <w:rsid w:val="00D33562"/>
    <w:pPr>
      <w:widowControl w:val="0"/>
      <w:ind w:left="1134" w:hanging="567"/>
    </w:pPr>
    <w:rPr>
      <w:lang w:val="en-GB" w:eastAsia="en-US" w:bidi="en-US"/>
    </w:rPr>
  </w:style>
  <w:style w:type="character" w:styleId="PageNumber">
    <w:name w:val="page number"/>
    <w:basedOn w:val="DefaultParagraphFont"/>
    <w:rsid w:val="00D33562"/>
    <w:rPr>
      <w:rFonts w:ascii="Arial" w:hAnsi="Arial"/>
    </w:rPr>
  </w:style>
  <w:style w:type="paragraph" w:customStyle="1" w:styleId="142Tableheading2">
    <w:name w:val="1.4.2 Table heading2"/>
    <w:basedOn w:val="Normal"/>
    <w:rsid w:val="00D33562"/>
    <w:pPr>
      <w:keepNext/>
      <w:widowControl w:val="0"/>
      <w:jc w:val="center"/>
    </w:pPr>
    <w:rPr>
      <w:iCs/>
      <w:smallCaps/>
      <w:sz w:val="20"/>
      <w:szCs w:val="20"/>
      <w:lang w:val="en-GB" w:eastAsia="en-US" w:bidi="en-US"/>
    </w:rPr>
  </w:style>
  <w:style w:type="paragraph" w:customStyle="1" w:styleId="Box1">
    <w:name w:val="Box 1"/>
    <w:basedOn w:val="Normal"/>
    <w:rsid w:val="00D33562"/>
    <w:pPr>
      <w:widowControl w:val="0"/>
      <w:tabs>
        <w:tab w:val="num" w:pos="120"/>
      </w:tabs>
      <w:ind w:left="113" w:hanging="113"/>
    </w:pPr>
    <w:rPr>
      <w:sz w:val="16"/>
      <w:lang w:val="en-GB" w:eastAsia="en-US" w:bidi="en-US"/>
    </w:rPr>
  </w:style>
  <w:style w:type="paragraph" w:customStyle="1" w:styleId="Box2">
    <w:name w:val="Box 2"/>
    <w:basedOn w:val="Normal"/>
    <w:rsid w:val="00D33562"/>
    <w:pPr>
      <w:widowControl w:val="0"/>
      <w:tabs>
        <w:tab w:val="left" w:pos="4608"/>
        <w:tab w:val="left" w:pos="9180"/>
        <w:tab w:val="left" w:pos="9216"/>
      </w:tabs>
      <w:jc w:val="center"/>
    </w:pPr>
    <w:rPr>
      <w:b/>
      <w:bCs/>
      <w:i/>
      <w:iCs/>
      <w:color w:val="000000"/>
      <w:sz w:val="16"/>
      <w:lang w:val="en-GB" w:eastAsia="en-US" w:bidi="en-US"/>
    </w:rPr>
  </w:style>
  <w:style w:type="paragraph" w:customStyle="1" w:styleId="Box3">
    <w:name w:val="Box 3"/>
    <w:basedOn w:val="Normal"/>
    <w:rsid w:val="00D33562"/>
    <w:pPr>
      <w:widowControl w:val="0"/>
      <w:tabs>
        <w:tab w:val="left" w:pos="4608"/>
        <w:tab w:val="left" w:pos="9180"/>
        <w:tab w:val="left" w:pos="9216"/>
      </w:tabs>
      <w:jc w:val="center"/>
    </w:pPr>
    <w:rPr>
      <w:b/>
      <w:bCs/>
      <w:i/>
      <w:iCs/>
      <w:color w:val="000000"/>
      <w:sz w:val="16"/>
      <w:lang w:val="en-GB" w:eastAsia="en-US" w:bidi="en-US"/>
    </w:rPr>
  </w:style>
  <w:style w:type="paragraph" w:customStyle="1" w:styleId="142tableheading1">
    <w:name w:val="1.4.2 table heading1"/>
    <w:basedOn w:val="142Tableheading2"/>
    <w:rsid w:val="00D33562"/>
    <w:rPr>
      <w:b/>
      <w:bCs/>
      <w:iCs w:val="0"/>
    </w:rPr>
  </w:style>
  <w:style w:type="paragraph" w:customStyle="1" w:styleId="142tabletext1">
    <w:name w:val="1.4.2 table text1"/>
    <w:basedOn w:val="Normal"/>
    <w:rsid w:val="00D33562"/>
    <w:pPr>
      <w:widowControl w:val="0"/>
      <w:ind w:left="142" w:hanging="142"/>
    </w:pPr>
    <w:rPr>
      <w:smallCaps/>
      <w:sz w:val="20"/>
      <w:szCs w:val="20"/>
      <w:lang w:val="en-GB" w:eastAsia="en-US" w:bidi="en-US"/>
    </w:rPr>
  </w:style>
  <w:style w:type="paragraph" w:customStyle="1" w:styleId="142tabletext2">
    <w:name w:val="1.4.2 table text2"/>
    <w:basedOn w:val="142tabletext1"/>
    <w:rsid w:val="00D33562"/>
    <w:pPr>
      <w:jc w:val="right"/>
    </w:pPr>
  </w:style>
  <w:style w:type="paragraph" w:customStyle="1" w:styleId="Clause">
    <w:name w:val="Clause"/>
    <w:basedOn w:val="Normal"/>
    <w:next w:val="Normal"/>
    <w:rsid w:val="00D33562"/>
    <w:pPr>
      <w:widowControl w:val="0"/>
      <w:tabs>
        <w:tab w:val="left" w:pos="851"/>
      </w:tabs>
    </w:pPr>
    <w:rPr>
      <w:szCs w:val="20"/>
      <w:lang w:val="en-GB" w:eastAsia="en-US" w:bidi="en-US"/>
    </w:rPr>
  </w:style>
  <w:style w:type="paragraph" w:customStyle="1" w:styleId="Clauseheading">
    <w:name w:val="Clause heading"/>
    <w:basedOn w:val="Normal"/>
    <w:next w:val="Normal"/>
    <w:rsid w:val="00D33562"/>
    <w:pPr>
      <w:widowControl w:val="0"/>
      <w:tabs>
        <w:tab w:val="left" w:pos="851"/>
      </w:tabs>
    </w:pPr>
    <w:rPr>
      <w:b/>
      <w:szCs w:val="20"/>
      <w:lang w:val="en-GB" w:eastAsia="en-US" w:bidi="en-US"/>
    </w:rPr>
  </w:style>
  <w:style w:type="paragraph" w:customStyle="1" w:styleId="ClauseList">
    <w:name w:val="Clause List"/>
    <w:basedOn w:val="Clause"/>
    <w:next w:val="Normal"/>
    <w:rsid w:val="00D33562"/>
  </w:style>
  <w:style w:type="paragraph" w:customStyle="1" w:styleId="Definition">
    <w:name w:val="Definition"/>
    <w:basedOn w:val="Normal"/>
    <w:next w:val="Normal"/>
    <w:rsid w:val="00D33562"/>
    <w:pPr>
      <w:widowControl w:val="0"/>
      <w:ind w:left="1701" w:hanging="851"/>
    </w:pPr>
    <w:rPr>
      <w:szCs w:val="20"/>
      <w:lang w:val="en-GB" w:eastAsia="en-US" w:bidi="en-US"/>
    </w:rPr>
  </w:style>
  <w:style w:type="paragraph" w:customStyle="1" w:styleId="DivisionHeading">
    <w:name w:val="Division Heading"/>
    <w:basedOn w:val="Normal"/>
    <w:next w:val="Normal"/>
    <w:rsid w:val="00D33562"/>
    <w:pPr>
      <w:widowControl w:val="0"/>
      <w:tabs>
        <w:tab w:val="left" w:pos="851"/>
      </w:tabs>
      <w:jc w:val="center"/>
    </w:pPr>
    <w:rPr>
      <w:b/>
      <w:sz w:val="28"/>
      <w:szCs w:val="20"/>
      <w:lang w:val="en-GB" w:eastAsia="en-US" w:bidi="en-US"/>
    </w:rPr>
  </w:style>
  <w:style w:type="paragraph" w:customStyle="1" w:styleId="EditorialNoteLine1">
    <w:name w:val="Editorial Note Line 1"/>
    <w:basedOn w:val="Normal"/>
    <w:next w:val="Normal"/>
    <w:rsid w:val="00D33562"/>
    <w:pPr>
      <w:widowControl w:val="0"/>
      <w:pBdr>
        <w:top w:val="single" w:sz="6" w:space="0" w:color="auto"/>
        <w:left w:val="single" w:sz="6" w:space="0" w:color="auto"/>
        <w:bottom w:val="single" w:sz="6" w:space="0" w:color="auto"/>
        <w:right w:val="single" w:sz="6" w:space="0" w:color="auto"/>
      </w:pBdr>
      <w:tabs>
        <w:tab w:val="left" w:pos="851"/>
      </w:tabs>
    </w:pPr>
    <w:rPr>
      <w:b/>
      <w:szCs w:val="20"/>
      <w:lang w:val="en-GB" w:eastAsia="en-US" w:bidi="en-US"/>
    </w:rPr>
  </w:style>
  <w:style w:type="paragraph" w:customStyle="1" w:styleId="EditorialNotetext">
    <w:name w:val="Editorial Note text"/>
    <w:basedOn w:val="EditorialNoteLine1"/>
    <w:rsid w:val="00D33562"/>
  </w:style>
  <w:style w:type="paragraph" w:customStyle="1" w:styleId="Footnote">
    <w:name w:val="Footnote"/>
    <w:basedOn w:val="Normal"/>
    <w:rsid w:val="00D33562"/>
    <w:pPr>
      <w:widowControl w:val="0"/>
      <w:tabs>
        <w:tab w:val="left" w:pos="851"/>
      </w:tabs>
    </w:pPr>
    <w:rPr>
      <w:sz w:val="20"/>
      <w:szCs w:val="20"/>
      <w:lang w:val="en-GB" w:eastAsia="en-US" w:bidi="en-US"/>
    </w:rPr>
  </w:style>
  <w:style w:type="paragraph" w:customStyle="1" w:styleId="MiscellaneousHeading">
    <w:name w:val="Miscellaneous Heading"/>
    <w:basedOn w:val="Normal"/>
    <w:next w:val="Normal"/>
    <w:rsid w:val="00D33562"/>
    <w:pPr>
      <w:widowControl w:val="0"/>
    </w:pPr>
    <w:rPr>
      <w:b/>
      <w:szCs w:val="20"/>
      <w:lang w:val="en-GB" w:eastAsia="en-US" w:bidi="en-US"/>
    </w:rPr>
  </w:style>
  <w:style w:type="paragraph" w:customStyle="1" w:styleId="Paragraph">
    <w:name w:val="Paragraph"/>
    <w:basedOn w:val="Clause"/>
    <w:next w:val="Normal"/>
    <w:rsid w:val="00D33562"/>
    <w:pPr>
      <w:tabs>
        <w:tab w:val="clear" w:pos="851"/>
      </w:tabs>
      <w:ind w:left="1702" w:hanging="851"/>
    </w:pPr>
  </w:style>
  <w:style w:type="paragraph" w:customStyle="1" w:styleId="ScheduleHeading">
    <w:name w:val="Schedule Heading"/>
    <w:basedOn w:val="Normal"/>
    <w:next w:val="Normal"/>
    <w:rsid w:val="00D33562"/>
    <w:pPr>
      <w:widowControl w:val="0"/>
      <w:tabs>
        <w:tab w:val="left" w:pos="851"/>
      </w:tabs>
      <w:jc w:val="center"/>
    </w:pPr>
    <w:rPr>
      <w:b/>
      <w:caps/>
      <w:szCs w:val="20"/>
      <w:lang w:val="en-GB" w:eastAsia="en-US" w:bidi="en-US"/>
    </w:rPr>
  </w:style>
  <w:style w:type="paragraph" w:customStyle="1" w:styleId="Standardtitle">
    <w:name w:val="Standard title"/>
    <w:basedOn w:val="Normal"/>
    <w:rsid w:val="00D33562"/>
    <w:pPr>
      <w:widowControl w:val="0"/>
      <w:tabs>
        <w:tab w:val="left" w:pos="851"/>
      </w:tabs>
      <w:jc w:val="center"/>
    </w:pPr>
    <w:rPr>
      <w:b/>
      <w:i/>
      <w:iCs/>
      <w:caps/>
      <w:sz w:val="28"/>
      <w:szCs w:val="20"/>
      <w:lang w:val="en-GB" w:eastAsia="en-US" w:bidi="en-US"/>
    </w:rPr>
  </w:style>
  <w:style w:type="paragraph" w:customStyle="1" w:styleId="Subclause">
    <w:name w:val="Subclause"/>
    <w:basedOn w:val="Clause"/>
    <w:rsid w:val="00D33562"/>
    <w:pPr>
      <w:ind w:hanging="11"/>
    </w:pPr>
  </w:style>
  <w:style w:type="paragraph" w:customStyle="1" w:styleId="Subparagraph">
    <w:name w:val="Subparagraph"/>
    <w:basedOn w:val="Paragraph"/>
    <w:next w:val="Normal"/>
    <w:rsid w:val="00D33562"/>
  </w:style>
  <w:style w:type="paragraph" w:customStyle="1" w:styleId="Table1">
    <w:name w:val="Table 1"/>
    <w:basedOn w:val="Normal"/>
    <w:rsid w:val="00D33562"/>
    <w:pPr>
      <w:widowControl w:val="0"/>
      <w:spacing w:after="120"/>
      <w:jc w:val="center"/>
    </w:pPr>
    <w:rPr>
      <w:b/>
      <w:bCs/>
      <w:sz w:val="20"/>
      <w:szCs w:val="20"/>
      <w:lang w:val="en-GB" w:eastAsia="en-US" w:bidi="en-US"/>
    </w:rPr>
  </w:style>
  <w:style w:type="paragraph" w:customStyle="1" w:styleId="Table2">
    <w:name w:val="Table 2"/>
    <w:basedOn w:val="Normal"/>
    <w:rsid w:val="00D33562"/>
    <w:pPr>
      <w:widowControl w:val="0"/>
      <w:ind w:left="142" w:hanging="142"/>
    </w:pPr>
    <w:rPr>
      <w:bCs/>
      <w:sz w:val="20"/>
      <w:szCs w:val="20"/>
      <w:lang w:val="en-GB" w:eastAsia="en-US" w:bidi="en-US"/>
    </w:rPr>
  </w:style>
  <w:style w:type="paragraph" w:customStyle="1" w:styleId="TableHeading">
    <w:name w:val="Table Heading"/>
    <w:basedOn w:val="Normal"/>
    <w:next w:val="Normal"/>
    <w:rsid w:val="00D33562"/>
    <w:pPr>
      <w:widowControl w:val="0"/>
      <w:tabs>
        <w:tab w:val="left" w:pos="851"/>
      </w:tabs>
      <w:jc w:val="center"/>
    </w:pPr>
    <w:rPr>
      <w:b/>
      <w:szCs w:val="20"/>
      <w:lang w:val="en-GB" w:eastAsia="en-US" w:bidi="en-US"/>
    </w:rPr>
  </w:style>
  <w:style w:type="paragraph" w:customStyle="1" w:styleId="TitleBorder">
    <w:name w:val="TitleBorder"/>
    <w:basedOn w:val="Normal"/>
    <w:rsid w:val="00D33562"/>
    <w:pPr>
      <w:widowControl w:val="0"/>
      <w:pBdr>
        <w:bottom w:val="double" w:sz="6" w:space="0" w:color="auto"/>
      </w:pBdr>
      <w:tabs>
        <w:tab w:val="left" w:pos="851"/>
      </w:tabs>
    </w:pPr>
    <w:rPr>
      <w:b/>
      <w:szCs w:val="20"/>
      <w:lang w:val="en-GB" w:eastAsia="en-US" w:bidi="en-US"/>
    </w:rPr>
  </w:style>
  <w:style w:type="paragraph" w:customStyle="1" w:styleId="FSDecisionHeading">
    <w:name w:val="FS Decision Heading"/>
    <w:basedOn w:val="Normal"/>
    <w:next w:val="FSDecisiontext"/>
    <w:qFormat/>
    <w:rsid w:val="00D33562"/>
    <w:pPr>
      <w:widowControl w:val="0"/>
      <w:pBdr>
        <w:top w:val="single" w:sz="4" w:space="1" w:color="auto"/>
        <w:left w:val="single" w:sz="4" w:space="4" w:color="auto"/>
        <w:bottom w:val="single" w:sz="4" w:space="1" w:color="auto"/>
        <w:right w:val="single" w:sz="4" w:space="4" w:color="auto"/>
      </w:pBdr>
    </w:pPr>
    <w:rPr>
      <w:rFonts w:ascii="Arial Bold" w:hAnsi="Arial Bold"/>
      <w:b/>
      <w:bCs/>
      <w:lang w:val="en-GB" w:eastAsia="en-US" w:bidi="en-US"/>
    </w:rPr>
  </w:style>
  <w:style w:type="paragraph" w:customStyle="1" w:styleId="FSDecisiontext">
    <w:name w:val="FS Decision text"/>
    <w:basedOn w:val="Normal"/>
    <w:qFormat/>
    <w:rsid w:val="00D33562"/>
    <w:pPr>
      <w:widowControl w:val="0"/>
      <w:pBdr>
        <w:top w:val="single" w:sz="4" w:space="1" w:color="auto"/>
        <w:left w:val="single" w:sz="4" w:space="4" w:color="auto"/>
        <w:bottom w:val="single" w:sz="4" w:space="1" w:color="auto"/>
        <w:right w:val="single" w:sz="4" w:space="4" w:color="auto"/>
      </w:pBdr>
    </w:pPr>
    <w:rPr>
      <w:lang w:val="en-GB" w:eastAsia="en-US" w:bidi="en-US"/>
    </w:rPr>
  </w:style>
  <w:style w:type="paragraph" w:customStyle="1" w:styleId="FSBullet">
    <w:name w:val="FS Bullet"/>
    <w:basedOn w:val="Normal"/>
    <w:next w:val="Normal"/>
    <w:link w:val="FSBulletChar"/>
    <w:qFormat/>
    <w:rsid w:val="00D33562"/>
    <w:pPr>
      <w:widowControl w:val="0"/>
      <w:numPr>
        <w:numId w:val="13"/>
      </w:numPr>
    </w:pPr>
    <w:rPr>
      <w:rFonts w:cs="Arial"/>
      <w:lang w:val="en-GB" w:eastAsia="en-US" w:bidi="en-US"/>
    </w:rPr>
  </w:style>
  <w:style w:type="character" w:customStyle="1" w:styleId="FSBulletChar">
    <w:name w:val="FS Bullet Char"/>
    <w:basedOn w:val="DefaultParagraphFont"/>
    <w:link w:val="FSBullet"/>
    <w:rsid w:val="00D33562"/>
    <w:rPr>
      <w:rFonts w:ascii="Arial" w:hAnsi="Arial" w:cs="Arial"/>
      <w:szCs w:val="24"/>
      <w:lang w:eastAsia="en-US" w:bidi="en-US"/>
    </w:rPr>
  </w:style>
  <w:style w:type="paragraph" w:customStyle="1" w:styleId="FSTableTitle">
    <w:name w:val="FS Table Title"/>
    <w:basedOn w:val="Normal"/>
    <w:next w:val="Normal"/>
    <w:qFormat/>
    <w:rsid w:val="00D33562"/>
    <w:pPr>
      <w:widowControl w:val="0"/>
    </w:pPr>
    <w:rPr>
      <w:rFonts w:cs="Arial"/>
      <w:b/>
      <w:lang w:val="en-GB" w:eastAsia="en-US" w:bidi="en-US"/>
    </w:rPr>
  </w:style>
  <w:style w:type="paragraph" w:customStyle="1" w:styleId="FSTableHeading">
    <w:name w:val="FS Table Heading"/>
    <w:basedOn w:val="Normal"/>
    <w:qFormat/>
    <w:rsid w:val="00D33562"/>
    <w:pPr>
      <w:widowControl w:val="0"/>
      <w:jc w:val="center"/>
    </w:pPr>
    <w:rPr>
      <w:rFonts w:ascii="Arial Bold" w:hAnsi="Arial Bold" w:cs="Arial"/>
      <w:b/>
      <w:sz w:val="20"/>
      <w:szCs w:val="20"/>
      <w:lang w:val="en-GB" w:eastAsia="en-US" w:bidi="en-US"/>
    </w:rPr>
  </w:style>
  <w:style w:type="paragraph" w:customStyle="1" w:styleId="FSTableText">
    <w:name w:val="FS Table Text"/>
    <w:basedOn w:val="Normal"/>
    <w:qFormat/>
    <w:rsid w:val="00D33562"/>
    <w:pPr>
      <w:widowControl w:val="0"/>
    </w:pPr>
    <w:rPr>
      <w:rFonts w:cs="Arial"/>
      <w:sz w:val="20"/>
      <w:szCs w:val="20"/>
      <w:lang w:val="en-GB" w:eastAsia="en-US" w:bidi="en-US"/>
    </w:rPr>
  </w:style>
  <w:style w:type="paragraph" w:customStyle="1" w:styleId="FSFigureTitle">
    <w:name w:val="FS Figure Title"/>
    <w:basedOn w:val="Normal"/>
    <w:next w:val="Normal"/>
    <w:qFormat/>
    <w:rsid w:val="00D33562"/>
    <w:pPr>
      <w:widowControl w:val="0"/>
    </w:pPr>
    <w:rPr>
      <w:rFonts w:cs="Arial"/>
      <w:i/>
      <w:lang w:val="en-GB" w:eastAsia="en-US" w:bidi="en-US"/>
    </w:rPr>
  </w:style>
  <w:style w:type="paragraph" w:styleId="DocumentMap">
    <w:name w:val="Document Map"/>
    <w:basedOn w:val="Normal"/>
    <w:link w:val="DocumentMapChar"/>
    <w:rsid w:val="00D33562"/>
    <w:pPr>
      <w:widowControl w:val="0"/>
    </w:pPr>
    <w:rPr>
      <w:rFonts w:ascii="Tahoma" w:hAnsi="Tahoma" w:cs="Tahoma"/>
      <w:sz w:val="16"/>
      <w:szCs w:val="16"/>
      <w:lang w:val="en-GB" w:eastAsia="en-US" w:bidi="en-US"/>
    </w:rPr>
  </w:style>
  <w:style w:type="character" w:customStyle="1" w:styleId="DocumentMapChar">
    <w:name w:val="Document Map Char"/>
    <w:basedOn w:val="DefaultParagraphFont"/>
    <w:link w:val="DocumentMap"/>
    <w:rsid w:val="00D33562"/>
    <w:rPr>
      <w:rFonts w:ascii="Tahoma" w:hAnsi="Tahoma" w:cs="Tahoma"/>
      <w:sz w:val="16"/>
      <w:szCs w:val="16"/>
      <w:lang w:eastAsia="en-US" w:bidi="en-US"/>
    </w:rPr>
  </w:style>
  <w:style w:type="paragraph" w:customStyle="1" w:styleId="FSBullet2">
    <w:name w:val="FSBullet 2"/>
    <w:basedOn w:val="Normal"/>
    <w:qFormat/>
    <w:rsid w:val="00D33562"/>
    <w:pPr>
      <w:numPr>
        <w:numId w:val="14"/>
      </w:numPr>
      <w:ind w:left="1134" w:hanging="567"/>
    </w:pPr>
    <w:rPr>
      <w:rFonts w:eastAsia="Calibri"/>
      <w:szCs w:val="22"/>
      <w:lang w:val="en-GB" w:eastAsia="en-US"/>
    </w:rPr>
  </w:style>
  <w:style w:type="paragraph" w:customStyle="1" w:styleId="FSBullet3">
    <w:name w:val="FSBullet 3"/>
    <w:basedOn w:val="Normal"/>
    <w:qFormat/>
    <w:rsid w:val="00D33562"/>
    <w:pPr>
      <w:keepNext/>
      <w:numPr>
        <w:numId w:val="15"/>
      </w:numPr>
      <w:ind w:left="1701" w:hanging="567"/>
    </w:pPr>
    <w:rPr>
      <w:rFonts w:eastAsia="Calibri"/>
      <w:b/>
      <w:szCs w:val="22"/>
      <w:lang w:val="en-GB" w:eastAsia="en-US"/>
    </w:rPr>
  </w:style>
  <w:style w:type="table" w:styleId="MediumShading1-Accent3">
    <w:name w:val="Medium Shading 1 Accent 3"/>
    <w:basedOn w:val="TableNormal"/>
    <w:uiPriority w:val="63"/>
    <w:rsid w:val="00D33562"/>
    <w:pPr>
      <w:spacing w:after="0" w:line="240" w:lineRule="auto"/>
    </w:pPr>
    <w:rPr>
      <w:rFonts w:ascii="Calibri" w:hAnsi="Calibri"/>
      <w:sz w:val="20"/>
      <w:szCs w:val="20"/>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NormalWeb">
    <w:name w:val="Normal (Web)"/>
    <w:basedOn w:val="Normal"/>
    <w:unhideWhenUsed/>
    <w:rsid w:val="00D33562"/>
    <w:pPr>
      <w:spacing w:before="100" w:beforeAutospacing="1" w:after="100" w:afterAutospacing="1"/>
    </w:pPr>
  </w:style>
  <w:style w:type="paragraph" w:styleId="Caption">
    <w:name w:val="caption"/>
    <w:basedOn w:val="Normal"/>
    <w:next w:val="Normal"/>
    <w:unhideWhenUsed/>
    <w:qFormat/>
    <w:rsid w:val="00D33562"/>
    <w:pPr>
      <w:widowControl w:val="0"/>
      <w:spacing w:after="200"/>
    </w:pPr>
    <w:rPr>
      <w:b/>
      <w:bCs/>
      <w:color w:val="4F81BD" w:themeColor="accent1"/>
      <w:sz w:val="18"/>
      <w:szCs w:val="18"/>
      <w:lang w:val="en-GB" w:eastAsia="en-US" w:bidi="en-US"/>
    </w:rPr>
  </w:style>
  <w:style w:type="paragraph" w:customStyle="1" w:styleId="xl22">
    <w:name w:val="xl22"/>
    <w:basedOn w:val="Normal"/>
    <w:rsid w:val="00D33562"/>
    <w:pPr>
      <w:spacing w:before="100" w:beforeAutospacing="1" w:after="100" w:afterAutospacing="1"/>
    </w:pPr>
    <w:rPr>
      <w:rFonts w:ascii="Arial Unicode MS" w:eastAsia="Arial Unicode MS" w:hAnsi="Arial Unicode MS" w:cs="Arial Unicode MS"/>
      <w:lang w:eastAsia="en-US"/>
    </w:rPr>
  </w:style>
  <w:style w:type="paragraph" w:customStyle="1" w:styleId="Bullets">
    <w:name w:val="Bullets"/>
    <w:basedOn w:val="Normal"/>
    <w:next w:val="Normal"/>
    <w:autoRedefine/>
    <w:qFormat/>
    <w:rsid w:val="00D33562"/>
    <w:pPr>
      <w:numPr>
        <w:numId w:val="17"/>
      </w:numPr>
    </w:pPr>
    <w:rPr>
      <w:rFonts w:eastAsiaTheme="minorHAnsi"/>
      <w:lang w:val="en-GB" w:eastAsia="en-US"/>
    </w:rPr>
  </w:style>
  <w:style w:type="character" w:customStyle="1" w:styleId="FSBullet1Char1">
    <w:name w:val="FSBullet 1 Char1"/>
    <w:basedOn w:val="DefaultParagraphFont"/>
    <w:rsid w:val="00D33562"/>
    <w:rPr>
      <w:rFonts w:eastAsia="Times New Roman"/>
      <w:szCs w:val="24"/>
      <w:lang w:val="en-GB" w:bidi="en-US"/>
    </w:rPr>
  </w:style>
  <w:style w:type="paragraph" w:customStyle="1" w:styleId="Figure">
    <w:name w:val="Figure"/>
    <w:basedOn w:val="Normal"/>
    <w:next w:val="Normal"/>
    <w:rsid w:val="00D33562"/>
    <w:pPr>
      <w:keepNext/>
      <w:spacing w:before="240"/>
      <w:outlineLvl w:val="3"/>
    </w:pPr>
    <w:rPr>
      <w:b/>
      <w:bCs/>
      <w:iCs/>
      <w:lang w:eastAsia="en-US"/>
    </w:rPr>
  </w:style>
  <w:style w:type="character" w:styleId="Strong">
    <w:name w:val="Strong"/>
    <w:basedOn w:val="DefaultParagraphFont"/>
    <w:uiPriority w:val="22"/>
    <w:qFormat/>
    <w:rsid w:val="00D33562"/>
    <w:rPr>
      <w:b/>
      <w:bCs/>
    </w:rPr>
  </w:style>
  <w:style w:type="paragraph" w:customStyle="1" w:styleId="tahoma18redb">
    <w:name w:val="tahoma18redb"/>
    <w:basedOn w:val="Normal"/>
    <w:rsid w:val="00D33562"/>
    <w:pPr>
      <w:spacing w:before="100" w:beforeAutospacing="1" w:after="100" w:afterAutospacing="1"/>
    </w:pPr>
    <w:rPr>
      <w:rFonts w:ascii="Tahoma" w:hAnsi="Tahoma" w:cs="Tahoma"/>
      <w:b/>
      <w:bCs/>
      <w:color w:val="CC0000"/>
      <w:sz w:val="36"/>
      <w:szCs w:val="36"/>
    </w:rPr>
  </w:style>
  <w:style w:type="table" w:customStyle="1" w:styleId="TableGrid1">
    <w:name w:val="Table Grid1"/>
    <w:basedOn w:val="TableNormal"/>
    <w:next w:val="TableGrid"/>
    <w:rsid w:val="003D4158"/>
    <w:pPr>
      <w:spacing w:after="0" w:line="240" w:lineRule="auto"/>
    </w:pPr>
    <w:rPr>
      <w:rFonts w:ascii="Arial" w:eastAsia="Calibri" w:hAnsi="Arial" w:cs="Arial"/>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nk">
    <w:name w:val="link"/>
    <w:basedOn w:val="Normal"/>
    <w:link w:val="linkChar"/>
    <w:qFormat/>
    <w:rsid w:val="000664AC"/>
  </w:style>
  <w:style w:type="character" w:customStyle="1" w:styleId="linkChar">
    <w:name w:val="link Char"/>
    <w:basedOn w:val="DefaultParagraphFont"/>
    <w:link w:val="link"/>
    <w:rsid w:val="000664AC"/>
    <w:rPr>
      <w:rFonts w:ascii="Arial" w:hAnsi="Arial"/>
      <w:szCs w:val="24"/>
      <w:lang w:val="en-AU" w:eastAsia="en-AU"/>
    </w:rPr>
  </w:style>
  <w:style w:type="table" w:styleId="LightGrid-Accent1">
    <w:name w:val="Light Grid Accent 1"/>
    <w:basedOn w:val="TableNormal"/>
    <w:uiPriority w:val="62"/>
    <w:rsid w:val="008A543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1-Accent11">
    <w:name w:val="Medium Shading 1 - Accent 11"/>
    <w:basedOn w:val="TableNormal"/>
    <w:next w:val="MediumShading1-Accent1"/>
    <w:uiPriority w:val="63"/>
    <w:rsid w:val="001E32B2"/>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AB2"/>
    <w:pPr>
      <w:spacing w:after="0" w:line="240" w:lineRule="auto"/>
    </w:pPr>
    <w:rPr>
      <w:rFonts w:ascii="Arial" w:hAnsi="Arial"/>
      <w:szCs w:val="24"/>
      <w:lang w:val="en-AU" w:eastAsia="en-AU"/>
    </w:rPr>
  </w:style>
  <w:style w:type="paragraph" w:styleId="Heading1">
    <w:name w:val="heading 1"/>
    <w:aliases w:val="FSHeading 1,Chapter heading"/>
    <w:basedOn w:val="Normal"/>
    <w:next w:val="Normal"/>
    <w:link w:val="Heading1Char"/>
    <w:uiPriority w:val="9"/>
    <w:qFormat/>
    <w:rsid w:val="00174316"/>
    <w:pPr>
      <w:keepNext/>
      <w:tabs>
        <w:tab w:val="left" w:pos="-1440"/>
        <w:tab w:val="left" w:pos="567"/>
      </w:tabs>
      <w:outlineLvl w:val="0"/>
    </w:pPr>
    <w:rPr>
      <w:b/>
      <w:bCs/>
    </w:rPr>
  </w:style>
  <w:style w:type="paragraph" w:styleId="Heading2">
    <w:name w:val="heading 2"/>
    <w:aliases w:val="FSHeading 2,Section heading"/>
    <w:basedOn w:val="Heading2LT"/>
    <w:next w:val="Normal"/>
    <w:link w:val="Heading2Char"/>
    <w:uiPriority w:val="9"/>
    <w:qFormat/>
    <w:rsid w:val="00473EBF"/>
    <w:pPr>
      <w:spacing w:before="240" w:after="120"/>
      <w:outlineLvl w:val="1"/>
    </w:pPr>
  </w:style>
  <w:style w:type="paragraph" w:styleId="Heading3">
    <w:name w:val="heading 3"/>
    <w:aliases w:val="FSHeading 3,Subheading 1"/>
    <w:basedOn w:val="Normal"/>
    <w:next w:val="Normal"/>
    <w:link w:val="Heading3Char"/>
    <w:uiPriority w:val="9"/>
    <w:unhideWhenUsed/>
    <w:qFormat/>
    <w:rsid w:val="00473EBF"/>
    <w:pPr>
      <w:spacing w:before="240" w:after="120"/>
      <w:outlineLvl w:val="2"/>
    </w:pPr>
    <w:rPr>
      <w:rFonts w:cs="Arial"/>
      <w:i/>
      <w:szCs w:val="22"/>
    </w:rPr>
  </w:style>
  <w:style w:type="paragraph" w:styleId="Heading4">
    <w:name w:val="heading 4"/>
    <w:aliases w:val="FSHeading 4,Subheading 2"/>
    <w:basedOn w:val="Normal"/>
    <w:next w:val="Normal"/>
    <w:link w:val="Heading4Char"/>
    <w:uiPriority w:val="9"/>
    <w:unhideWhenUsed/>
    <w:qFormat/>
    <w:rsid w:val="00473EBF"/>
    <w:pPr>
      <w:spacing w:before="240" w:after="120"/>
      <w:outlineLvl w:val="3"/>
    </w:pPr>
    <w:rPr>
      <w:rFonts w:cs="Arial"/>
      <w:szCs w:val="22"/>
    </w:rPr>
  </w:style>
  <w:style w:type="paragraph" w:styleId="Heading5">
    <w:name w:val="heading 5"/>
    <w:aliases w:val="FSHeading 5,Subheading 3"/>
    <w:basedOn w:val="Normal"/>
    <w:next w:val="Normal"/>
    <w:link w:val="Heading5Char"/>
    <w:uiPriority w:val="9"/>
    <w:unhideWhenUsed/>
    <w:qFormat/>
    <w:rsid w:val="00D33562"/>
    <w:pPr>
      <w:keepNext/>
      <w:widowControl w:val="0"/>
      <w:spacing w:before="240" w:after="240"/>
      <w:ind w:left="851" w:hanging="851"/>
      <w:outlineLvl w:val="4"/>
    </w:pPr>
    <w:rPr>
      <w:i/>
      <w:szCs w:val="22"/>
      <w:lang w:val="en-GB" w:eastAsia="en-US"/>
    </w:rPr>
  </w:style>
  <w:style w:type="paragraph" w:styleId="Heading6">
    <w:name w:val="heading 6"/>
    <w:basedOn w:val="Normal"/>
    <w:next w:val="Normal"/>
    <w:link w:val="Heading6Char"/>
    <w:uiPriority w:val="9"/>
    <w:unhideWhenUsed/>
    <w:rsid w:val="00D33562"/>
    <w:pPr>
      <w:widowControl w:val="0"/>
      <w:spacing w:before="240" w:after="60"/>
      <w:outlineLvl w:val="5"/>
    </w:pPr>
    <w:rPr>
      <w:rFonts w:cs="Arial Unicode MS"/>
      <w:b/>
      <w:bCs/>
      <w:szCs w:val="22"/>
      <w:lang w:val="en-GB" w:eastAsia="en-US" w:bidi="en-US"/>
    </w:rPr>
  </w:style>
  <w:style w:type="paragraph" w:styleId="Heading7">
    <w:name w:val="heading 7"/>
    <w:basedOn w:val="Normal"/>
    <w:next w:val="Normal"/>
    <w:link w:val="Heading7Char"/>
    <w:uiPriority w:val="9"/>
    <w:unhideWhenUsed/>
    <w:rsid w:val="00D33562"/>
    <w:pPr>
      <w:widowControl w:val="0"/>
      <w:spacing w:before="240" w:after="60"/>
      <w:outlineLvl w:val="6"/>
    </w:pPr>
    <w:rPr>
      <w:lang w:val="en-GB" w:eastAsia="en-US" w:bidi="en-US"/>
    </w:rPr>
  </w:style>
  <w:style w:type="paragraph" w:styleId="Heading8">
    <w:name w:val="heading 8"/>
    <w:basedOn w:val="Normal"/>
    <w:next w:val="Normal"/>
    <w:link w:val="Heading8Char"/>
    <w:uiPriority w:val="9"/>
    <w:unhideWhenUsed/>
    <w:rsid w:val="00D33562"/>
    <w:pPr>
      <w:widowControl w:val="0"/>
      <w:spacing w:before="240" w:after="60"/>
      <w:outlineLvl w:val="7"/>
    </w:pPr>
    <w:rPr>
      <w:i/>
      <w:iCs/>
      <w:lang w:val="en-GB" w:eastAsia="en-US" w:bidi="en-US"/>
    </w:rPr>
  </w:style>
  <w:style w:type="paragraph" w:styleId="Heading9">
    <w:name w:val="heading 9"/>
    <w:basedOn w:val="Normal"/>
    <w:next w:val="Normal"/>
    <w:link w:val="Heading9Char"/>
    <w:uiPriority w:val="9"/>
    <w:unhideWhenUsed/>
    <w:rsid w:val="00D33562"/>
    <w:pPr>
      <w:widowControl w:val="0"/>
      <w:spacing w:before="240" w:after="60"/>
      <w:outlineLvl w:val="8"/>
    </w:pPr>
    <w:rPr>
      <w:rFonts w:ascii="Cambria" w:hAnsi="Cambria"/>
      <w:szCs w:val="22"/>
      <w:lang w:val="en-GB"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174316"/>
    <w:rPr>
      <w:b/>
      <w:bCs/>
      <w:sz w:val="24"/>
      <w:szCs w:val="24"/>
      <w:lang w:val="en-AU" w:eastAsia="en-AU"/>
    </w:rPr>
  </w:style>
  <w:style w:type="character" w:customStyle="1" w:styleId="Heading2Char">
    <w:name w:val="Heading 2 Char"/>
    <w:aliases w:val="FSHeading 2 Char,Section heading Char"/>
    <w:basedOn w:val="DefaultParagraphFont"/>
    <w:link w:val="Heading2"/>
    <w:uiPriority w:val="9"/>
    <w:rsid w:val="005A1D59"/>
    <w:rPr>
      <w:rFonts w:ascii="Arial" w:hAnsi="Arial" w:cs="Arial"/>
      <w:b/>
      <w:lang w:val="en-AU" w:eastAsia="en-AU"/>
    </w:rPr>
  </w:style>
  <w:style w:type="paragraph" w:styleId="Header">
    <w:name w:val="header"/>
    <w:aliases w:val="FSHeader"/>
    <w:basedOn w:val="Normal"/>
    <w:link w:val="HeaderChar"/>
    <w:uiPriority w:val="99"/>
    <w:qFormat/>
    <w:rsid w:val="00B1796E"/>
    <w:pPr>
      <w:widowControl w:val="0"/>
      <w:tabs>
        <w:tab w:val="center" w:pos="4153"/>
        <w:tab w:val="right" w:pos="8306"/>
      </w:tabs>
    </w:pPr>
    <w:rPr>
      <w:lang w:val="en-US" w:eastAsia="en-US"/>
    </w:rPr>
  </w:style>
  <w:style w:type="character" w:customStyle="1" w:styleId="HeaderChar">
    <w:name w:val="Header Char"/>
    <w:aliases w:val="FSHeader Char"/>
    <w:basedOn w:val="DefaultParagraphFont"/>
    <w:link w:val="Header"/>
    <w:uiPriority w:val="99"/>
    <w:rsid w:val="00B1796E"/>
    <w:rPr>
      <w:sz w:val="24"/>
      <w:szCs w:val="24"/>
      <w:lang w:val="en-AU" w:eastAsia="en-AU"/>
    </w:rPr>
  </w:style>
  <w:style w:type="paragraph" w:styleId="BodyTextIndent2">
    <w:name w:val="Body Text Indent 2"/>
    <w:basedOn w:val="Normal"/>
    <w:link w:val="BodyTextIndent2Char"/>
    <w:uiPriority w:val="99"/>
    <w:rsid w:val="00B1796E"/>
    <w:pPr>
      <w:widowControl w:val="0"/>
      <w:tabs>
        <w:tab w:val="left" w:pos="709"/>
      </w:tabs>
      <w:ind w:left="709" w:hanging="709"/>
    </w:pPr>
    <w:rPr>
      <w:lang w:eastAsia="en-US"/>
    </w:rPr>
  </w:style>
  <w:style w:type="character" w:customStyle="1" w:styleId="BodyTextIndent2Char">
    <w:name w:val="Body Text Indent 2 Char"/>
    <w:basedOn w:val="DefaultParagraphFont"/>
    <w:link w:val="BodyTextIndent2"/>
    <w:uiPriority w:val="99"/>
    <w:semiHidden/>
    <w:rsid w:val="00B1796E"/>
    <w:rPr>
      <w:sz w:val="24"/>
      <w:szCs w:val="24"/>
      <w:lang w:val="en-AU" w:eastAsia="en-AU"/>
    </w:rPr>
  </w:style>
  <w:style w:type="paragraph" w:styleId="BodyText">
    <w:name w:val="Body Text"/>
    <w:basedOn w:val="Normal"/>
    <w:link w:val="BodyTextChar"/>
    <w:rsid w:val="00B1796E"/>
    <w:pPr>
      <w:jc w:val="center"/>
    </w:pPr>
    <w:rPr>
      <w:b/>
      <w:bCs/>
      <w:vanish/>
      <w:color w:val="FF0000"/>
    </w:rPr>
  </w:style>
  <w:style w:type="character" w:customStyle="1" w:styleId="BodyTextChar">
    <w:name w:val="Body Text Char"/>
    <w:basedOn w:val="DefaultParagraphFont"/>
    <w:link w:val="BodyText"/>
    <w:rsid w:val="00B1796E"/>
    <w:rPr>
      <w:sz w:val="24"/>
      <w:szCs w:val="24"/>
      <w:lang w:val="en-AU" w:eastAsia="en-AU"/>
    </w:rPr>
  </w:style>
  <w:style w:type="paragraph" w:styleId="Footer">
    <w:name w:val="footer"/>
    <w:basedOn w:val="Normal"/>
    <w:link w:val="FooterChar"/>
    <w:rsid w:val="00B1796E"/>
    <w:pPr>
      <w:tabs>
        <w:tab w:val="center" w:pos="4153"/>
        <w:tab w:val="right" w:pos="8306"/>
      </w:tabs>
    </w:pPr>
  </w:style>
  <w:style w:type="character" w:customStyle="1" w:styleId="FooterChar">
    <w:name w:val="Footer Char"/>
    <w:basedOn w:val="DefaultParagraphFont"/>
    <w:link w:val="Footer"/>
    <w:rsid w:val="00B1796E"/>
    <w:rPr>
      <w:sz w:val="24"/>
      <w:szCs w:val="24"/>
      <w:lang w:val="en-AU" w:eastAsia="en-AU"/>
    </w:rPr>
  </w:style>
  <w:style w:type="paragraph" w:styleId="BodyTextIndent">
    <w:name w:val="Body Text Indent"/>
    <w:basedOn w:val="Normal"/>
    <w:link w:val="BodyTextIndentChar"/>
    <w:uiPriority w:val="99"/>
    <w:rsid w:val="00B1796E"/>
    <w:pPr>
      <w:tabs>
        <w:tab w:val="num" w:pos="5670"/>
        <w:tab w:val="left" w:pos="7513"/>
      </w:tabs>
      <w:ind w:left="7371" w:hanging="6171"/>
    </w:pPr>
  </w:style>
  <w:style w:type="character" w:customStyle="1" w:styleId="BodyTextIndentChar">
    <w:name w:val="Body Text Indent Char"/>
    <w:basedOn w:val="DefaultParagraphFont"/>
    <w:link w:val="BodyTextIndent"/>
    <w:uiPriority w:val="99"/>
    <w:semiHidden/>
    <w:rsid w:val="00B1796E"/>
    <w:rPr>
      <w:sz w:val="24"/>
      <w:szCs w:val="24"/>
      <w:lang w:val="en-AU" w:eastAsia="en-AU"/>
    </w:rPr>
  </w:style>
  <w:style w:type="paragraph" w:customStyle="1" w:styleId="ISCHeading">
    <w:name w:val="ISC Heading"/>
    <w:basedOn w:val="Normal"/>
    <w:uiPriority w:val="99"/>
    <w:rsid w:val="00B1796E"/>
    <w:pPr>
      <w:jc w:val="center"/>
    </w:pPr>
    <w:rPr>
      <w:b/>
      <w:bCs/>
    </w:rPr>
  </w:style>
  <w:style w:type="paragraph" w:customStyle="1" w:styleId="Style1">
    <w:name w:val="Style1"/>
    <w:basedOn w:val="Normal"/>
    <w:uiPriority w:val="99"/>
    <w:rsid w:val="00B1796E"/>
    <w:rPr>
      <w:b/>
      <w:bCs/>
    </w:rPr>
  </w:style>
  <w:style w:type="paragraph" w:customStyle="1" w:styleId="ISCNormal">
    <w:name w:val="ISC Normal"/>
    <w:basedOn w:val="Normal"/>
    <w:uiPriority w:val="99"/>
    <w:rsid w:val="00B1796E"/>
  </w:style>
  <w:style w:type="paragraph" w:customStyle="1" w:styleId="ISCBold">
    <w:name w:val="ISC Bold"/>
    <w:basedOn w:val="Normal"/>
    <w:uiPriority w:val="99"/>
    <w:rsid w:val="00B1796E"/>
    <w:rPr>
      <w:b/>
      <w:bCs/>
    </w:rPr>
  </w:style>
  <w:style w:type="paragraph" w:customStyle="1" w:styleId="ISCnumbered">
    <w:name w:val="ISC numbered"/>
    <w:basedOn w:val="BodyTextIndent2"/>
    <w:uiPriority w:val="99"/>
    <w:rsid w:val="00B1796E"/>
    <w:pPr>
      <w:numPr>
        <w:numId w:val="1"/>
      </w:numPr>
      <w:tabs>
        <w:tab w:val="left" w:pos="426"/>
      </w:tabs>
      <w:spacing w:after="120"/>
      <w:ind w:left="357" w:hanging="357"/>
    </w:pPr>
  </w:style>
  <w:style w:type="paragraph" w:customStyle="1" w:styleId="ISCbulleted">
    <w:name w:val="ISC bulleted"/>
    <w:basedOn w:val="Normal"/>
    <w:uiPriority w:val="99"/>
    <w:rsid w:val="00B1796E"/>
    <w:pPr>
      <w:numPr>
        <w:numId w:val="2"/>
      </w:numPr>
      <w:tabs>
        <w:tab w:val="left" w:pos="567"/>
      </w:tabs>
      <w:spacing w:after="120"/>
    </w:pPr>
  </w:style>
  <w:style w:type="paragraph" w:styleId="BalloonText">
    <w:name w:val="Balloon Text"/>
    <w:basedOn w:val="Normal"/>
    <w:link w:val="BalloonTextChar"/>
    <w:semiHidden/>
    <w:unhideWhenUsed/>
    <w:rsid w:val="00AB0AAA"/>
    <w:rPr>
      <w:rFonts w:ascii="Tahoma" w:hAnsi="Tahoma" w:cs="Tahoma"/>
      <w:sz w:val="16"/>
      <w:szCs w:val="16"/>
      <w:lang w:val="en-GB" w:eastAsia="en-US"/>
    </w:rPr>
  </w:style>
  <w:style w:type="character" w:customStyle="1" w:styleId="BalloonTextChar">
    <w:name w:val="Balloon Text Char"/>
    <w:basedOn w:val="DefaultParagraphFont"/>
    <w:link w:val="BalloonText"/>
    <w:semiHidden/>
    <w:rsid w:val="00AB0AAA"/>
    <w:rPr>
      <w:rFonts w:ascii="Tahoma" w:hAnsi="Tahoma" w:cs="Tahoma"/>
      <w:sz w:val="16"/>
      <w:szCs w:val="16"/>
      <w:lang w:eastAsia="en-US"/>
    </w:rPr>
  </w:style>
  <w:style w:type="character" w:styleId="Hyperlink">
    <w:name w:val="Hyperlink"/>
    <w:basedOn w:val="DefaultParagraphFont"/>
    <w:uiPriority w:val="99"/>
    <w:rsid w:val="009576A0"/>
    <w:rPr>
      <w:rFonts w:cs="Arial"/>
      <w:color w:val="0070C0"/>
      <w:szCs w:val="22"/>
      <w:u w:val="single"/>
    </w:rPr>
  </w:style>
  <w:style w:type="paragraph" w:styleId="TOC1">
    <w:name w:val="toc 1"/>
    <w:basedOn w:val="Normal"/>
    <w:next w:val="Normal"/>
    <w:autoRedefine/>
    <w:uiPriority w:val="39"/>
    <w:qFormat/>
    <w:rsid w:val="00A37734"/>
    <w:pPr>
      <w:tabs>
        <w:tab w:val="right" w:leader="dot" w:pos="9628"/>
      </w:tabs>
      <w:spacing w:before="120"/>
    </w:pPr>
    <w:rPr>
      <w:rFonts w:asciiTheme="majorHAnsi" w:hAnsiTheme="majorHAnsi"/>
      <w:b/>
      <w:bCs/>
      <w:caps/>
    </w:rPr>
  </w:style>
  <w:style w:type="paragraph" w:styleId="TOC2">
    <w:name w:val="toc 2"/>
    <w:basedOn w:val="Normal"/>
    <w:next w:val="Normal"/>
    <w:link w:val="TOC2Char"/>
    <w:autoRedefine/>
    <w:uiPriority w:val="39"/>
    <w:qFormat/>
    <w:rsid w:val="00A37734"/>
    <w:pPr>
      <w:spacing w:before="240"/>
    </w:pPr>
    <w:rPr>
      <w:rFonts w:asciiTheme="minorHAnsi" w:hAnsiTheme="minorHAnsi" w:cstheme="minorHAnsi"/>
      <w:bCs/>
      <w:sz w:val="20"/>
      <w:szCs w:val="20"/>
    </w:rPr>
  </w:style>
  <w:style w:type="paragraph" w:styleId="TOC3">
    <w:name w:val="toc 3"/>
    <w:basedOn w:val="Normal"/>
    <w:next w:val="Normal"/>
    <w:autoRedefine/>
    <w:uiPriority w:val="39"/>
    <w:qFormat/>
    <w:rsid w:val="00740AE5"/>
    <w:pPr>
      <w:ind w:left="240"/>
    </w:pPr>
    <w:rPr>
      <w:rFonts w:asciiTheme="minorHAnsi" w:hAnsiTheme="minorHAnsi" w:cstheme="minorHAnsi"/>
      <w:sz w:val="20"/>
      <w:szCs w:val="20"/>
    </w:rPr>
  </w:style>
  <w:style w:type="paragraph" w:styleId="ListParagraph">
    <w:name w:val="List Paragraph"/>
    <w:basedOn w:val="Normal"/>
    <w:uiPriority w:val="34"/>
    <w:qFormat/>
    <w:rsid w:val="00740AE5"/>
    <w:pPr>
      <w:ind w:left="720"/>
    </w:pPr>
    <w:rPr>
      <w:rFonts w:ascii="Calibri" w:eastAsiaTheme="minorHAnsi" w:hAnsi="Calibri"/>
      <w:szCs w:val="22"/>
      <w:lang w:val="en-GB" w:eastAsia="en-GB"/>
    </w:rPr>
  </w:style>
  <w:style w:type="character" w:styleId="CommentReference">
    <w:name w:val="annotation reference"/>
    <w:basedOn w:val="DefaultParagraphFont"/>
    <w:uiPriority w:val="99"/>
    <w:unhideWhenUsed/>
    <w:rsid w:val="00740AE5"/>
    <w:rPr>
      <w:sz w:val="16"/>
      <w:szCs w:val="16"/>
    </w:rPr>
  </w:style>
  <w:style w:type="character" w:customStyle="1" w:styleId="CommentTextChar">
    <w:name w:val="Comment Text Char"/>
    <w:basedOn w:val="DefaultParagraphFont"/>
    <w:link w:val="CommentText"/>
    <w:uiPriority w:val="99"/>
    <w:rsid w:val="00740AE5"/>
    <w:rPr>
      <w:rFonts w:asciiTheme="minorHAnsi" w:eastAsiaTheme="minorHAnsi" w:hAnsiTheme="minorHAnsi" w:cstheme="minorBidi"/>
      <w:sz w:val="20"/>
      <w:szCs w:val="20"/>
      <w:lang w:eastAsia="en-US"/>
    </w:rPr>
  </w:style>
  <w:style w:type="paragraph" w:styleId="CommentText">
    <w:name w:val="annotation text"/>
    <w:basedOn w:val="Normal"/>
    <w:link w:val="CommentTextChar"/>
    <w:uiPriority w:val="99"/>
    <w:unhideWhenUsed/>
    <w:rsid w:val="00740AE5"/>
    <w:pPr>
      <w:spacing w:after="200"/>
    </w:pPr>
    <w:rPr>
      <w:rFonts w:asciiTheme="minorHAnsi" w:eastAsiaTheme="minorHAnsi" w:hAnsiTheme="minorHAnsi" w:cstheme="minorBidi"/>
      <w:sz w:val="20"/>
      <w:szCs w:val="20"/>
      <w:lang w:val="en-GB" w:eastAsia="en-US"/>
    </w:rPr>
  </w:style>
  <w:style w:type="character" w:customStyle="1" w:styleId="CommentSubjectChar">
    <w:name w:val="Comment Subject Char"/>
    <w:basedOn w:val="CommentTextChar"/>
    <w:link w:val="CommentSubject"/>
    <w:rsid w:val="00740AE5"/>
    <w:rPr>
      <w:rFonts w:asciiTheme="minorHAnsi" w:eastAsiaTheme="minorHAnsi" w:hAnsiTheme="minorHAnsi" w:cstheme="minorBidi"/>
      <w:b/>
      <w:bCs/>
      <w:sz w:val="20"/>
      <w:szCs w:val="20"/>
      <w:lang w:eastAsia="en-US"/>
    </w:rPr>
  </w:style>
  <w:style w:type="paragraph" w:styleId="CommentSubject">
    <w:name w:val="annotation subject"/>
    <w:basedOn w:val="CommentText"/>
    <w:next w:val="CommentText"/>
    <w:link w:val="CommentSubjectChar"/>
    <w:unhideWhenUsed/>
    <w:rsid w:val="00740AE5"/>
    <w:rPr>
      <w:b/>
      <w:bCs/>
    </w:rPr>
  </w:style>
  <w:style w:type="paragraph" w:styleId="FootnoteText">
    <w:name w:val="footnote text"/>
    <w:basedOn w:val="Normal"/>
    <w:link w:val="FootnoteTextChar"/>
    <w:rsid w:val="00740AE5"/>
    <w:rPr>
      <w:sz w:val="20"/>
      <w:szCs w:val="20"/>
      <w:lang w:eastAsia="en-US"/>
    </w:rPr>
  </w:style>
  <w:style w:type="character" w:customStyle="1" w:styleId="FootnoteTextChar">
    <w:name w:val="Footnote Text Char"/>
    <w:basedOn w:val="DefaultParagraphFont"/>
    <w:link w:val="FootnoteText"/>
    <w:rsid w:val="00740AE5"/>
    <w:rPr>
      <w:sz w:val="20"/>
      <w:szCs w:val="20"/>
      <w:lang w:val="en-AU" w:eastAsia="en-US"/>
    </w:rPr>
  </w:style>
  <w:style w:type="character" w:styleId="FootnoteReference">
    <w:name w:val="footnote reference"/>
    <w:basedOn w:val="DefaultParagraphFont"/>
    <w:rsid w:val="00740AE5"/>
    <w:rPr>
      <w:vertAlign w:val="superscript"/>
    </w:rPr>
  </w:style>
  <w:style w:type="table" w:styleId="MediumGrid3-Accent1">
    <w:name w:val="Medium Grid 3 Accent 1"/>
    <w:basedOn w:val="TableNormal"/>
    <w:uiPriority w:val="69"/>
    <w:rsid w:val="00740AE5"/>
    <w:pPr>
      <w:spacing w:after="0" w:line="240" w:lineRule="auto"/>
    </w:pPr>
    <w:rPr>
      <w:rFonts w:asciiTheme="minorHAnsi" w:eastAsiaTheme="minorHAnsi" w:hAnsiTheme="minorHAnsi" w:cstheme="minorBid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LightList-Accent11">
    <w:name w:val="Light List - Accent 11"/>
    <w:basedOn w:val="TableNormal"/>
    <w:uiPriority w:val="61"/>
    <w:rsid w:val="00740AE5"/>
    <w:pPr>
      <w:spacing w:after="0" w:line="240" w:lineRule="auto"/>
    </w:pPr>
    <w:rPr>
      <w:rFonts w:asciiTheme="minorHAnsi" w:eastAsiaTheme="minorHAnsi" w:hAnsiTheme="minorHAnsi" w:cstheme="minorBid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EE4365"/>
    <w:pPr>
      <w:spacing w:after="0" w:line="240" w:lineRule="auto"/>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EE4365"/>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EE4365"/>
    <w:pPr>
      <w:spacing w:after="0" w:line="240" w:lineRule="auto"/>
    </w:pPr>
    <w:rPr>
      <w:rFonts w:asciiTheme="minorHAnsi" w:eastAsiaTheme="minorHAnsi" w:hAnsiTheme="minorHAnsi" w:cstheme="minorBid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Revision">
    <w:name w:val="Revision"/>
    <w:hidden/>
    <w:uiPriority w:val="99"/>
    <w:semiHidden/>
    <w:rsid w:val="00EE4365"/>
    <w:pPr>
      <w:spacing w:after="0" w:line="240" w:lineRule="auto"/>
    </w:pPr>
    <w:rPr>
      <w:rFonts w:asciiTheme="minorHAnsi" w:eastAsiaTheme="minorHAnsi" w:hAnsiTheme="minorHAnsi" w:cstheme="minorBidi"/>
      <w:lang w:eastAsia="en-US"/>
    </w:rPr>
  </w:style>
  <w:style w:type="character" w:styleId="FollowedHyperlink">
    <w:name w:val="FollowedHyperlink"/>
    <w:basedOn w:val="DefaultParagraphFont"/>
    <w:unhideWhenUsed/>
    <w:rsid w:val="00EE4365"/>
    <w:rPr>
      <w:color w:val="800080" w:themeColor="followedHyperlink"/>
      <w:u w:val="single"/>
    </w:rPr>
  </w:style>
  <w:style w:type="character" w:styleId="PlaceholderText">
    <w:name w:val="Placeholder Text"/>
    <w:basedOn w:val="DefaultParagraphFont"/>
    <w:uiPriority w:val="99"/>
    <w:semiHidden/>
    <w:rsid w:val="00EE4365"/>
    <w:rPr>
      <w:color w:val="808080"/>
    </w:rPr>
  </w:style>
  <w:style w:type="table" w:styleId="MediumShading1-Accent1">
    <w:name w:val="Medium Shading 1 Accent 1"/>
    <w:basedOn w:val="TableNormal"/>
    <w:uiPriority w:val="63"/>
    <w:rsid w:val="005A087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E549C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3F50E2"/>
    <w:pPr>
      <w:autoSpaceDE w:val="0"/>
      <w:autoSpaceDN w:val="0"/>
      <w:adjustRightInd w:val="0"/>
      <w:spacing w:after="0" w:line="240" w:lineRule="auto"/>
    </w:pPr>
    <w:rPr>
      <w:color w:val="000000"/>
      <w:sz w:val="24"/>
      <w:szCs w:val="24"/>
      <w:lang w:val="en-AU"/>
    </w:rPr>
  </w:style>
  <w:style w:type="paragraph" w:styleId="TOCHeading">
    <w:name w:val="TOC Heading"/>
    <w:basedOn w:val="Heading1"/>
    <w:next w:val="Normal"/>
    <w:uiPriority w:val="39"/>
    <w:unhideWhenUsed/>
    <w:qFormat/>
    <w:rsid w:val="00356DAD"/>
    <w:pPr>
      <w:keepLines/>
      <w:tabs>
        <w:tab w:val="clear" w:pos="-1440"/>
        <w:tab w:val="clear" w:pos="567"/>
      </w:tab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Heading2LT">
    <w:name w:val="Heading 2 LT"/>
    <w:basedOn w:val="Normal"/>
    <w:link w:val="Heading2LTChar"/>
    <w:autoRedefine/>
    <w:qFormat/>
    <w:rsid w:val="000C175B"/>
    <w:rPr>
      <w:rFonts w:cs="Arial"/>
      <w:b/>
      <w:szCs w:val="22"/>
    </w:rPr>
  </w:style>
  <w:style w:type="paragraph" w:styleId="TOC4">
    <w:name w:val="toc 4"/>
    <w:basedOn w:val="Normal"/>
    <w:next w:val="Normal"/>
    <w:autoRedefine/>
    <w:unhideWhenUsed/>
    <w:rsid w:val="00162628"/>
    <w:pPr>
      <w:ind w:left="480"/>
    </w:pPr>
    <w:rPr>
      <w:rFonts w:asciiTheme="minorHAnsi" w:hAnsiTheme="minorHAnsi" w:cstheme="minorHAnsi"/>
      <w:sz w:val="20"/>
      <w:szCs w:val="20"/>
    </w:rPr>
  </w:style>
  <w:style w:type="character" w:customStyle="1" w:styleId="Heading2LTChar">
    <w:name w:val="Heading 2 LT Char"/>
    <w:basedOn w:val="DefaultParagraphFont"/>
    <w:link w:val="Heading2LT"/>
    <w:rsid w:val="000C175B"/>
    <w:rPr>
      <w:rFonts w:ascii="Arial" w:hAnsi="Arial" w:cs="Arial"/>
      <w:b/>
      <w:lang w:val="en-AU" w:eastAsia="en-AU"/>
    </w:rPr>
  </w:style>
  <w:style w:type="paragraph" w:styleId="TOC6">
    <w:name w:val="toc 6"/>
    <w:basedOn w:val="Normal"/>
    <w:next w:val="Normal"/>
    <w:autoRedefine/>
    <w:unhideWhenUsed/>
    <w:rsid w:val="00162628"/>
    <w:pPr>
      <w:ind w:left="960"/>
    </w:pPr>
    <w:rPr>
      <w:rFonts w:asciiTheme="minorHAnsi" w:hAnsiTheme="minorHAnsi" w:cstheme="minorHAnsi"/>
      <w:sz w:val="20"/>
      <w:szCs w:val="20"/>
    </w:rPr>
  </w:style>
  <w:style w:type="paragraph" w:styleId="TOC5">
    <w:name w:val="toc 5"/>
    <w:basedOn w:val="Normal"/>
    <w:next w:val="Normal"/>
    <w:autoRedefine/>
    <w:unhideWhenUsed/>
    <w:rsid w:val="00162628"/>
    <w:pPr>
      <w:ind w:left="720"/>
    </w:pPr>
    <w:rPr>
      <w:rFonts w:asciiTheme="minorHAnsi" w:hAnsiTheme="minorHAnsi" w:cstheme="minorHAnsi"/>
      <w:sz w:val="20"/>
      <w:szCs w:val="20"/>
    </w:rPr>
  </w:style>
  <w:style w:type="paragraph" w:styleId="TOC7">
    <w:name w:val="toc 7"/>
    <w:basedOn w:val="Normal"/>
    <w:next w:val="Normal"/>
    <w:autoRedefine/>
    <w:unhideWhenUsed/>
    <w:rsid w:val="00162628"/>
    <w:pPr>
      <w:ind w:left="1200"/>
    </w:pPr>
    <w:rPr>
      <w:rFonts w:asciiTheme="minorHAnsi" w:hAnsiTheme="minorHAnsi" w:cstheme="minorHAnsi"/>
      <w:sz w:val="20"/>
      <w:szCs w:val="20"/>
    </w:rPr>
  </w:style>
  <w:style w:type="paragraph" w:styleId="TOC8">
    <w:name w:val="toc 8"/>
    <w:basedOn w:val="Normal"/>
    <w:next w:val="Normal"/>
    <w:autoRedefine/>
    <w:unhideWhenUsed/>
    <w:rsid w:val="00162628"/>
    <w:pPr>
      <w:ind w:left="1440"/>
    </w:pPr>
    <w:rPr>
      <w:rFonts w:asciiTheme="minorHAnsi" w:hAnsiTheme="minorHAnsi" w:cstheme="minorHAnsi"/>
      <w:sz w:val="20"/>
      <w:szCs w:val="20"/>
    </w:rPr>
  </w:style>
  <w:style w:type="paragraph" w:styleId="TOC9">
    <w:name w:val="toc 9"/>
    <w:basedOn w:val="Normal"/>
    <w:next w:val="Normal"/>
    <w:autoRedefine/>
    <w:unhideWhenUsed/>
    <w:rsid w:val="00162628"/>
    <w:pPr>
      <w:ind w:left="1680"/>
    </w:pPr>
    <w:rPr>
      <w:rFonts w:asciiTheme="minorHAnsi" w:hAnsiTheme="minorHAnsi" w:cstheme="minorHAnsi"/>
      <w:sz w:val="20"/>
      <w:szCs w:val="20"/>
    </w:rPr>
  </w:style>
  <w:style w:type="paragraph" w:styleId="TableofFigures">
    <w:name w:val="table of figures"/>
    <w:basedOn w:val="Normal"/>
    <w:next w:val="Normal"/>
    <w:uiPriority w:val="99"/>
    <w:unhideWhenUsed/>
    <w:rsid w:val="00D10885"/>
    <w:rPr>
      <w:rFonts w:asciiTheme="minorHAnsi" w:hAnsiTheme="minorHAnsi"/>
      <w:sz w:val="20"/>
    </w:rPr>
  </w:style>
  <w:style w:type="paragraph" w:customStyle="1" w:styleId="Heading3LT">
    <w:name w:val="Heading 3 LT"/>
    <w:basedOn w:val="TOC2"/>
    <w:link w:val="Heading3LTChar"/>
    <w:qFormat/>
    <w:rsid w:val="00391DE3"/>
    <w:rPr>
      <w:b/>
      <w:sz w:val="24"/>
    </w:rPr>
  </w:style>
  <w:style w:type="character" w:customStyle="1" w:styleId="Heading3Char">
    <w:name w:val="Heading 3 Char"/>
    <w:aliases w:val="FSHeading 3 Char,Subheading 1 Char"/>
    <w:basedOn w:val="DefaultParagraphFont"/>
    <w:link w:val="Heading3"/>
    <w:uiPriority w:val="9"/>
    <w:rsid w:val="005A1D59"/>
    <w:rPr>
      <w:rFonts w:ascii="Arial" w:hAnsi="Arial" w:cs="Arial"/>
      <w:i/>
      <w:lang w:val="en-AU" w:eastAsia="en-AU"/>
    </w:rPr>
  </w:style>
  <w:style w:type="character" w:customStyle="1" w:styleId="TOC2Char">
    <w:name w:val="TOC 2 Char"/>
    <w:basedOn w:val="DefaultParagraphFont"/>
    <w:link w:val="TOC2"/>
    <w:uiPriority w:val="39"/>
    <w:rsid w:val="00A37734"/>
    <w:rPr>
      <w:rFonts w:asciiTheme="minorHAnsi" w:hAnsiTheme="minorHAnsi" w:cstheme="minorHAnsi"/>
      <w:bCs/>
      <w:sz w:val="20"/>
      <w:szCs w:val="20"/>
      <w:lang w:val="en-AU" w:eastAsia="en-AU"/>
    </w:rPr>
  </w:style>
  <w:style w:type="character" w:customStyle="1" w:styleId="Heading3LTChar">
    <w:name w:val="Heading 3 LT Char"/>
    <w:basedOn w:val="TOC2Char"/>
    <w:link w:val="Heading3LT"/>
    <w:rsid w:val="00391DE3"/>
    <w:rPr>
      <w:rFonts w:asciiTheme="minorHAnsi" w:hAnsiTheme="minorHAnsi" w:cstheme="minorHAnsi"/>
      <w:b/>
      <w:bCs/>
      <w:sz w:val="24"/>
      <w:szCs w:val="20"/>
      <w:lang w:val="en-AU" w:eastAsia="en-AU"/>
    </w:rPr>
  </w:style>
  <w:style w:type="paragraph" w:customStyle="1" w:styleId="FSBullet1">
    <w:name w:val="FSBullet 1"/>
    <w:basedOn w:val="Normal"/>
    <w:next w:val="Normal"/>
    <w:link w:val="FSBullet1Char"/>
    <w:qFormat/>
    <w:rsid w:val="00AF286B"/>
    <w:pPr>
      <w:numPr>
        <w:numId w:val="10"/>
      </w:numPr>
    </w:pPr>
    <w:rPr>
      <w:rFonts w:cs="Arial"/>
      <w:lang w:val="en-GB" w:eastAsia="en-US"/>
    </w:rPr>
  </w:style>
  <w:style w:type="character" w:customStyle="1" w:styleId="FSBullet1Char">
    <w:name w:val="FSBullet 1 Char"/>
    <w:basedOn w:val="DefaultParagraphFont"/>
    <w:link w:val="FSBullet1"/>
    <w:rsid w:val="00AF286B"/>
    <w:rPr>
      <w:rFonts w:ascii="Arial" w:hAnsi="Arial" w:cs="Arial"/>
      <w:szCs w:val="24"/>
      <w:lang w:eastAsia="en-US"/>
    </w:rPr>
  </w:style>
  <w:style w:type="character" w:customStyle="1" w:styleId="Heading4Char">
    <w:name w:val="Heading 4 Char"/>
    <w:aliases w:val="FSHeading 4 Char,Subheading 2 Char"/>
    <w:basedOn w:val="DefaultParagraphFont"/>
    <w:link w:val="Heading4"/>
    <w:uiPriority w:val="9"/>
    <w:rsid w:val="005A1D59"/>
    <w:rPr>
      <w:rFonts w:ascii="Arial" w:hAnsi="Arial" w:cs="Arial"/>
      <w:lang w:val="en-AU" w:eastAsia="en-AU"/>
    </w:rPr>
  </w:style>
  <w:style w:type="character" w:customStyle="1" w:styleId="Heading5Char">
    <w:name w:val="Heading 5 Char"/>
    <w:aliases w:val="FSHeading 5 Char,Subheading 3 Char"/>
    <w:basedOn w:val="DefaultParagraphFont"/>
    <w:link w:val="Heading5"/>
    <w:uiPriority w:val="9"/>
    <w:rsid w:val="00D33562"/>
    <w:rPr>
      <w:rFonts w:ascii="Arial" w:hAnsi="Arial"/>
      <w:i/>
      <w:lang w:eastAsia="en-US"/>
    </w:rPr>
  </w:style>
  <w:style w:type="character" w:customStyle="1" w:styleId="Heading6Char">
    <w:name w:val="Heading 6 Char"/>
    <w:basedOn w:val="DefaultParagraphFont"/>
    <w:link w:val="Heading6"/>
    <w:uiPriority w:val="9"/>
    <w:rsid w:val="00D33562"/>
    <w:rPr>
      <w:rFonts w:ascii="Arial" w:hAnsi="Arial" w:cs="Arial Unicode MS"/>
      <w:b/>
      <w:bCs/>
      <w:lang w:eastAsia="en-US" w:bidi="en-US"/>
    </w:rPr>
  </w:style>
  <w:style w:type="character" w:customStyle="1" w:styleId="Heading7Char">
    <w:name w:val="Heading 7 Char"/>
    <w:basedOn w:val="DefaultParagraphFont"/>
    <w:link w:val="Heading7"/>
    <w:uiPriority w:val="9"/>
    <w:rsid w:val="00D33562"/>
    <w:rPr>
      <w:rFonts w:ascii="Arial" w:hAnsi="Arial"/>
      <w:szCs w:val="24"/>
      <w:lang w:eastAsia="en-US" w:bidi="en-US"/>
    </w:rPr>
  </w:style>
  <w:style w:type="character" w:customStyle="1" w:styleId="Heading8Char">
    <w:name w:val="Heading 8 Char"/>
    <w:basedOn w:val="DefaultParagraphFont"/>
    <w:link w:val="Heading8"/>
    <w:uiPriority w:val="9"/>
    <w:rsid w:val="00D33562"/>
    <w:rPr>
      <w:rFonts w:ascii="Arial" w:hAnsi="Arial"/>
      <w:i/>
      <w:iCs/>
      <w:szCs w:val="24"/>
      <w:lang w:eastAsia="en-US" w:bidi="en-US"/>
    </w:rPr>
  </w:style>
  <w:style w:type="character" w:customStyle="1" w:styleId="Heading9Char">
    <w:name w:val="Heading 9 Char"/>
    <w:basedOn w:val="DefaultParagraphFont"/>
    <w:link w:val="Heading9"/>
    <w:uiPriority w:val="9"/>
    <w:rsid w:val="00D33562"/>
    <w:rPr>
      <w:rFonts w:ascii="Cambria" w:hAnsi="Cambria"/>
      <w:lang w:eastAsia="en-US" w:bidi="en-US"/>
    </w:rPr>
  </w:style>
  <w:style w:type="paragraph" w:customStyle="1" w:styleId="FSTitle">
    <w:name w:val="FS Title"/>
    <w:basedOn w:val="Normal"/>
    <w:qFormat/>
    <w:rsid w:val="00D33562"/>
    <w:pPr>
      <w:widowControl w:val="0"/>
    </w:pPr>
    <w:rPr>
      <w:rFonts w:cs="Tahoma"/>
      <w:bCs/>
      <w:sz w:val="32"/>
      <w:lang w:val="en-GB" w:eastAsia="en-US" w:bidi="en-US"/>
    </w:rPr>
  </w:style>
  <w:style w:type="paragraph" w:customStyle="1" w:styleId="FSDash">
    <w:name w:val="FS Dash"/>
    <w:basedOn w:val="Normal"/>
    <w:qFormat/>
    <w:rsid w:val="00D33562"/>
    <w:pPr>
      <w:widowControl w:val="0"/>
      <w:ind w:left="1134" w:hanging="567"/>
    </w:pPr>
    <w:rPr>
      <w:lang w:val="en-GB" w:eastAsia="en-US" w:bidi="en-US"/>
    </w:rPr>
  </w:style>
  <w:style w:type="character" w:styleId="PageNumber">
    <w:name w:val="page number"/>
    <w:basedOn w:val="DefaultParagraphFont"/>
    <w:rsid w:val="00D33562"/>
    <w:rPr>
      <w:rFonts w:ascii="Arial" w:hAnsi="Arial"/>
    </w:rPr>
  </w:style>
  <w:style w:type="paragraph" w:customStyle="1" w:styleId="142Tableheading2">
    <w:name w:val="1.4.2 Table heading2"/>
    <w:basedOn w:val="Normal"/>
    <w:rsid w:val="00D33562"/>
    <w:pPr>
      <w:keepNext/>
      <w:widowControl w:val="0"/>
      <w:jc w:val="center"/>
    </w:pPr>
    <w:rPr>
      <w:iCs/>
      <w:smallCaps/>
      <w:sz w:val="20"/>
      <w:szCs w:val="20"/>
      <w:lang w:val="en-GB" w:eastAsia="en-US" w:bidi="en-US"/>
    </w:rPr>
  </w:style>
  <w:style w:type="paragraph" w:customStyle="1" w:styleId="Box1">
    <w:name w:val="Box 1"/>
    <w:basedOn w:val="Normal"/>
    <w:rsid w:val="00D33562"/>
    <w:pPr>
      <w:widowControl w:val="0"/>
      <w:tabs>
        <w:tab w:val="num" w:pos="120"/>
      </w:tabs>
      <w:ind w:left="113" w:hanging="113"/>
    </w:pPr>
    <w:rPr>
      <w:sz w:val="16"/>
      <w:lang w:val="en-GB" w:eastAsia="en-US" w:bidi="en-US"/>
    </w:rPr>
  </w:style>
  <w:style w:type="paragraph" w:customStyle="1" w:styleId="Box2">
    <w:name w:val="Box 2"/>
    <w:basedOn w:val="Normal"/>
    <w:rsid w:val="00D33562"/>
    <w:pPr>
      <w:widowControl w:val="0"/>
      <w:tabs>
        <w:tab w:val="left" w:pos="4608"/>
        <w:tab w:val="left" w:pos="9180"/>
        <w:tab w:val="left" w:pos="9216"/>
      </w:tabs>
      <w:jc w:val="center"/>
    </w:pPr>
    <w:rPr>
      <w:b/>
      <w:bCs/>
      <w:i/>
      <w:iCs/>
      <w:color w:val="000000"/>
      <w:sz w:val="16"/>
      <w:lang w:val="en-GB" w:eastAsia="en-US" w:bidi="en-US"/>
    </w:rPr>
  </w:style>
  <w:style w:type="paragraph" w:customStyle="1" w:styleId="Box3">
    <w:name w:val="Box 3"/>
    <w:basedOn w:val="Normal"/>
    <w:rsid w:val="00D33562"/>
    <w:pPr>
      <w:widowControl w:val="0"/>
      <w:tabs>
        <w:tab w:val="left" w:pos="4608"/>
        <w:tab w:val="left" w:pos="9180"/>
        <w:tab w:val="left" w:pos="9216"/>
      </w:tabs>
      <w:jc w:val="center"/>
    </w:pPr>
    <w:rPr>
      <w:b/>
      <w:bCs/>
      <w:i/>
      <w:iCs/>
      <w:color w:val="000000"/>
      <w:sz w:val="16"/>
      <w:lang w:val="en-GB" w:eastAsia="en-US" w:bidi="en-US"/>
    </w:rPr>
  </w:style>
  <w:style w:type="paragraph" w:customStyle="1" w:styleId="142tableheading1">
    <w:name w:val="1.4.2 table heading1"/>
    <w:basedOn w:val="142Tableheading2"/>
    <w:rsid w:val="00D33562"/>
    <w:rPr>
      <w:b/>
      <w:bCs/>
      <w:iCs w:val="0"/>
    </w:rPr>
  </w:style>
  <w:style w:type="paragraph" w:customStyle="1" w:styleId="142tabletext1">
    <w:name w:val="1.4.2 table text1"/>
    <w:basedOn w:val="Normal"/>
    <w:rsid w:val="00D33562"/>
    <w:pPr>
      <w:widowControl w:val="0"/>
      <w:ind w:left="142" w:hanging="142"/>
    </w:pPr>
    <w:rPr>
      <w:smallCaps/>
      <w:sz w:val="20"/>
      <w:szCs w:val="20"/>
      <w:lang w:val="en-GB" w:eastAsia="en-US" w:bidi="en-US"/>
    </w:rPr>
  </w:style>
  <w:style w:type="paragraph" w:customStyle="1" w:styleId="142tabletext2">
    <w:name w:val="1.4.2 table text2"/>
    <w:basedOn w:val="142tabletext1"/>
    <w:rsid w:val="00D33562"/>
    <w:pPr>
      <w:jc w:val="right"/>
    </w:pPr>
  </w:style>
  <w:style w:type="paragraph" w:customStyle="1" w:styleId="Clause">
    <w:name w:val="Clause"/>
    <w:basedOn w:val="Normal"/>
    <w:next w:val="Normal"/>
    <w:rsid w:val="00D33562"/>
    <w:pPr>
      <w:widowControl w:val="0"/>
      <w:tabs>
        <w:tab w:val="left" w:pos="851"/>
      </w:tabs>
    </w:pPr>
    <w:rPr>
      <w:szCs w:val="20"/>
      <w:lang w:val="en-GB" w:eastAsia="en-US" w:bidi="en-US"/>
    </w:rPr>
  </w:style>
  <w:style w:type="paragraph" w:customStyle="1" w:styleId="Clauseheading">
    <w:name w:val="Clause heading"/>
    <w:basedOn w:val="Normal"/>
    <w:next w:val="Normal"/>
    <w:rsid w:val="00D33562"/>
    <w:pPr>
      <w:widowControl w:val="0"/>
      <w:tabs>
        <w:tab w:val="left" w:pos="851"/>
      </w:tabs>
    </w:pPr>
    <w:rPr>
      <w:b/>
      <w:szCs w:val="20"/>
      <w:lang w:val="en-GB" w:eastAsia="en-US" w:bidi="en-US"/>
    </w:rPr>
  </w:style>
  <w:style w:type="paragraph" w:customStyle="1" w:styleId="ClauseList">
    <w:name w:val="Clause List"/>
    <w:basedOn w:val="Clause"/>
    <w:next w:val="Normal"/>
    <w:rsid w:val="00D33562"/>
  </w:style>
  <w:style w:type="paragraph" w:customStyle="1" w:styleId="Definition">
    <w:name w:val="Definition"/>
    <w:basedOn w:val="Normal"/>
    <w:next w:val="Normal"/>
    <w:rsid w:val="00D33562"/>
    <w:pPr>
      <w:widowControl w:val="0"/>
      <w:ind w:left="1701" w:hanging="851"/>
    </w:pPr>
    <w:rPr>
      <w:szCs w:val="20"/>
      <w:lang w:val="en-GB" w:eastAsia="en-US" w:bidi="en-US"/>
    </w:rPr>
  </w:style>
  <w:style w:type="paragraph" w:customStyle="1" w:styleId="DivisionHeading">
    <w:name w:val="Division Heading"/>
    <w:basedOn w:val="Normal"/>
    <w:next w:val="Normal"/>
    <w:rsid w:val="00D33562"/>
    <w:pPr>
      <w:widowControl w:val="0"/>
      <w:tabs>
        <w:tab w:val="left" w:pos="851"/>
      </w:tabs>
      <w:jc w:val="center"/>
    </w:pPr>
    <w:rPr>
      <w:b/>
      <w:sz w:val="28"/>
      <w:szCs w:val="20"/>
      <w:lang w:val="en-GB" w:eastAsia="en-US" w:bidi="en-US"/>
    </w:rPr>
  </w:style>
  <w:style w:type="paragraph" w:customStyle="1" w:styleId="EditorialNoteLine1">
    <w:name w:val="Editorial Note Line 1"/>
    <w:basedOn w:val="Normal"/>
    <w:next w:val="Normal"/>
    <w:rsid w:val="00D33562"/>
    <w:pPr>
      <w:widowControl w:val="0"/>
      <w:pBdr>
        <w:top w:val="single" w:sz="6" w:space="0" w:color="auto"/>
        <w:left w:val="single" w:sz="6" w:space="0" w:color="auto"/>
        <w:bottom w:val="single" w:sz="6" w:space="0" w:color="auto"/>
        <w:right w:val="single" w:sz="6" w:space="0" w:color="auto"/>
      </w:pBdr>
      <w:tabs>
        <w:tab w:val="left" w:pos="851"/>
      </w:tabs>
    </w:pPr>
    <w:rPr>
      <w:b/>
      <w:szCs w:val="20"/>
      <w:lang w:val="en-GB" w:eastAsia="en-US" w:bidi="en-US"/>
    </w:rPr>
  </w:style>
  <w:style w:type="paragraph" w:customStyle="1" w:styleId="EditorialNotetext">
    <w:name w:val="Editorial Note text"/>
    <w:basedOn w:val="EditorialNoteLine1"/>
    <w:rsid w:val="00D33562"/>
  </w:style>
  <w:style w:type="paragraph" w:customStyle="1" w:styleId="Footnote">
    <w:name w:val="Footnote"/>
    <w:basedOn w:val="Normal"/>
    <w:rsid w:val="00D33562"/>
    <w:pPr>
      <w:widowControl w:val="0"/>
      <w:tabs>
        <w:tab w:val="left" w:pos="851"/>
      </w:tabs>
    </w:pPr>
    <w:rPr>
      <w:sz w:val="20"/>
      <w:szCs w:val="20"/>
      <w:lang w:val="en-GB" w:eastAsia="en-US" w:bidi="en-US"/>
    </w:rPr>
  </w:style>
  <w:style w:type="paragraph" w:customStyle="1" w:styleId="MiscellaneousHeading">
    <w:name w:val="Miscellaneous Heading"/>
    <w:basedOn w:val="Normal"/>
    <w:next w:val="Normal"/>
    <w:rsid w:val="00D33562"/>
    <w:pPr>
      <w:widowControl w:val="0"/>
    </w:pPr>
    <w:rPr>
      <w:b/>
      <w:szCs w:val="20"/>
      <w:lang w:val="en-GB" w:eastAsia="en-US" w:bidi="en-US"/>
    </w:rPr>
  </w:style>
  <w:style w:type="paragraph" w:customStyle="1" w:styleId="Paragraph">
    <w:name w:val="Paragraph"/>
    <w:basedOn w:val="Clause"/>
    <w:next w:val="Normal"/>
    <w:rsid w:val="00D33562"/>
    <w:pPr>
      <w:tabs>
        <w:tab w:val="clear" w:pos="851"/>
      </w:tabs>
      <w:ind w:left="1702" w:hanging="851"/>
    </w:pPr>
  </w:style>
  <w:style w:type="paragraph" w:customStyle="1" w:styleId="ScheduleHeading">
    <w:name w:val="Schedule Heading"/>
    <w:basedOn w:val="Normal"/>
    <w:next w:val="Normal"/>
    <w:rsid w:val="00D33562"/>
    <w:pPr>
      <w:widowControl w:val="0"/>
      <w:tabs>
        <w:tab w:val="left" w:pos="851"/>
      </w:tabs>
      <w:jc w:val="center"/>
    </w:pPr>
    <w:rPr>
      <w:b/>
      <w:caps/>
      <w:szCs w:val="20"/>
      <w:lang w:val="en-GB" w:eastAsia="en-US" w:bidi="en-US"/>
    </w:rPr>
  </w:style>
  <w:style w:type="paragraph" w:customStyle="1" w:styleId="Standardtitle">
    <w:name w:val="Standard title"/>
    <w:basedOn w:val="Normal"/>
    <w:rsid w:val="00D33562"/>
    <w:pPr>
      <w:widowControl w:val="0"/>
      <w:tabs>
        <w:tab w:val="left" w:pos="851"/>
      </w:tabs>
      <w:jc w:val="center"/>
    </w:pPr>
    <w:rPr>
      <w:b/>
      <w:i/>
      <w:iCs/>
      <w:caps/>
      <w:sz w:val="28"/>
      <w:szCs w:val="20"/>
      <w:lang w:val="en-GB" w:eastAsia="en-US" w:bidi="en-US"/>
    </w:rPr>
  </w:style>
  <w:style w:type="paragraph" w:customStyle="1" w:styleId="Subclause">
    <w:name w:val="Subclause"/>
    <w:basedOn w:val="Clause"/>
    <w:rsid w:val="00D33562"/>
    <w:pPr>
      <w:ind w:hanging="11"/>
    </w:pPr>
  </w:style>
  <w:style w:type="paragraph" w:customStyle="1" w:styleId="Subparagraph">
    <w:name w:val="Subparagraph"/>
    <w:basedOn w:val="Paragraph"/>
    <w:next w:val="Normal"/>
    <w:rsid w:val="00D33562"/>
  </w:style>
  <w:style w:type="paragraph" w:customStyle="1" w:styleId="Table1">
    <w:name w:val="Table 1"/>
    <w:basedOn w:val="Normal"/>
    <w:rsid w:val="00D33562"/>
    <w:pPr>
      <w:widowControl w:val="0"/>
      <w:spacing w:after="120"/>
      <w:jc w:val="center"/>
    </w:pPr>
    <w:rPr>
      <w:b/>
      <w:bCs/>
      <w:sz w:val="20"/>
      <w:szCs w:val="20"/>
      <w:lang w:val="en-GB" w:eastAsia="en-US" w:bidi="en-US"/>
    </w:rPr>
  </w:style>
  <w:style w:type="paragraph" w:customStyle="1" w:styleId="Table2">
    <w:name w:val="Table 2"/>
    <w:basedOn w:val="Normal"/>
    <w:rsid w:val="00D33562"/>
    <w:pPr>
      <w:widowControl w:val="0"/>
      <w:ind w:left="142" w:hanging="142"/>
    </w:pPr>
    <w:rPr>
      <w:bCs/>
      <w:sz w:val="20"/>
      <w:szCs w:val="20"/>
      <w:lang w:val="en-GB" w:eastAsia="en-US" w:bidi="en-US"/>
    </w:rPr>
  </w:style>
  <w:style w:type="paragraph" w:customStyle="1" w:styleId="TableHeading">
    <w:name w:val="Table Heading"/>
    <w:basedOn w:val="Normal"/>
    <w:next w:val="Normal"/>
    <w:rsid w:val="00D33562"/>
    <w:pPr>
      <w:widowControl w:val="0"/>
      <w:tabs>
        <w:tab w:val="left" w:pos="851"/>
      </w:tabs>
      <w:jc w:val="center"/>
    </w:pPr>
    <w:rPr>
      <w:b/>
      <w:szCs w:val="20"/>
      <w:lang w:val="en-GB" w:eastAsia="en-US" w:bidi="en-US"/>
    </w:rPr>
  </w:style>
  <w:style w:type="paragraph" w:customStyle="1" w:styleId="TitleBorder">
    <w:name w:val="TitleBorder"/>
    <w:basedOn w:val="Normal"/>
    <w:rsid w:val="00D33562"/>
    <w:pPr>
      <w:widowControl w:val="0"/>
      <w:pBdr>
        <w:bottom w:val="double" w:sz="6" w:space="0" w:color="auto"/>
      </w:pBdr>
      <w:tabs>
        <w:tab w:val="left" w:pos="851"/>
      </w:tabs>
    </w:pPr>
    <w:rPr>
      <w:b/>
      <w:szCs w:val="20"/>
      <w:lang w:val="en-GB" w:eastAsia="en-US" w:bidi="en-US"/>
    </w:rPr>
  </w:style>
  <w:style w:type="paragraph" w:customStyle="1" w:styleId="FSDecisionHeading">
    <w:name w:val="FS Decision Heading"/>
    <w:basedOn w:val="Normal"/>
    <w:next w:val="FSDecisiontext"/>
    <w:qFormat/>
    <w:rsid w:val="00D33562"/>
    <w:pPr>
      <w:widowControl w:val="0"/>
      <w:pBdr>
        <w:top w:val="single" w:sz="4" w:space="1" w:color="auto"/>
        <w:left w:val="single" w:sz="4" w:space="4" w:color="auto"/>
        <w:bottom w:val="single" w:sz="4" w:space="1" w:color="auto"/>
        <w:right w:val="single" w:sz="4" w:space="4" w:color="auto"/>
      </w:pBdr>
    </w:pPr>
    <w:rPr>
      <w:rFonts w:ascii="Arial Bold" w:hAnsi="Arial Bold"/>
      <w:b/>
      <w:bCs/>
      <w:lang w:val="en-GB" w:eastAsia="en-US" w:bidi="en-US"/>
    </w:rPr>
  </w:style>
  <w:style w:type="paragraph" w:customStyle="1" w:styleId="FSDecisiontext">
    <w:name w:val="FS Decision text"/>
    <w:basedOn w:val="Normal"/>
    <w:qFormat/>
    <w:rsid w:val="00D33562"/>
    <w:pPr>
      <w:widowControl w:val="0"/>
      <w:pBdr>
        <w:top w:val="single" w:sz="4" w:space="1" w:color="auto"/>
        <w:left w:val="single" w:sz="4" w:space="4" w:color="auto"/>
        <w:bottom w:val="single" w:sz="4" w:space="1" w:color="auto"/>
        <w:right w:val="single" w:sz="4" w:space="4" w:color="auto"/>
      </w:pBdr>
    </w:pPr>
    <w:rPr>
      <w:lang w:val="en-GB" w:eastAsia="en-US" w:bidi="en-US"/>
    </w:rPr>
  </w:style>
  <w:style w:type="paragraph" w:customStyle="1" w:styleId="FSBullet">
    <w:name w:val="FS Bullet"/>
    <w:basedOn w:val="Normal"/>
    <w:next w:val="Normal"/>
    <w:link w:val="FSBulletChar"/>
    <w:qFormat/>
    <w:rsid w:val="00D33562"/>
    <w:pPr>
      <w:widowControl w:val="0"/>
      <w:numPr>
        <w:numId w:val="13"/>
      </w:numPr>
    </w:pPr>
    <w:rPr>
      <w:rFonts w:cs="Arial"/>
      <w:lang w:val="en-GB" w:eastAsia="en-US" w:bidi="en-US"/>
    </w:rPr>
  </w:style>
  <w:style w:type="character" w:customStyle="1" w:styleId="FSBulletChar">
    <w:name w:val="FS Bullet Char"/>
    <w:basedOn w:val="DefaultParagraphFont"/>
    <w:link w:val="FSBullet"/>
    <w:rsid w:val="00D33562"/>
    <w:rPr>
      <w:rFonts w:ascii="Arial" w:hAnsi="Arial" w:cs="Arial"/>
      <w:szCs w:val="24"/>
      <w:lang w:eastAsia="en-US" w:bidi="en-US"/>
    </w:rPr>
  </w:style>
  <w:style w:type="paragraph" w:customStyle="1" w:styleId="FSTableTitle">
    <w:name w:val="FS Table Title"/>
    <w:basedOn w:val="Normal"/>
    <w:next w:val="Normal"/>
    <w:qFormat/>
    <w:rsid w:val="00D33562"/>
    <w:pPr>
      <w:widowControl w:val="0"/>
    </w:pPr>
    <w:rPr>
      <w:rFonts w:cs="Arial"/>
      <w:b/>
      <w:lang w:val="en-GB" w:eastAsia="en-US" w:bidi="en-US"/>
    </w:rPr>
  </w:style>
  <w:style w:type="paragraph" w:customStyle="1" w:styleId="FSTableHeading">
    <w:name w:val="FS Table Heading"/>
    <w:basedOn w:val="Normal"/>
    <w:qFormat/>
    <w:rsid w:val="00D33562"/>
    <w:pPr>
      <w:widowControl w:val="0"/>
      <w:jc w:val="center"/>
    </w:pPr>
    <w:rPr>
      <w:rFonts w:ascii="Arial Bold" w:hAnsi="Arial Bold" w:cs="Arial"/>
      <w:b/>
      <w:sz w:val="20"/>
      <w:szCs w:val="20"/>
      <w:lang w:val="en-GB" w:eastAsia="en-US" w:bidi="en-US"/>
    </w:rPr>
  </w:style>
  <w:style w:type="paragraph" w:customStyle="1" w:styleId="FSTableText">
    <w:name w:val="FS Table Text"/>
    <w:basedOn w:val="Normal"/>
    <w:qFormat/>
    <w:rsid w:val="00D33562"/>
    <w:pPr>
      <w:widowControl w:val="0"/>
    </w:pPr>
    <w:rPr>
      <w:rFonts w:cs="Arial"/>
      <w:sz w:val="20"/>
      <w:szCs w:val="20"/>
      <w:lang w:val="en-GB" w:eastAsia="en-US" w:bidi="en-US"/>
    </w:rPr>
  </w:style>
  <w:style w:type="paragraph" w:customStyle="1" w:styleId="FSFigureTitle">
    <w:name w:val="FS Figure Title"/>
    <w:basedOn w:val="Normal"/>
    <w:next w:val="Normal"/>
    <w:qFormat/>
    <w:rsid w:val="00D33562"/>
    <w:pPr>
      <w:widowControl w:val="0"/>
    </w:pPr>
    <w:rPr>
      <w:rFonts w:cs="Arial"/>
      <w:i/>
      <w:lang w:val="en-GB" w:eastAsia="en-US" w:bidi="en-US"/>
    </w:rPr>
  </w:style>
  <w:style w:type="paragraph" w:styleId="DocumentMap">
    <w:name w:val="Document Map"/>
    <w:basedOn w:val="Normal"/>
    <w:link w:val="DocumentMapChar"/>
    <w:rsid w:val="00D33562"/>
    <w:pPr>
      <w:widowControl w:val="0"/>
    </w:pPr>
    <w:rPr>
      <w:rFonts w:ascii="Tahoma" w:hAnsi="Tahoma" w:cs="Tahoma"/>
      <w:sz w:val="16"/>
      <w:szCs w:val="16"/>
      <w:lang w:val="en-GB" w:eastAsia="en-US" w:bidi="en-US"/>
    </w:rPr>
  </w:style>
  <w:style w:type="character" w:customStyle="1" w:styleId="DocumentMapChar">
    <w:name w:val="Document Map Char"/>
    <w:basedOn w:val="DefaultParagraphFont"/>
    <w:link w:val="DocumentMap"/>
    <w:rsid w:val="00D33562"/>
    <w:rPr>
      <w:rFonts w:ascii="Tahoma" w:hAnsi="Tahoma" w:cs="Tahoma"/>
      <w:sz w:val="16"/>
      <w:szCs w:val="16"/>
      <w:lang w:eastAsia="en-US" w:bidi="en-US"/>
    </w:rPr>
  </w:style>
  <w:style w:type="paragraph" w:customStyle="1" w:styleId="FSBullet2">
    <w:name w:val="FSBullet 2"/>
    <w:basedOn w:val="Normal"/>
    <w:qFormat/>
    <w:rsid w:val="00D33562"/>
    <w:pPr>
      <w:numPr>
        <w:numId w:val="14"/>
      </w:numPr>
      <w:ind w:left="1134" w:hanging="567"/>
    </w:pPr>
    <w:rPr>
      <w:rFonts w:eastAsia="Calibri"/>
      <w:szCs w:val="22"/>
      <w:lang w:val="en-GB" w:eastAsia="en-US"/>
    </w:rPr>
  </w:style>
  <w:style w:type="paragraph" w:customStyle="1" w:styleId="FSBullet3">
    <w:name w:val="FSBullet 3"/>
    <w:basedOn w:val="Normal"/>
    <w:qFormat/>
    <w:rsid w:val="00D33562"/>
    <w:pPr>
      <w:keepNext/>
      <w:numPr>
        <w:numId w:val="15"/>
      </w:numPr>
      <w:ind w:left="1701" w:hanging="567"/>
    </w:pPr>
    <w:rPr>
      <w:rFonts w:eastAsia="Calibri"/>
      <w:b/>
      <w:szCs w:val="22"/>
      <w:lang w:val="en-GB" w:eastAsia="en-US"/>
    </w:rPr>
  </w:style>
  <w:style w:type="table" w:styleId="MediumShading1-Accent3">
    <w:name w:val="Medium Shading 1 Accent 3"/>
    <w:basedOn w:val="TableNormal"/>
    <w:uiPriority w:val="63"/>
    <w:rsid w:val="00D33562"/>
    <w:pPr>
      <w:spacing w:after="0" w:line="240" w:lineRule="auto"/>
    </w:pPr>
    <w:rPr>
      <w:rFonts w:ascii="Calibri" w:hAnsi="Calibri"/>
      <w:sz w:val="20"/>
      <w:szCs w:val="20"/>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NormalWeb">
    <w:name w:val="Normal (Web)"/>
    <w:basedOn w:val="Normal"/>
    <w:unhideWhenUsed/>
    <w:rsid w:val="00D33562"/>
    <w:pPr>
      <w:spacing w:before="100" w:beforeAutospacing="1" w:after="100" w:afterAutospacing="1"/>
    </w:pPr>
  </w:style>
  <w:style w:type="paragraph" w:styleId="Caption">
    <w:name w:val="caption"/>
    <w:basedOn w:val="Normal"/>
    <w:next w:val="Normal"/>
    <w:unhideWhenUsed/>
    <w:qFormat/>
    <w:rsid w:val="00D33562"/>
    <w:pPr>
      <w:widowControl w:val="0"/>
      <w:spacing w:after="200"/>
    </w:pPr>
    <w:rPr>
      <w:b/>
      <w:bCs/>
      <w:color w:val="4F81BD" w:themeColor="accent1"/>
      <w:sz w:val="18"/>
      <w:szCs w:val="18"/>
      <w:lang w:val="en-GB" w:eastAsia="en-US" w:bidi="en-US"/>
    </w:rPr>
  </w:style>
  <w:style w:type="paragraph" w:customStyle="1" w:styleId="xl22">
    <w:name w:val="xl22"/>
    <w:basedOn w:val="Normal"/>
    <w:rsid w:val="00D33562"/>
    <w:pPr>
      <w:spacing w:before="100" w:beforeAutospacing="1" w:after="100" w:afterAutospacing="1"/>
    </w:pPr>
    <w:rPr>
      <w:rFonts w:ascii="Arial Unicode MS" w:eastAsia="Arial Unicode MS" w:hAnsi="Arial Unicode MS" w:cs="Arial Unicode MS"/>
      <w:lang w:eastAsia="en-US"/>
    </w:rPr>
  </w:style>
  <w:style w:type="paragraph" w:customStyle="1" w:styleId="Bullets">
    <w:name w:val="Bullets"/>
    <w:basedOn w:val="Normal"/>
    <w:next w:val="Normal"/>
    <w:autoRedefine/>
    <w:qFormat/>
    <w:rsid w:val="00D33562"/>
    <w:pPr>
      <w:numPr>
        <w:numId w:val="17"/>
      </w:numPr>
    </w:pPr>
    <w:rPr>
      <w:rFonts w:eastAsiaTheme="minorHAnsi"/>
      <w:lang w:val="en-GB" w:eastAsia="en-US"/>
    </w:rPr>
  </w:style>
  <w:style w:type="character" w:customStyle="1" w:styleId="FSBullet1Char1">
    <w:name w:val="FSBullet 1 Char1"/>
    <w:basedOn w:val="DefaultParagraphFont"/>
    <w:rsid w:val="00D33562"/>
    <w:rPr>
      <w:rFonts w:eastAsia="Times New Roman"/>
      <w:szCs w:val="24"/>
      <w:lang w:val="en-GB" w:bidi="en-US"/>
    </w:rPr>
  </w:style>
  <w:style w:type="paragraph" w:customStyle="1" w:styleId="Figure">
    <w:name w:val="Figure"/>
    <w:basedOn w:val="Normal"/>
    <w:next w:val="Normal"/>
    <w:rsid w:val="00D33562"/>
    <w:pPr>
      <w:keepNext/>
      <w:spacing w:before="240"/>
      <w:outlineLvl w:val="3"/>
    </w:pPr>
    <w:rPr>
      <w:b/>
      <w:bCs/>
      <w:iCs/>
      <w:lang w:eastAsia="en-US"/>
    </w:rPr>
  </w:style>
  <w:style w:type="character" w:styleId="Strong">
    <w:name w:val="Strong"/>
    <w:basedOn w:val="DefaultParagraphFont"/>
    <w:uiPriority w:val="22"/>
    <w:qFormat/>
    <w:rsid w:val="00D33562"/>
    <w:rPr>
      <w:b/>
      <w:bCs/>
    </w:rPr>
  </w:style>
  <w:style w:type="paragraph" w:customStyle="1" w:styleId="tahoma18redb">
    <w:name w:val="tahoma18redb"/>
    <w:basedOn w:val="Normal"/>
    <w:rsid w:val="00D33562"/>
    <w:pPr>
      <w:spacing w:before="100" w:beforeAutospacing="1" w:after="100" w:afterAutospacing="1"/>
    </w:pPr>
    <w:rPr>
      <w:rFonts w:ascii="Tahoma" w:hAnsi="Tahoma" w:cs="Tahoma"/>
      <w:b/>
      <w:bCs/>
      <w:color w:val="CC0000"/>
      <w:sz w:val="36"/>
      <w:szCs w:val="36"/>
    </w:rPr>
  </w:style>
  <w:style w:type="table" w:customStyle="1" w:styleId="TableGrid1">
    <w:name w:val="Table Grid1"/>
    <w:basedOn w:val="TableNormal"/>
    <w:next w:val="TableGrid"/>
    <w:rsid w:val="003D4158"/>
    <w:pPr>
      <w:spacing w:after="0" w:line="240" w:lineRule="auto"/>
    </w:pPr>
    <w:rPr>
      <w:rFonts w:ascii="Arial" w:eastAsia="Calibri" w:hAnsi="Arial" w:cs="Arial"/>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nk">
    <w:name w:val="link"/>
    <w:basedOn w:val="Normal"/>
    <w:link w:val="linkChar"/>
    <w:qFormat/>
    <w:rsid w:val="000664AC"/>
  </w:style>
  <w:style w:type="character" w:customStyle="1" w:styleId="linkChar">
    <w:name w:val="link Char"/>
    <w:basedOn w:val="DefaultParagraphFont"/>
    <w:link w:val="link"/>
    <w:rsid w:val="000664AC"/>
    <w:rPr>
      <w:rFonts w:ascii="Arial" w:hAnsi="Arial"/>
      <w:szCs w:val="24"/>
      <w:lang w:val="en-AU" w:eastAsia="en-AU"/>
    </w:rPr>
  </w:style>
  <w:style w:type="table" w:styleId="LightGrid-Accent1">
    <w:name w:val="Light Grid Accent 1"/>
    <w:basedOn w:val="TableNormal"/>
    <w:uiPriority w:val="62"/>
    <w:rsid w:val="008A543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1-Accent11">
    <w:name w:val="Medium Shading 1 - Accent 11"/>
    <w:basedOn w:val="TableNormal"/>
    <w:next w:val="MediumShading1-Accent1"/>
    <w:uiPriority w:val="63"/>
    <w:rsid w:val="001E32B2"/>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337696">
      <w:bodyDiv w:val="1"/>
      <w:marLeft w:val="0"/>
      <w:marRight w:val="0"/>
      <w:marTop w:val="0"/>
      <w:marBottom w:val="0"/>
      <w:divBdr>
        <w:top w:val="none" w:sz="0" w:space="0" w:color="auto"/>
        <w:left w:val="none" w:sz="0" w:space="0" w:color="auto"/>
        <w:bottom w:val="none" w:sz="0" w:space="0" w:color="auto"/>
        <w:right w:val="none" w:sz="0" w:space="0" w:color="auto"/>
      </w:divBdr>
    </w:div>
    <w:div w:id="499273600">
      <w:bodyDiv w:val="1"/>
      <w:marLeft w:val="0"/>
      <w:marRight w:val="0"/>
      <w:marTop w:val="0"/>
      <w:marBottom w:val="0"/>
      <w:divBdr>
        <w:top w:val="none" w:sz="0" w:space="0" w:color="auto"/>
        <w:left w:val="none" w:sz="0" w:space="0" w:color="auto"/>
        <w:bottom w:val="none" w:sz="0" w:space="0" w:color="auto"/>
        <w:right w:val="none" w:sz="0" w:space="0" w:color="auto"/>
      </w:divBdr>
    </w:div>
    <w:div w:id="653222962">
      <w:bodyDiv w:val="1"/>
      <w:marLeft w:val="0"/>
      <w:marRight w:val="0"/>
      <w:marTop w:val="0"/>
      <w:marBottom w:val="0"/>
      <w:divBdr>
        <w:top w:val="none" w:sz="0" w:space="0" w:color="auto"/>
        <w:left w:val="none" w:sz="0" w:space="0" w:color="auto"/>
        <w:bottom w:val="none" w:sz="0" w:space="0" w:color="auto"/>
        <w:right w:val="none" w:sz="0" w:space="0" w:color="auto"/>
      </w:divBdr>
    </w:div>
    <w:div w:id="831485639">
      <w:bodyDiv w:val="1"/>
      <w:marLeft w:val="0"/>
      <w:marRight w:val="0"/>
      <w:marTop w:val="0"/>
      <w:marBottom w:val="0"/>
      <w:divBdr>
        <w:top w:val="none" w:sz="0" w:space="0" w:color="auto"/>
        <w:left w:val="none" w:sz="0" w:space="0" w:color="auto"/>
        <w:bottom w:val="none" w:sz="0" w:space="0" w:color="auto"/>
        <w:right w:val="none" w:sz="0" w:space="0" w:color="auto"/>
      </w:divBdr>
    </w:div>
    <w:div w:id="1776636883">
      <w:bodyDiv w:val="1"/>
      <w:marLeft w:val="0"/>
      <w:marRight w:val="0"/>
      <w:marTop w:val="0"/>
      <w:marBottom w:val="0"/>
      <w:divBdr>
        <w:top w:val="none" w:sz="0" w:space="0" w:color="auto"/>
        <w:left w:val="none" w:sz="0" w:space="0" w:color="auto"/>
        <w:bottom w:val="none" w:sz="0" w:space="0" w:color="auto"/>
        <w:right w:val="none" w:sz="0" w:space="0" w:color="auto"/>
      </w:divBdr>
    </w:div>
    <w:div w:id="2068794543">
      <w:bodyDiv w:val="1"/>
      <w:marLeft w:val="0"/>
      <w:marRight w:val="0"/>
      <w:marTop w:val="0"/>
      <w:marBottom w:val="0"/>
      <w:divBdr>
        <w:top w:val="none" w:sz="0" w:space="0" w:color="auto"/>
        <w:left w:val="none" w:sz="0" w:space="0" w:color="auto"/>
        <w:bottom w:val="none" w:sz="0" w:space="0" w:color="auto"/>
        <w:right w:val="none" w:sz="0" w:space="0" w:color="auto"/>
      </w:divBdr>
    </w:div>
    <w:div w:id="208144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yperlink" Target="http://apricotseeds.com.au/metabolic-therapy.html" TargetMode="External"/><Relationship Id="rId39" Type="http://schemas.openxmlformats.org/officeDocument/2006/relationships/footer" Target="footer2.xml"/><Relationship Id="rId21" Type="http://schemas.openxmlformats.org/officeDocument/2006/relationships/oleObject" Target="embeddings/oleObject5.bin"/><Relationship Id="rId34" Type="http://schemas.openxmlformats.org/officeDocument/2006/relationships/hyperlink" Target="http://www.foodstandards.gov.au/code/proposals/Pages/proposalp1016hydrocy5438.aspx" TargetMode="External"/><Relationship Id="rId42"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30.wmf"/><Relationship Id="rId20" Type="http://schemas.openxmlformats.org/officeDocument/2006/relationships/image" Target="media/image40.wmf"/><Relationship Id="rId29" Type="http://schemas.openxmlformats.org/officeDocument/2006/relationships/hyperlink" Target="http://www.foodstandards.gov.au/code/proposals/Pages/proposalp257preparationofcassava21august2002/Default.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7.jpeg"/><Relationship Id="rId32" Type="http://schemas.openxmlformats.org/officeDocument/2006/relationships/hyperlink" Target="http://www.foodstandards.gov.au/code/proposals/Pages/proposalp1002hydrocy3848.aspx" TargetMode="External"/><Relationship Id="rId37" Type="http://schemas.openxmlformats.org/officeDocument/2006/relationships/hyperlink" Target="http://www.nu-gen.net/premium-raw-apricot-kernels-extremely-bitter-1-lb-bag-approx-700-raw-kernels" TargetMode="Externa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oleObject" Target="embeddings/oleObject2.bin"/><Relationship Id="rId23" Type="http://schemas.openxmlformats.org/officeDocument/2006/relationships/image" Target="media/image6.png"/><Relationship Id="rId28" Type="http://schemas.openxmlformats.org/officeDocument/2006/relationships/hyperlink" Target="http://esearch.cen.eu/esearch/Details.aspx?id=14802441" TargetMode="External"/><Relationship Id="rId36" Type="http://schemas.openxmlformats.org/officeDocument/2006/relationships/hyperlink" Target="http://www.nu-gen.net/apricot-kernels-faq/" TargetMode="External"/><Relationship Id="rId10" Type="http://schemas.openxmlformats.org/officeDocument/2006/relationships/image" Target="media/image1.gif"/><Relationship Id="rId19" Type="http://schemas.openxmlformats.org/officeDocument/2006/relationships/oleObject" Target="embeddings/oleObject4.bin"/><Relationship Id="rId31" Type="http://schemas.openxmlformats.org/officeDocument/2006/relationships/hyperlink" Target="http://www.foodstandards.gov.au/code/proposals/Pages/proposalp1002hydrocy3848.aspx" TargetMode="External"/><Relationship Id="rId44"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5.png"/><Relationship Id="rId27" Type="http://schemas.openxmlformats.org/officeDocument/2006/relationships/hyperlink" Target="http://www.b17.com.au/index.php/how-many-kernels-should-i-eat.%20Accessed%2011%20June%202013" TargetMode="External"/><Relationship Id="rId30" Type="http://schemas.openxmlformats.org/officeDocument/2006/relationships/hyperlink" Target="http://www.foodstandards.gov.au/publications/Pages/technicalreportserie1338.aspx" TargetMode="External"/><Relationship Id="rId35" Type="http://schemas.openxmlformats.org/officeDocument/2006/relationships/hyperlink" Target="http://www.myapricotseeds.com/faq.html" TargetMode="External"/><Relationship Id="rId43" Type="http://schemas.openxmlformats.org/officeDocument/2006/relationships/customXml" Target="../customXml/item4.xml"/><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footer" Target="footer1.xml"/><Relationship Id="rId33" Type="http://schemas.openxmlformats.org/officeDocument/2006/relationships/hyperlink" Target="http://www.foodstandards.gov.au/media/Pages/mediareleases/mediareleases2011/fsanzwarnsagainstcon5338.aspx" TargetMode="External"/><Relationship Id="rId38" Type="http://schemas.openxmlformats.org/officeDocument/2006/relationships/hyperlink" Target="http://rainrock-nutritionals.stores.yahoo.net/apkerseed1p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B6F0344E6B947458BF6CE9040B49D8F" ma:contentTypeVersion="3" ma:contentTypeDescription="Create a new document." ma:contentTypeScope="" ma:versionID="54db017a405b5fcbd8aa5e8ee729ed7c">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2d2033253196e29d72f79f68ab66e32f"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013BD-25F1-4074-8546-17DFD8A818CB}"/>
</file>

<file path=customXml/itemProps2.xml><?xml version="1.0" encoding="utf-8"?>
<ds:datastoreItem xmlns:ds="http://schemas.openxmlformats.org/officeDocument/2006/customXml" ds:itemID="{E0E86CC7-76B0-45E7-AED8-7D2FC5FF999B}"/>
</file>

<file path=customXml/itemProps3.xml><?xml version="1.0" encoding="utf-8"?>
<ds:datastoreItem xmlns:ds="http://schemas.openxmlformats.org/officeDocument/2006/customXml" ds:itemID="{F2D43B7A-8706-41E0-90A8-E40611F5F13F}"/>
</file>

<file path=customXml/itemProps4.xml><?xml version="1.0" encoding="utf-8"?>
<ds:datastoreItem xmlns:ds="http://schemas.openxmlformats.org/officeDocument/2006/customXml" ds:itemID="{070A5CBD-D2F4-4F91-9BBF-67A8C8AFA4B4}"/>
</file>

<file path=customXml/itemProps5.xml><?xml version="1.0" encoding="utf-8"?>
<ds:datastoreItem xmlns:ds="http://schemas.openxmlformats.org/officeDocument/2006/customXml" ds:itemID="{A3C43D7F-6831-4D04-8A05-4F67984D3CFE}"/>
</file>

<file path=docProps/app.xml><?xml version="1.0" encoding="utf-8"?>
<Properties xmlns="http://schemas.openxmlformats.org/officeDocument/2006/extended-properties" xmlns:vt="http://schemas.openxmlformats.org/officeDocument/2006/docPropsVTypes">
  <Template>Normal</Template>
  <TotalTime>0</TotalTime>
  <Pages>78</Pages>
  <Words>25152</Words>
  <Characters>143370</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(Agenda Paper Format)</vt:lpstr>
    </vt:vector>
  </TitlesOfParts>
  <Company>HFS</Company>
  <LinksUpToDate>false</LinksUpToDate>
  <CharactersWithSpaces>168186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Paper Format)</dc:title>
  <dc:creator>Luisa Trevisan</dc:creator>
  <cp:lastModifiedBy>Patris</cp:lastModifiedBy>
  <cp:revision>2</cp:revision>
  <cp:lastPrinted>2014-04-03T02:08:00Z</cp:lastPrinted>
  <dcterms:created xsi:type="dcterms:W3CDTF">2014-04-14T05:09:00Z</dcterms:created>
  <dcterms:modified xsi:type="dcterms:W3CDTF">2014-04-14T05:09:00Z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ContentTypeId">
    <vt:lpwstr>0x0101006B6F0344E6B947458BF6CE9040B49D8F</vt:lpwstr>
  </property>
</Properties>
</file>